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80"/>
        <w:spacing w:after="0"/>
        <w:rPr>
          <w:sz w:val="20"/>
          <w:szCs w:val="20"/>
          <w:color w:val="auto"/>
        </w:rPr>
      </w:pPr>
      <w:r>
        <w:rPr>
          <w:rFonts w:ascii="Arial" w:cs="Arial" w:eastAsia="Arial" w:hAnsi="Arial"/>
          <w:sz w:val="24"/>
          <w:szCs w:val="24"/>
          <w:b w:val="1"/>
          <w:bCs w:val="1"/>
          <w:color w:val="003F1A"/>
        </w:rPr>
        <w:t>ANNUAL REPORT</w:t>
      </w:r>
    </w:p>
    <w:p>
      <w:pPr>
        <w:sectPr>
          <w:pgSz w:w="12240" w:h="15840" w:orient="portrait"/>
          <w:cols w:equalWidth="0" w:num="1">
            <w:col w:w="9360"/>
          </w:cols>
          <w:pgMar w:left="1440" w:top="1440" w:right="1440" w:bottom="1440" w:gutter="0" w:footer="0" w:header="0"/>
        </w:sectPr>
      </w:pPr>
    </w:p>
    <w:p>
      <w:pPr>
        <w:spacing w:after="0" w:line="225" w:lineRule="exact"/>
        <w:rPr>
          <w:sz w:val="24"/>
          <w:szCs w:val="24"/>
          <w:color w:val="auto"/>
        </w:rPr>
      </w:pPr>
    </w:p>
    <w:p>
      <w:pPr>
        <w:ind w:left="1280"/>
        <w:spacing w:after="0"/>
        <w:rPr>
          <w:sz w:val="20"/>
          <w:szCs w:val="20"/>
          <w:color w:val="auto"/>
        </w:rPr>
      </w:pPr>
      <w:r>
        <w:rPr>
          <w:rFonts w:ascii="Arial" w:cs="Arial" w:eastAsia="Arial" w:hAnsi="Arial"/>
          <w:sz w:val="72"/>
          <w:szCs w:val="72"/>
          <w:b w:val="1"/>
          <w:bCs w:val="1"/>
          <w:color w:val="003F1A"/>
        </w:rPr>
        <w:t>2024</w:t>
      </w:r>
    </w:p>
    <w:p>
      <w:pPr>
        <w:sectPr>
          <w:pgSz w:w="12240" w:h="15840" w:orient="portrait"/>
          <w:cols w:equalWidth="0" w:num="1">
            <w:col w:w="9360"/>
          </w:cols>
          <w:pgMar w:left="1440" w:top="1440" w:right="1440"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228600</wp:posOffset>
            </wp:positionH>
            <wp:positionV relativeFrom="page">
              <wp:posOffset>114300</wp:posOffset>
            </wp:positionV>
            <wp:extent cx="73152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0" cy="98298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72"/>
          <w:szCs w:val="72"/>
          <w:b w:val="1"/>
          <w:bCs w:val="1"/>
          <w:color w:val="003F1A"/>
        </w:rPr>
        <w:drawing>
          <wp:anchor simplePos="0" relativeHeight="251657728" behindDoc="1" locked="0" layoutInCell="0" allowOverlap="1">
            <wp:simplePos x="0" y="0"/>
            <wp:positionH relativeFrom="page">
              <wp:posOffset>203200</wp:posOffset>
            </wp:positionH>
            <wp:positionV relativeFrom="page">
              <wp:posOffset>114300</wp:posOffset>
            </wp:positionV>
            <wp:extent cx="7366000" cy="9842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6000" cy="9842500"/>
                    </a:xfrm>
                    <a:prstGeom prst="rect">
                      <a:avLst/>
                    </a:prstGeom>
                    <a:noFill/>
                  </pic:spPr>
                </pic:pic>
              </a:graphicData>
            </a:graphic>
          </wp:anchor>
        </w:drawing>
        <w:t>Financial</w:t>
      </w:r>
    </w:p>
    <w:p>
      <w:pPr>
        <w:spacing w:after="0" w:line="37" w:lineRule="exact"/>
        <w:rPr>
          <w:sz w:val="20"/>
          <w:szCs w:val="20"/>
          <w:color w:val="auto"/>
        </w:rPr>
      </w:pPr>
    </w:p>
    <w:p>
      <w:pPr>
        <w:spacing w:after="0"/>
        <w:rPr>
          <w:sz w:val="20"/>
          <w:szCs w:val="20"/>
          <w:color w:val="auto"/>
        </w:rPr>
      </w:pPr>
      <w:r>
        <w:rPr>
          <w:rFonts w:ascii="Arial" w:cs="Arial" w:eastAsia="Arial" w:hAnsi="Arial"/>
          <w:sz w:val="72"/>
          <w:szCs w:val="72"/>
          <w:b w:val="1"/>
          <w:bCs w:val="1"/>
          <w:color w:val="003F1A"/>
        </w:rPr>
        <w:t>Highlights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USD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2100" w:type="dxa"/>
            <w:vAlign w:val="bottom"/>
            <w:gridSpan w:val="10"/>
          </w:tcPr>
          <w:p>
            <w:pPr>
              <w:spacing w:after="0"/>
              <w:rPr>
                <w:sz w:val="20"/>
                <w:szCs w:val="20"/>
                <w:color w:val="auto"/>
              </w:rPr>
            </w:pPr>
            <w:r>
              <w:rPr>
                <w:rFonts w:ascii="Arial" w:cs="Arial" w:eastAsia="Arial" w:hAnsi="Arial"/>
                <w:sz w:val="28"/>
                <w:szCs w:val="28"/>
                <w:b w:val="1"/>
                <w:bCs w:val="1"/>
                <w:color w:val="003F1A"/>
                <w:w w:val="94"/>
              </w:rPr>
              <w:t>Annual Revenue</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gridSpan w:val="12"/>
          </w:tcPr>
          <w:p>
            <w:pPr>
              <w:spacing w:after="0"/>
              <w:rPr>
                <w:sz w:val="20"/>
                <w:szCs w:val="20"/>
                <w:color w:val="auto"/>
              </w:rPr>
            </w:pPr>
            <w:r>
              <w:rPr>
                <w:rFonts w:ascii="Arial" w:cs="Arial" w:eastAsia="Arial" w:hAnsi="Arial"/>
                <w:sz w:val="28"/>
                <w:szCs w:val="28"/>
                <w:b w:val="1"/>
                <w:bCs w:val="1"/>
                <w:color w:val="003F1A"/>
              </w:rPr>
              <w:t>Adjusted EBITDA</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gridSpan w:val="2"/>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560" w:type="dxa"/>
            <w:vAlign w:val="bottom"/>
            <w:gridSpan w:val="3"/>
            <w:vMerge w:val="restart"/>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gridSpan w:val="3"/>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780" w:type="dxa"/>
            <w:vAlign w:val="bottom"/>
            <w:gridSpan w:val="3"/>
            <w:shd w:val="clear" w:color="auto" w:fill="E4DCD0"/>
          </w:tcPr>
          <w:p>
            <w:pPr>
              <w:spacing w:after="0" w:line="70" w:lineRule="exact"/>
              <w:rPr>
                <w:sz w:val="20"/>
                <w:szCs w:val="20"/>
                <w:color w:val="auto"/>
              </w:rPr>
            </w:pPr>
            <w:r>
              <w:rPr>
                <w:rFonts w:ascii="Arial" w:cs="Arial" w:eastAsia="Arial" w:hAnsi="Arial"/>
                <w:sz w:val="8"/>
                <w:szCs w:val="8"/>
                <w:b w:val="1"/>
                <w:bCs w:val="1"/>
                <w:color w:val="274134"/>
              </w:rPr>
              <w:t>ƳƱƳƱŶƳƱƳƵ</w:t>
            </w:r>
          </w:p>
        </w:tc>
        <w:tc>
          <w:tcPr>
            <w:tcW w:w="10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gridSpan w:val="6"/>
            <w:vMerge w:val="restart"/>
          </w:tcPr>
          <w:p>
            <w:pPr>
              <w:jc w:val="right"/>
              <w:ind w:right="260"/>
              <w:spacing w:after="0"/>
              <w:rPr>
                <w:sz w:val="20"/>
                <w:szCs w:val="20"/>
                <w:color w:val="auto"/>
              </w:rPr>
            </w:pPr>
            <w:r>
              <w:rPr>
                <w:rFonts w:ascii="Arial" w:cs="Arial" w:eastAsia="Arial" w:hAnsi="Arial"/>
                <w:sz w:val="12"/>
                <w:szCs w:val="12"/>
                <w:b w:val="1"/>
                <w:bCs w:val="1"/>
                <w:color w:val="auto"/>
              </w:rPr>
              <w:t>$1,137</w:t>
            </w:r>
          </w:p>
        </w:tc>
        <w:tc>
          <w:tcPr>
            <w:tcW w:w="640" w:type="dxa"/>
            <w:vAlign w:val="bottom"/>
          </w:tcPr>
          <w:p>
            <w:pPr>
              <w:spacing w:after="0"/>
              <w:rPr>
                <w:sz w:val="8"/>
                <w:szCs w:val="8"/>
                <w:color w:val="auto"/>
              </w:rPr>
            </w:pPr>
          </w:p>
        </w:tc>
        <w:tc>
          <w:tcPr>
            <w:tcW w:w="780" w:type="dxa"/>
            <w:vAlign w:val="bottom"/>
            <w:gridSpan w:val="3"/>
            <w:shd w:val="clear" w:color="auto" w:fill="E4DCD0"/>
          </w:tcPr>
          <w:p>
            <w:pPr>
              <w:spacing w:after="0" w:line="93" w:lineRule="exact"/>
              <w:rPr>
                <w:sz w:val="20"/>
                <w:szCs w:val="20"/>
                <w:color w:val="auto"/>
              </w:rPr>
            </w:pPr>
            <w:r>
              <w:rPr>
                <w:rFonts w:ascii="Arial" w:cs="Arial" w:eastAsia="Arial" w:hAnsi="Arial"/>
                <w:sz w:val="10"/>
                <w:szCs w:val="10"/>
                <w:b w:val="1"/>
                <w:bCs w:val="1"/>
                <w:color w:val="274134"/>
              </w:rPr>
              <w:t>ƳƱƳƱŶƳƱƳƵ</w:t>
            </w:r>
          </w:p>
        </w:tc>
        <w:tc>
          <w:tcPr>
            <w:tcW w:w="420" w:type="dxa"/>
            <w:vAlign w:val="bottom"/>
            <w:gridSpan w:val="3"/>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6"/>
            <w:vMerge w:val="restart"/>
          </w:tcPr>
          <w:p>
            <w:pPr>
              <w:jc w:val="right"/>
              <w:ind w:right="280"/>
              <w:spacing w:after="0"/>
              <w:rPr>
                <w:sz w:val="20"/>
                <w:szCs w:val="20"/>
                <w:color w:val="auto"/>
              </w:rPr>
            </w:pPr>
            <w:r>
              <w:rPr>
                <w:rFonts w:ascii="Arial" w:cs="Arial" w:eastAsia="Arial" w:hAnsi="Arial"/>
                <w:sz w:val="12"/>
                <w:szCs w:val="12"/>
                <w:b w:val="1"/>
                <w:bCs w:val="1"/>
                <w:color w:val="auto"/>
              </w:rPr>
              <w:t>$371</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restart"/>
            <w:shd w:val="clear" w:color="auto" w:fill="E4DCD0"/>
          </w:tcPr>
          <w:p>
            <w:pPr>
              <w:jc w:val="right"/>
              <w:spacing w:after="0" w:line="132" w:lineRule="exact"/>
              <w:rPr>
                <w:sz w:val="20"/>
                <w:szCs w:val="20"/>
                <w:color w:val="auto"/>
              </w:rPr>
            </w:pPr>
            <w:r>
              <w:rPr>
                <w:rFonts w:ascii="Arial" w:cs="Arial" w:eastAsia="Arial" w:hAnsi="Arial"/>
                <w:sz w:val="12"/>
                <w:szCs w:val="12"/>
                <w:b w:val="1"/>
                <w:bCs w:val="1"/>
                <w:color w:val="274134"/>
                <w:highlight w:val="lightGray"/>
              </w:rPr>
              <w:t>$1,055</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9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bottom w:val="single" w:sz="8" w:color="E4DCD0"/>
            </w:tcBorders>
            <w:shd w:val="clear" w:color="auto" w:fill="E4DCD0"/>
          </w:tcPr>
          <w:p>
            <w:pPr>
              <w:jc w:val="right"/>
              <w:spacing w:after="0" w:line="122" w:lineRule="exact"/>
              <w:rPr>
                <w:sz w:val="20"/>
                <w:szCs w:val="20"/>
                <w:color w:val="auto"/>
              </w:rPr>
            </w:pPr>
            <w:r>
              <w:rPr>
                <w:rFonts w:ascii="Arial" w:cs="Arial" w:eastAsia="Arial" w:hAnsi="Arial"/>
                <w:sz w:val="12"/>
                <w:szCs w:val="12"/>
                <w:b w:val="1"/>
                <w:bCs w:val="1"/>
                <w:color w:val="274134"/>
                <w:highlight w:val="lightGray"/>
                <w:w w:val="97"/>
              </w:rPr>
              <w:t>$1,017</w:t>
            </w:r>
          </w:p>
        </w:tc>
        <w:tc>
          <w:tcPr>
            <w:tcW w:w="260" w:type="dxa"/>
            <w:vAlign w:val="bottom"/>
          </w:tcPr>
          <w:p>
            <w:pPr>
              <w:spacing w:after="0"/>
              <w:rPr>
                <w:sz w:val="10"/>
                <w:szCs w:val="10"/>
                <w:color w:val="auto"/>
              </w:rPr>
            </w:pPr>
          </w:p>
        </w:tc>
        <w:tc>
          <w:tcPr>
            <w:tcW w:w="300" w:type="dxa"/>
            <w:vAlign w:val="bottom"/>
            <w:gridSpan w:val="2"/>
          </w:tcPr>
          <w:p>
            <w:pPr>
              <w:spacing w:after="0"/>
              <w:rPr>
                <w:sz w:val="10"/>
                <w:szCs w:val="10"/>
                <w:color w:val="auto"/>
              </w:rPr>
            </w:pPr>
          </w:p>
        </w:tc>
        <w:tc>
          <w:tcPr>
            <w:tcW w:w="420" w:type="dxa"/>
            <w:vAlign w:val="bottom"/>
            <w:tcBorders>
              <w:bottom w:val="single" w:sz="8" w:color="E4DCD0"/>
            </w:tcBorders>
            <w:vMerge w:val="continue"/>
            <w:shd w:val="clear" w:color="auto" w:fill="E4DCD0"/>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6690C5"/>
            </w:tcBorders>
            <w:shd w:val="clear" w:color="auto" w:fill="6690C5"/>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E4DCD0"/>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6690C5"/>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003F1A"/>
            </w:tcBorders>
          </w:tcPr>
          <w:p>
            <w:pPr>
              <w:spacing w:after="0"/>
              <w:rPr>
                <w:sz w:val="5"/>
                <w:szCs w:val="5"/>
                <w:color w:val="auto"/>
              </w:rPr>
            </w:pPr>
          </w:p>
        </w:tc>
        <w:tc>
          <w:tcPr>
            <w:tcW w:w="420" w:type="dxa"/>
            <w:vAlign w:val="bottom"/>
            <w:tcBorders>
              <w:bottom w:val="single" w:sz="8" w:color="003F1A"/>
            </w:tcBorders>
          </w:tcPr>
          <w:p>
            <w:pPr>
              <w:spacing w:after="0"/>
              <w:rPr>
                <w:sz w:val="5"/>
                <w:szCs w:val="5"/>
                <w:color w:val="auto"/>
              </w:rPr>
            </w:pPr>
          </w:p>
        </w:tc>
        <w:tc>
          <w:tcPr>
            <w:tcW w:w="240" w:type="dxa"/>
            <w:vAlign w:val="bottom"/>
            <w:tcBorders>
              <w:bottom w:val="single" w:sz="8" w:color="003F1A"/>
            </w:tcBorders>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Borders>
              <w:bottom w:val="single" w:sz="8" w:color="6690C5"/>
            </w:tcBorders>
            <w:shd w:val="clear" w:color="auto" w:fill="6690C5"/>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bottom w:val="single" w:sz="8" w:color="E4DCD0"/>
            </w:tcBorders>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bottom w:val="single" w:sz="8" w:color="E4DCD0"/>
            </w:tcBorders>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320" w:type="dxa"/>
            <w:vAlign w:val="bottom"/>
            <w:tcBorders>
              <w:bottom w:val="single" w:sz="8" w:color="E4DCD0"/>
            </w:tcBorders>
            <w:shd w:val="clear" w:color="auto" w:fill="E4DCD0"/>
          </w:tcPr>
          <w:p>
            <w:pPr>
              <w:jc w:val="right"/>
              <w:spacing w:after="0" w:line="64" w:lineRule="exact"/>
              <w:rPr>
                <w:sz w:val="20"/>
                <w:szCs w:val="20"/>
                <w:color w:val="auto"/>
              </w:rPr>
            </w:pPr>
            <w:r>
              <w:rPr>
                <w:rFonts w:ascii="Arial" w:cs="Arial" w:eastAsia="Arial" w:hAnsi="Arial"/>
                <w:sz w:val="7"/>
                <w:szCs w:val="7"/>
                <w:b w:val="1"/>
                <w:bCs w:val="1"/>
                <w:color w:val="274134"/>
                <w:highlight w:val="lightGray"/>
              </w:rPr>
              <w:t>$326</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Borders>
              <w:bottom w:val="single" w:sz="8" w:color="6690C5"/>
            </w:tcBorders>
            <w:shd w:val="clear" w:color="auto" w:fill="6690C5"/>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Borders>
              <w:bottom w:val="single" w:sz="8" w:color="E4DCD0"/>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003F1A"/>
            </w:tcBorders>
          </w:tcPr>
          <w:p>
            <w:pPr>
              <w:spacing w:after="0"/>
              <w:rPr>
                <w:sz w:val="10"/>
                <w:szCs w:val="10"/>
                <w:color w:val="auto"/>
              </w:rPr>
            </w:pPr>
          </w:p>
        </w:tc>
        <w:tc>
          <w:tcPr>
            <w:tcW w:w="60" w:type="dxa"/>
            <w:vAlign w:val="bottom"/>
            <w:tcBorders>
              <w:bottom w:val="single" w:sz="8" w:color="003F1A"/>
            </w:tcBorders>
          </w:tcPr>
          <w:p>
            <w:pPr>
              <w:spacing w:after="0"/>
              <w:rPr>
                <w:sz w:val="10"/>
                <w:szCs w:val="10"/>
                <w:color w:val="auto"/>
              </w:rPr>
            </w:pPr>
          </w:p>
        </w:tc>
        <w:tc>
          <w:tcPr>
            <w:tcW w:w="380" w:type="dxa"/>
            <w:vAlign w:val="bottom"/>
            <w:tcBorders>
              <w:bottom w:val="single" w:sz="8" w:color="003F1A"/>
            </w:tcBorders>
          </w:tcPr>
          <w:p>
            <w:pPr>
              <w:spacing w:after="0"/>
              <w:rPr>
                <w:sz w:val="10"/>
                <w:szCs w:val="10"/>
                <w:color w:val="auto"/>
              </w:rPr>
            </w:pPr>
          </w:p>
        </w:tc>
        <w:tc>
          <w:tcPr>
            <w:tcW w:w="260" w:type="dxa"/>
            <w:vAlign w:val="bottom"/>
            <w:tcBorders>
              <w:bottom w:val="single" w:sz="8" w:color="003F1A"/>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003F1A"/>
            </w:tcBorders>
            <w:shd w:val="clear" w:color="auto" w:fill="003F1A"/>
          </w:tcPr>
          <w:p>
            <w:pPr>
              <w:spacing w:after="0"/>
              <w:rPr>
                <w:sz w:val="10"/>
                <w:szCs w:val="10"/>
                <w:color w:val="auto"/>
              </w:rPr>
            </w:pPr>
          </w:p>
        </w:tc>
        <w:tc>
          <w:tcPr>
            <w:tcW w:w="420" w:type="dxa"/>
            <w:vAlign w:val="bottom"/>
            <w:tcBorders>
              <w:bottom w:val="single" w:sz="8" w:color="003F1A"/>
            </w:tcBorders>
            <w:shd w:val="clear" w:color="auto" w:fill="003F1A"/>
          </w:tcPr>
          <w:p>
            <w:pPr>
              <w:spacing w:after="0"/>
              <w:rPr>
                <w:sz w:val="10"/>
                <w:szCs w:val="10"/>
                <w:color w:val="auto"/>
              </w:rPr>
            </w:pPr>
          </w:p>
        </w:tc>
        <w:tc>
          <w:tcPr>
            <w:tcW w:w="240" w:type="dxa"/>
            <w:vAlign w:val="bottom"/>
            <w:tcBorders>
              <w:bottom w:val="single" w:sz="8" w:color="003F1A"/>
            </w:tcBorders>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6690C5"/>
            </w:tcBorders>
            <w:shd w:val="clear" w:color="auto" w:fill="6690C5"/>
          </w:tcPr>
          <w:p>
            <w:pPr>
              <w:spacing w:after="0"/>
              <w:rPr>
                <w:sz w:val="10"/>
                <w:szCs w:val="10"/>
                <w:color w:val="auto"/>
              </w:rPr>
            </w:pPr>
          </w:p>
        </w:tc>
        <w:tc>
          <w:tcPr>
            <w:tcW w:w="640" w:type="dxa"/>
            <w:vAlign w:val="bottom"/>
          </w:tcPr>
          <w:p>
            <w:pPr>
              <w:spacing w:after="0"/>
              <w:rPr>
                <w:sz w:val="10"/>
                <w:szCs w:val="10"/>
                <w:color w:val="auto"/>
              </w:rPr>
            </w:pPr>
          </w:p>
        </w:tc>
        <w:tc>
          <w:tcPr>
            <w:tcW w:w="1200" w:type="dxa"/>
            <w:vAlign w:val="bottom"/>
            <w:gridSpan w:val="6"/>
          </w:tcPr>
          <w:p>
            <w:pPr>
              <w:spacing w:after="0"/>
              <w:rPr>
                <w:sz w:val="10"/>
                <w:szCs w:val="10"/>
                <w:color w:val="auto"/>
              </w:rPr>
            </w:pPr>
          </w:p>
        </w:tc>
        <w:tc>
          <w:tcPr>
            <w:tcW w:w="340" w:type="dxa"/>
            <w:vAlign w:val="bottom"/>
            <w:tcBorders>
              <w:bottom w:val="single" w:sz="8" w:color="E4DCD0"/>
            </w:tcBorders>
            <w:shd w:val="clear" w:color="auto" w:fill="E4DCD0"/>
          </w:tcPr>
          <w:p>
            <w:pPr>
              <w:jc w:val="right"/>
              <w:spacing w:after="0" w:line="116" w:lineRule="exact"/>
              <w:rPr>
                <w:sz w:val="20"/>
                <w:szCs w:val="20"/>
                <w:color w:val="auto"/>
              </w:rPr>
            </w:pPr>
            <w:r>
              <w:rPr>
                <w:rFonts w:ascii="Arial" w:cs="Arial" w:eastAsia="Arial" w:hAnsi="Arial"/>
                <w:sz w:val="12"/>
                <w:szCs w:val="12"/>
                <w:b w:val="1"/>
                <w:bCs w:val="1"/>
                <w:color w:val="274134"/>
                <w:highlight w:val="lightGray"/>
              </w:rPr>
              <w:t>$308</w:t>
            </w:r>
          </w:p>
        </w:tc>
        <w:tc>
          <w:tcPr>
            <w:tcW w:w="30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260" w:type="dxa"/>
            <w:vAlign w:val="bottom"/>
            <w:tcBorders>
              <w:bottom w:val="single" w:sz="8" w:color="E4DCD0"/>
            </w:tcBorders>
            <w:shd w:val="clear" w:color="auto" w:fill="E4DCD0"/>
          </w:tcPr>
          <w:p>
            <w:pPr>
              <w:jc w:val="right"/>
              <w:spacing w:after="0" w:line="80" w:lineRule="exact"/>
              <w:rPr>
                <w:sz w:val="20"/>
                <w:szCs w:val="20"/>
                <w:color w:val="auto"/>
              </w:rPr>
            </w:pPr>
            <w:r>
              <w:rPr>
                <w:rFonts w:ascii="Arial" w:cs="Arial" w:eastAsia="Arial" w:hAnsi="Arial"/>
                <w:sz w:val="9"/>
                <w:szCs w:val="9"/>
                <w:b w:val="1"/>
                <w:bCs w:val="1"/>
                <w:color w:val="274134"/>
                <w:highlight w:val="lightGray"/>
              </w:rPr>
              <w:t>$311</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bottom w:val="single" w:sz="8" w:color="6690C5"/>
            </w:tcBorders>
            <w:shd w:val="clear" w:color="auto" w:fill="6690C5"/>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80" w:type="dxa"/>
            <w:vAlign w:val="bottom"/>
            <w:gridSpan w:val="4"/>
          </w:tcPr>
          <w:p>
            <w:pPr>
              <w:spacing w:after="0"/>
              <w:rPr>
                <w:sz w:val="2"/>
                <w:szCs w:val="2"/>
                <w:color w:val="auto"/>
              </w:rPr>
            </w:pPr>
          </w:p>
        </w:tc>
        <w:tc>
          <w:tcPr>
            <w:tcW w:w="340" w:type="dxa"/>
            <w:vAlign w:val="bottom"/>
            <w:gridSpan w:val="2"/>
          </w:tcPr>
          <w:p>
            <w:pPr>
              <w:spacing w:after="0"/>
              <w:rPr>
                <w:sz w:val="2"/>
                <w:szCs w:val="2"/>
                <w:color w:val="auto"/>
              </w:rPr>
            </w:pPr>
          </w:p>
        </w:tc>
        <w:tc>
          <w:tcPr>
            <w:tcW w:w="320" w:type="dxa"/>
            <w:vAlign w:val="bottom"/>
            <w:tcBorders>
              <w:top w:val="single" w:sz="8" w:color="E4DCD0"/>
              <w:bottom w:val="single" w:sz="8" w:color="E4DCD0"/>
            </w:tcBorders>
            <w:shd w:val="clear" w:color="auto" w:fill="E4DCD0"/>
          </w:tcPr>
          <w:p>
            <w:pPr>
              <w:jc w:val="right"/>
              <w:spacing w:after="0" w:line="27" w:lineRule="exact"/>
              <w:rPr>
                <w:sz w:val="20"/>
                <w:szCs w:val="20"/>
                <w:color w:val="auto"/>
              </w:rPr>
            </w:pPr>
            <w:r>
              <w:rPr>
                <w:rFonts w:ascii="Arial" w:cs="Arial" w:eastAsia="Arial" w:hAnsi="Arial"/>
                <w:sz w:val="3"/>
                <w:szCs w:val="3"/>
                <w:b w:val="1"/>
                <w:bCs w:val="1"/>
                <w:color w:val="274134"/>
                <w:highlight w:val="lightGray"/>
              </w:rPr>
              <w:t>$894</w:t>
            </w: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003F1A"/>
              <w:bottom w:val="single" w:sz="8" w:color="003F1A"/>
            </w:tcBorders>
            <w:shd w:val="clear" w:color="auto" w:fill="003F1A"/>
          </w:tcPr>
          <w:p>
            <w:pPr>
              <w:spacing w:after="0"/>
              <w:rPr>
                <w:sz w:val="2"/>
                <w:szCs w:val="2"/>
                <w:color w:val="auto"/>
              </w:rPr>
            </w:pPr>
          </w:p>
        </w:tc>
        <w:tc>
          <w:tcPr>
            <w:tcW w:w="60" w:type="dxa"/>
            <w:vAlign w:val="bottom"/>
            <w:tcBorders>
              <w:top w:val="single" w:sz="8" w:color="003F1A"/>
              <w:bottom w:val="single" w:sz="8" w:color="003F1A"/>
            </w:tcBorders>
            <w:shd w:val="clear" w:color="auto" w:fill="003F1A"/>
          </w:tcPr>
          <w:p>
            <w:pPr>
              <w:spacing w:after="0"/>
              <w:rPr>
                <w:sz w:val="2"/>
                <w:szCs w:val="2"/>
                <w:color w:val="auto"/>
              </w:rPr>
            </w:pPr>
          </w:p>
        </w:tc>
        <w:tc>
          <w:tcPr>
            <w:tcW w:w="380" w:type="dxa"/>
            <w:vAlign w:val="bottom"/>
            <w:tcBorders>
              <w:top w:val="single" w:sz="8" w:color="003F1A"/>
              <w:bottom w:val="single" w:sz="8" w:color="003F1A"/>
            </w:tcBorders>
            <w:shd w:val="clear" w:color="auto" w:fill="003F1A"/>
          </w:tcPr>
          <w:p>
            <w:pPr>
              <w:spacing w:after="0"/>
              <w:rPr>
                <w:sz w:val="2"/>
                <w:szCs w:val="2"/>
                <w:color w:val="auto"/>
              </w:rPr>
            </w:pPr>
          </w:p>
        </w:tc>
        <w:tc>
          <w:tcPr>
            <w:tcW w:w="260" w:type="dxa"/>
            <w:vAlign w:val="bottom"/>
            <w:tcBorders>
              <w:top w:val="single" w:sz="8" w:color="003F1A"/>
              <w:bottom w:val="single" w:sz="8" w:color="003F1A"/>
            </w:tcBorders>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top w:val="single" w:sz="8" w:color="003F1A"/>
              <w:bottom w:val="single" w:sz="8" w:color="003F1A"/>
            </w:tcBorders>
            <w:shd w:val="clear" w:color="auto" w:fill="003F1A"/>
          </w:tcPr>
          <w:p>
            <w:pPr>
              <w:spacing w:after="0"/>
              <w:rPr>
                <w:sz w:val="2"/>
                <w:szCs w:val="2"/>
                <w:color w:val="auto"/>
              </w:rPr>
            </w:pPr>
          </w:p>
        </w:tc>
        <w:tc>
          <w:tcPr>
            <w:tcW w:w="420" w:type="dxa"/>
            <w:vAlign w:val="bottom"/>
            <w:tcBorders>
              <w:top w:val="single" w:sz="8" w:color="003F1A"/>
              <w:bottom w:val="single" w:sz="8" w:color="003F1A"/>
            </w:tcBorders>
            <w:shd w:val="clear" w:color="auto" w:fill="003F1A"/>
          </w:tcPr>
          <w:p>
            <w:pPr>
              <w:spacing w:after="0"/>
              <w:rPr>
                <w:sz w:val="2"/>
                <w:szCs w:val="2"/>
                <w:color w:val="auto"/>
              </w:rPr>
            </w:pPr>
          </w:p>
        </w:tc>
        <w:tc>
          <w:tcPr>
            <w:tcW w:w="240" w:type="dxa"/>
            <w:vAlign w:val="bottom"/>
            <w:tcBorders>
              <w:top w:val="single" w:sz="8" w:color="003F1A"/>
              <w:bottom w:val="single" w:sz="8" w:color="003F1A"/>
            </w:tcBorders>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top w:val="single" w:sz="8" w:color="6690C5"/>
              <w:bottom w:val="single" w:sz="8" w:color="6690C5"/>
            </w:tcBorders>
            <w:shd w:val="clear" w:color="auto" w:fill="6690C5"/>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top w:val="single" w:sz="8" w:color="E4DCD0"/>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003F1A"/>
              <w:bottom w:val="single" w:sz="8" w:color="003F1A"/>
            </w:tcBorders>
            <w:shd w:val="clear" w:color="auto" w:fill="003F1A"/>
          </w:tcPr>
          <w:p>
            <w:pPr>
              <w:spacing w:after="0"/>
              <w:rPr>
                <w:sz w:val="2"/>
                <w:szCs w:val="2"/>
                <w:color w:val="auto"/>
              </w:rPr>
            </w:pPr>
          </w:p>
        </w:tc>
        <w:tc>
          <w:tcPr>
            <w:tcW w:w="320" w:type="dxa"/>
            <w:vAlign w:val="bottom"/>
            <w:tcBorders>
              <w:top w:val="single" w:sz="8" w:color="003F1A"/>
              <w:bottom w:val="single" w:sz="8" w:color="003F1A"/>
            </w:tcBorders>
            <w:shd w:val="clear" w:color="auto" w:fill="003F1A"/>
          </w:tcPr>
          <w:p>
            <w:pPr>
              <w:spacing w:after="0"/>
              <w:rPr>
                <w:sz w:val="2"/>
                <w:szCs w:val="2"/>
                <w:color w:val="auto"/>
              </w:rPr>
            </w:pPr>
          </w:p>
        </w:tc>
        <w:tc>
          <w:tcPr>
            <w:tcW w:w="300" w:type="dxa"/>
            <w:vAlign w:val="bottom"/>
            <w:tcBorders>
              <w:top w:val="single" w:sz="8" w:color="003F1A"/>
              <w:bottom w:val="single" w:sz="8" w:color="003F1A"/>
            </w:tcBorders>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top w:val="single" w:sz="8" w:color="6690C5"/>
              <w:bottom w:val="single" w:sz="8" w:color="6690C5"/>
            </w:tcBorders>
            <w:shd w:val="clear" w:color="auto" w:fill="6690C5"/>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3F1A"/>
          </w:tcPr>
          <w:p>
            <w:pPr>
              <w:spacing w:after="0" w:line="20" w:lineRule="exact"/>
              <w:rPr>
                <w:sz w:val="1"/>
                <w:szCs w:val="1"/>
                <w:color w:val="auto"/>
              </w:rPr>
            </w:pPr>
          </w:p>
        </w:tc>
        <w:tc>
          <w:tcPr>
            <w:tcW w:w="60" w:type="dxa"/>
            <w:vAlign w:val="bottom"/>
            <w:shd w:val="clear" w:color="auto" w:fill="003F1A"/>
          </w:tcPr>
          <w:p>
            <w:pPr>
              <w:spacing w:after="0" w:line="20" w:lineRule="exact"/>
              <w:rPr>
                <w:sz w:val="1"/>
                <w:szCs w:val="1"/>
                <w:color w:val="auto"/>
              </w:rPr>
            </w:pPr>
          </w:p>
        </w:tc>
        <w:tc>
          <w:tcPr>
            <w:tcW w:w="380" w:type="dxa"/>
            <w:vAlign w:val="bottom"/>
            <w:shd w:val="clear" w:color="auto" w:fill="003F1A"/>
          </w:tcPr>
          <w:p>
            <w:pPr>
              <w:spacing w:after="0" w:line="20" w:lineRule="exact"/>
              <w:rPr>
                <w:sz w:val="1"/>
                <w:szCs w:val="1"/>
                <w:color w:val="auto"/>
              </w:rPr>
            </w:pPr>
          </w:p>
        </w:tc>
        <w:tc>
          <w:tcPr>
            <w:tcW w:w="260" w:type="dxa"/>
            <w:vAlign w:val="bottom"/>
            <w:shd w:val="clear" w:color="auto" w:fill="003F1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3F1A"/>
          </w:tcPr>
          <w:p>
            <w:pPr>
              <w:spacing w:after="0" w:line="20" w:lineRule="exact"/>
              <w:rPr>
                <w:sz w:val="1"/>
                <w:szCs w:val="1"/>
                <w:color w:val="auto"/>
              </w:rPr>
            </w:pPr>
          </w:p>
        </w:tc>
        <w:tc>
          <w:tcPr>
            <w:tcW w:w="420" w:type="dxa"/>
            <w:vAlign w:val="bottom"/>
            <w:shd w:val="clear" w:color="auto" w:fill="003F1A"/>
          </w:tcPr>
          <w:p>
            <w:pPr>
              <w:spacing w:after="0" w:line="20" w:lineRule="exact"/>
              <w:rPr>
                <w:sz w:val="1"/>
                <w:szCs w:val="1"/>
                <w:color w:val="auto"/>
              </w:rPr>
            </w:pPr>
          </w:p>
        </w:tc>
        <w:tc>
          <w:tcPr>
            <w:tcW w:w="240" w:type="dxa"/>
            <w:vAlign w:val="bottom"/>
            <w:shd w:val="clear" w:color="auto" w:fill="003F1A"/>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6690C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3F1A"/>
          </w:tcPr>
          <w:p>
            <w:pPr>
              <w:spacing w:after="0" w:line="20" w:lineRule="exact"/>
              <w:rPr>
                <w:sz w:val="1"/>
                <w:szCs w:val="1"/>
                <w:color w:val="auto"/>
              </w:rPr>
            </w:pPr>
          </w:p>
        </w:tc>
        <w:tc>
          <w:tcPr>
            <w:tcW w:w="320" w:type="dxa"/>
            <w:vAlign w:val="bottom"/>
            <w:shd w:val="clear" w:color="auto" w:fill="003F1A"/>
          </w:tcPr>
          <w:p>
            <w:pPr>
              <w:spacing w:after="0" w:line="20" w:lineRule="exact"/>
              <w:rPr>
                <w:sz w:val="1"/>
                <w:szCs w:val="1"/>
                <w:color w:val="auto"/>
              </w:rPr>
            </w:pPr>
          </w:p>
        </w:tc>
        <w:tc>
          <w:tcPr>
            <w:tcW w:w="300" w:type="dxa"/>
            <w:vAlign w:val="bottom"/>
            <w:shd w:val="clear" w:color="auto" w:fill="003F1A"/>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6690C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380" w:type="dxa"/>
            <w:vAlign w:val="bottom"/>
            <w:shd w:val="clear" w:color="auto" w:fill="003F1A"/>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420" w:type="dxa"/>
            <w:vAlign w:val="bottom"/>
            <w:shd w:val="clear" w:color="auto" w:fill="003F1A"/>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shd w:val="clear" w:color="auto" w:fill="6690C5"/>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340" w:type="dxa"/>
            <w:vAlign w:val="bottom"/>
            <w:shd w:val="clear" w:color="auto" w:fill="003F1A"/>
          </w:tcPr>
          <w:p>
            <w:pPr>
              <w:spacing w:after="0"/>
              <w:rPr>
                <w:sz w:val="5"/>
                <w:szCs w:val="5"/>
                <w:color w:val="auto"/>
              </w:rPr>
            </w:pPr>
          </w:p>
        </w:tc>
        <w:tc>
          <w:tcPr>
            <w:tcW w:w="30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34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320" w:type="dxa"/>
            <w:vAlign w:val="bottom"/>
            <w:shd w:val="clear" w:color="auto" w:fill="003F1A"/>
          </w:tcPr>
          <w:p>
            <w:pPr>
              <w:spacing w:after="0"/>
              <w:rPr>
                <w:sz w:val="5"/>
                <w:szCs w:val="5"/>
                <w:color w:val="auto"/>
              </w:rPr>
            </w:pPr>
          </w:p>
        </w:tc>
        <w:tc>
          <w:tcPr>
            <w:tcW w:w="30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shd w:val="clear" w:color="auto" w:fill="6690C5"/>
          </w:tcPr>
          <w:p>
            <w:pPr>
              <w:spacing w:after="0"/>
              <w:rPr>
                <w:sz w:val="5"/>
                <w:szCs w:val="5"/>
                <w:color w:val="auto"/>
              </w:rPr>
            </w:pPr>
          </w:p>
        </w:tc>
        <w:tc>
          <w:tcPr>
            <w:tcW w:w="0" w:type="dxa"/>
            <w:vAlign w:val="bottom"/>
          </w:tcPr>
          <w:p>
            <w:pPr>
              <w:spacing w:after="0"/>
              <w:rPr>
                <w:sz w:val="1"/>
                <w:szCs w:val="1"/>
                <w:color w:val="auto"/>
              </w:rPr>
            </w:pPr>
          </w:p>
        </w:tc>
      </w:tr>
      <w:tr>
        <w:trPr>
          <w:trHeight w:val="468"/>
        </w:trPr>
        <w:tc>
          <w:tcPr>
            <w:tcW w:w="26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shd w:val="clear" w:color="auto" w:fill="003F1A"/>
          </w:tcPr>
          <w:p>
            <w:pPr>
              <w:spacing w:after="0"/>
              <w:rPr>
                <w:sz w:val="24"/>
                <w:szCs w:val="24"/>
                <w:color w:val="auto"/>
              </w:rPr>
            </w:pPr>
          </w:p>
        </w:tc>
        <w:tc>
          <w:tcPr>
            <w:tcW w:w="320" w:type="dxa"/>
            <w:vAlign w:val="bottom"/>
            <w:shd w:val="clear" w:color="auto" w:fill="003F1A"/>
          </w:tcPr>
          <w:p>
            <w:pPr>
              <w:spacing w:after="0"/>
              <w:rPr>
                <w:sz w:val="24"/>
                <w:szCs w:val="24"/>
                <w:color w:val="auto"/>
              </w:rPr>
            </w:pPr>
          </w:p>
        </w:tc>
        <w:tc>
          <w:tcPr>
            <w:tcW w:w="30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shd w:val="clear" w:color="auto" w:fill="003F1A"/>
          </w:tcPr>
          <w:p>
            <w:pPr>
              <w:spacing w:after="0"/>
              <w:rPr>
                <w:sz w:val="24"/>
                <w:szCs w:val="24"/>
                <w:color w:val="auto"/>
              </w:rPr>
            </w:pPr>
          </w:p>
        </w:tc>
        <w:tc>
          <w:tcPr>
            <w:tcW w:w="60" w:type="dxa"/>
            <w:vAlign w:val="bottom"/>
            <w:shd w:val="clear" w:color="auto" w:fill="003F1A"/>
          </w:tcPr>
          <w:p>
            <w:pPr>
              <w:spacing w:after="0"/>
              <w:rPr>
                <w:sz w:val="24"/>
                <w:szCs w:val="24"/>
                <w:color w:val="auto"/>
              </w:rPr>
            </w:pPr>
          </w:p>
        </w:tc>
        <w:tc>
          <w:tcPr>
            <w:tcW w:w="380" w:type="dxa"/>
            <w:vAlign w:val="bottom"/>
            <w:shd w:val="clear" w:color="auto" w:fill="003F1A"/>
          </w:tcPr>
          <w:p>
            <w:pPr>
              <w:spacing w:after="0"/>
              <w:rPr>
                <w:sz w:val="24"/>
                <w:szCs w:val="24"/>
                <w:color w:val="auto"/>
              </w:rPr>
            </w:pPr>
          </w:p>
        </w:tc>
        <w:tc>
          <w:tcPr>
            <w:tcW w:w="260" w:type="dxa"/>
            <w:vAlign w:val="bottom"/>
            <w:shd w:val="clear" w:color="auto" w:fill="003F1A"/>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shd w:val="clear" w:color="auto" w:fill="003F1A"/>
          </w:tcPr>
          <w:p>
            <w:pPr>
              <w:spacing w:after="0"/>
              <w:rPr>
                <w:sz w:val="24"/>
                <w:szCs w:val="24"/>
                <w:color w:val="auto"/>
              </w:rPr>
            </w:pPr>
          </w:p>
        </w:tc>
        <w:tc>
          <w:tcPr>
            <w:tcW w:w="420" w:type="dxa"/>
            <w:vAlign w:val="bottom"/>
            <w:shd w:val="clear" w:color="auto" w:fill="003F1A"/>
          </w:tcPr>
          <w:p>
            <w:pPr>
              <w:spacing w:after="0"/>
              <w:rPr>
                <w:sz w:val="24"/>
                <w:szCs w:val="24"/>
                <w:color w:val="auto"/>
              </w:rPr>
            </w:pPr>
          </w:p>
        </w:tc>
        <w:tc>
          <w:tcPr>
            <w:tcW w:w="240" w:type="dxa"/>
            <w:vAlign w:val="bottom"/>
            <w:shd w:val="clear" w:color="auto" w:fill="003F1A"/>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shd w:val="clear" w:color="auto" w:fill="6690C5"/>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shd w:val="clear" w:color="auto" w:fill="003F1A"/>
          </w:tcPr>
          <w:p>
            <w:pPr>
              <w:spacing w:after="0"/>
              <w:rPr>
                <w:sz w:val="24"/>
                <w:szCs w:val="24"/>
                <w:color w:val="auto"/>
              </w:rPr>
            </w:pPr>
          </w:p>
        </w:tc>
        <w:tc>
          <w:tcPr>
            <w:tcW w:w="340" w:type="dxa"/>
            <w:vAlign w:val="bottom"/>
            <w:shd w:val="clear" w:color="auto" w:fill="003F1A"/>
          </w:tcPr>
          <w:p>
            <w:pPr>
              <w:spacing w:after="0"/>
              <w:rPr>
                <w:sz w:val="24"/>
                <w:szCs w:val="24"/>
                <w:color w:val="auto"/>
              </w:rPr>
            </w:pPr>
          </w:p>
        </w:tc>
        <w:tc>
          <w:tcPr>
            <w:tcW w:w="30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260" w:type="dxa"/>
            <w:vAlign w:val="bottom"/>
            <w:shd w:val="clear" w:color="auto" w:fill="003F1A"/>
          </w:tcPr>
          <w:p>
            <w:pPr>
              <w:spacing w:after="0"/>
              <w:rPr>
                <w:sz w:val="24"/>
                <w:szCs w:val="24"/>
                <w:color w:val="auto"/>
              </w:rPr>
            </w:pPr>
          </w:p>
        </w:tc>
        <w:tc>
          <w:tcPr>
            <w:tcW w:w="34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shd w:val="clear" w:color="auto" w:fill="003F1A"/>
          </w:tcPr>
          <w:p>
            <w:pPr>
              <w:spacing w:after="0"/>
              <w:rPr>
                <w:sz w:val="24"/>
                <w:szCs w:val="24"/>
                <w:color w:val="auto"/>
              </w:rPr>
            </w:pPr>
          </w:p>
        </w:tc>
        <w:tc>
          <w:tcPr>
            <w:tcW w:w="320" w:type="dxa"/>
            <w:vAlign w:val="bottom"/>
            <w:shd w:val="clear" w:color="auto" w:fill="003F1A"/>
          </w:tcPr>
          <w:p>
            <w:pPr>
              <w:spacing w:after="0"/>
              <w:rPr>
                <w:sz w:val="24"/>
                <w:szCs w:val="24"/>
                <w:color w:val="auto"/>
              </w:rPr>
            </w:pPr>
          </w:p>
        </w:tc>
        <w:tc>
          <w:tcPr>
            <w:tcW w:w="30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shd w:val="clear" w:color="auto" w:fill="6690C5"/>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60" w:type="dxa"/>
            <w:vAlign w:val="bottom"/>
            <w:vMerge w:val="continue"/>
          </w:tcPr>
          <w:p>
            <w:pPr>
              <w:spacing w:after="0"/>
              <w:rPr>
                <w:sz w:val="2"/>
                <w:szCs w:val="2"/>
                <w:color w:val="auto"/>
              </w:rPr>
            </w:pPr>
          </w:p>
        </w:tc>
        <w:tc>
          <w:tcPr>
            <w:tcW w:w="300" w:type="dxa"/>
            <w:vAlign w:val="bottom"/>
            <w:vMerge w:val="restart"/>
            <w:shd w:val="clear" w:color="auto" w:fill="E4DCD0"/>
          </w:tcPr>
          <w:p>
            <w:pPr>
              <w:jc w:val="right"/>
              <w:spacing w:after="0" w:line="101" w:lineRule="exact"/>
              <w:rPr>
                <w:sz w:val="20"/>
                <w:szCs w:val="20"/>
                <w:color w:val="auto"/>
              </w:rPr>
            </w:pPr>
            <w:r>
              <w:rPr>
                <w:rFonts w:ascii="Arial" w:cs="Arial" w:eastAsia="Arial" w:hAnsi="Arial"/>
                <w:sz w:val="11"/>
                <w:szCs w:val="11"/>
                <w:b w:val="1"/>
                <w:bCs w:val="1"/>
                <w:color w:val="274134"/>
                <w:highlight w:val="lightGray"/>
              </w:rPr>
              <w:t>$557</w:t>
            </w:r>
          </w:p>
        </w:tc>
        <w:tc>
          <w:tcPr>
            <w:tcW w:w="220" w:type="dxa"/>
            <w:vAlign w:val="bottom"/>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2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3F1A"/>
          </w:tcPr>
          <w:p>
            <w:pPr>
              <w:spacing w:after="0"/>
              <w:rPr>
                <w:sz w:val="2"/>
                <w:szCs w:val="2"/>
                <w:color w:val="auto"/>
              </w:rPr>
            </w:pPr>
          </w:p>
        </w:tc>
        <w:tc>
          <w:tcPr>
            <w:tcW w:w="60" w:type="dxa"/>
            <w:vAlign w:val="bottom"/>
            <w:shd w:val="clear" w:color="auto" w:fill="003F1A"/>
          </w:tcPr>
          <w:p>
            <w:pPr>
              <w:spacing w:after="0"/>
              <w:rPr>
                <w:sz w:val="2"/>
                <w:szCs w:val="2"/>
                <w:color w:val="auto"/>
              </w:rPr>
            </w:pPr>
          </w:p>
        </w:tc>
        <w:tc>
          <w:tcPr>
            <w:tcW w:w="380" w:type="dxa"/>
            <w:vAlign w:val="bottom"/>
            <w:shd w:val="clear" w:color="auto" w:fill="003F1A"/>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420" w:type="dxa"/>
            <w:vAlign w:val="bottom"/>
            <w:shd w:val="clear" w:color="auto" w:fill="003F1A"/>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6690C5"/>
          </w:tcPr>
          <w:p>
            <w:pPr>
              <w:spacing w:after="0"/>
              <w:rPr>
                <w:sz w:val="2"/>
                <w:szCs w:val="2"/>
                <w:color w:val="auto"/>
              </w:rPr>
            </w:pPr>
          </w:p>
        </w:tc>
        <w:tc>
          <w:tcPr>
            <w:tcW w:w="6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34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3F1A"/>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4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2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6690C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260" w:type="dxa"/>
            <w:vAlign w:val="bottom"/>
            <w:vMerge w:val="continue"/>
          </w:tcPr>
          <w:p>
            <w:pPr>
              <w:spacing w:after="0"/>
              <w:rPr>
                <w:sz w:val="8"/>
                <w:szCs w:val="8"/>
                <w:color w:val="auto"/>
              </w:rPr>
            </w:pPr>
          </w:p>
        </w:tc>
        <w:tc>
          <w:tcPr>
            <w:tcW w:w="300" w:type="dxa"/>
            <w:vAlign w:val="bottom"/>
            <w:vMerge w:val="continue"/>
            <w:shd w:val="clear" w:color="auto" w:fill="E4DCD0"/>
          </w:tcPr>
          <w:p>
            <w:pPr>
              <w:spacing w:after="0"/>
              <w:rPr>
                <w:sz w:val="8"/>
                <w:szCs w:val="8"/>
                <w:color w:val="auto"/>
              </w:rPr>
            </w:pPr>
          </w:p>
        </w:tc>
        <w:tc>
          <w:tcPr>
            <w:tcW w:w="2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60" w:type="dxa"/>
            <w:vAlign w:val="bottom"/>
            <w:shd w:val="clear" w:color="auto" w:fill="003F1A"/>
          </w:tcPr>
          <w:p>
            <w:pPr>
              <w:spacing w:after="0"/>
              <w:rPr>
                <w:sz w:val="8"/>
                <w:szCs w:val="8"/>
                <w:color w:val="auto"/>
              </w:rPr>
            </w:pPr>
          </w:p>
        </w:tc>
        <w:tc>
          <w:tcPr>
            <w:tcW w:w="320" w:type="dxa"/>
            <w:vAlign w:val="bottom"/>
            <w:shd w:val="clear" w:color="auto" w:fill="003F1A"/>
          </w:tcPr>
          <w:p>
            <w:pPr>
              <w:spacing w:after="0"/>
              <w:rPr>
                <w:sz w:val="8"/>
                <w:szCs w:val="8"/>
                <w:color w:val="auto"/>
              </w:rPr>
            </w:pPr>
          </w:p>
        </w:tc>
        <w:tc>
          <w:tcPr>
            <w:tcW w:w="300" w:type="dxa"/>
            <w:vAlign w:val="bottom"/>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shd w:val="clear" w:color="auto" w:fill="003F1A"/>
          </w:tcPr>
          <w:p>
            <w:pPr>
              <w:spacing w:after="0"/>
              <w:rPr>
                <w:sz w:val="8"/>
                <w:szCs w:val="8"/>
                <w:color w:val="auto"/>
              </w:rPr>
            </w:pPr>
          </w:p>
        </w:tc>
        <w:tc>
          <w:tcPr>
            <w:tcW w:w="60" w:type="dxa"/>
            <w:vAlign w:val="bottom"/>
            <w:shd w:val="clear" w:color="auto" w:fill="003F1A"/>
          </w:tcPr>
          <w:p>
            <w:pPr>
              <w:spacing w:after="0"/>
              <w:rPr>
                <w:sz w:val="8"/>
                <w:szCs w:val="8"/>
                <w:color w:val="auto"/>
              </w:rPr>
            </w:pPr>
          </w:p>
        </w:tc>
        <w:tc>
          <w:tcPr>
            <w:tcW w:w="380" w:type="dxa"/>
            <w:vAlign w:val="bottom"/>
            <w:shd w:val="clear" w:color="auto" w:fill="003F1A"/>
          </w:tcPr>
          <w:p>
            <w:pPr>
              <w:spacing w:after="0"/>
              <w:rPr>
                <w:sz w:val="8"/>
                <w:szCs w:val="8"/>
                <w:color w:val="auto"/>
              </w:rPr>
            </w:pPr>
          </w:p>
        </w:tc>
        <w:tc>
          <w:tcPr>
            <w:tcW w:w="260" w:type="dxa"/>
            <w:vAlign w:val="bottom"/>
            <w:shd w:val="clear" w:color="auto" w:fill="003F1A"/>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shd w:val="clear" w:color="auto" w:fill="003F1A"/>
          </w:tcPr>
          <w:p>
            <w:pPr>
              <w:spacing w:after="0"/>
              <w:rPr>
                <w:sz w:val="8"/>
                <w:szCs w:val="8"/>
                <w:color w:val="auto"/>
              </w:rPr>
            </w:pPr>
          </w:p>
        </w:tc>
        <w:tc>
          <w:tcPr>
            <w:tcW w:w="420" w:type="dxa"/>
            <w:vAlign w:val="bottom"/>
            <w:shd w:val="clear" w:color="auto" w:fill="003F1A"/>
          </w:tcPr>
          <w:p>
            <w:pPr>
              <w:spacing w:after="0"/>
              <w:rPr>
                <w:sz w:val="8"/>
                <w:szCs w:val="8"/>
                <w:color w:val="auto"/>
              </w:rPr>
            </w:pPr>
          </w:p>
        </w:tc>
        <w:tc>
          <w:tcPr>
            <w:tcW w:w="240" w:type="dxa"/>
            <w:vAlign w:val="bottom"/>
            <w:shd w:val="clear" w:color="auto" w:fill="003F1A"/>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shd w:val="clear" w:color="auto" w:fill="6690C5"/>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00" w:type="dxa"/>
            <w:vAlign w:val="bottom"/>
            <w:vMerge w:val="restart"/>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rPr>
              <w:t>$180</w:t>
            </w:r>
          </w:p>
        </w:tc>
        <w:tc>
          <w:tcPr>
            <w:tcW w:w="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shd w:val="clear" w:color="auto" w:fill="003F1A"/>
          </w:tcPr>
          <w:p>
            <w:pPr>
              <w:spacing w:after="0"/>
              <w:rPr>
                <w:sz w:val="8"/>
                <w:szCs w:val="8"/>
                <w:color w:val="auto"/>
              </w:rPr>
            </w:pPr>
          </w:p>
        </w:tc>
        <w:tc>
          <w:tcPr>
            <w:tcW w:w="340" w:type="dxa"/>
            <w:vAlign w:val="bottom"/>
            <w:shd w:val="clear" w:color="auto" w:fill="003F1A"/>
          </w:tcPr>
          <w:p>
            <w:pPr>
              <w:spacing w:after="0"/>
              <w:rPr>
                <w:sz w:val="8"/>
                <w:szCs w:val="8"/>
                <w:color w:val="auto"/>
              </w:rPr>
            </w:pPr>
          </w:p>
        </w:tc>
        <w:tc>
          <w:tcPr>
            <w:tcW w:w="300" w:type="dxa"/>
            <w:vAlign w:val="bottom"/>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shd w:val="clear" w:color="auto" w:fill="003F1A"/>
          </w:tcPr>
          <w:p>
            <w:pPr>
              <w:spacing w:after="0"/>
              <w:rPr>
                <w:sz w:val="8"/>
                <w:szCs w:val="8"/>
                <w:color w:val="auto"/>
              </w:rPr>
            </w:pPr>
          </w:p>
        </w:tc>
        <w:tc>
          <w:tcPr>
            <w:tcW w:w="260" w:type="dxa"/>
            <w:vAlign w:val="bottom"/>
            <w:shd w:val="clear" w:color="auto" w:fill="003F1A"/>
          </w:tcPr>
          <w:p>
            <w:pPr>
              <w:spacing w:after="0"/>
              <w:rPr>
                <w:sz w:val="8"/>
                <w:szCs w:val="8"/>
                <w:color w:val="auto"/>
              </w:rPr>
            </w:pPr>
          </w:p>
        </w:tc>
        <w:tc>
          <w:tcPr>
            <w:tcW w:w="340" w:type="dxa"/>
            <w:vAlign w:val="bottom"/>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shd w:val="clear" w:color="auto" w:fill="003F1A"/>
          </w:tcPr>
          <w:p>
            <w:pPr>
              <w:spacing w:after="0"/>
              <w:rPr>
                <w:sz w:val="8"/>
                <w:szCs w:val="8"/>
                <w:color w:val="auto"/>
              </w:rPr>
            </w:pPr>
          </w:p>
        </w:tc>
        <w:tc>
          <w:tcPr>
            <w:tcW w:w="320" w:type="dxa"/>
            <w:vAlign w:val="bottom"/>
            <w:shd w:val="clear" w:color="auto" w:fill="003F1A"/>
          </w:tcPr>
          <w:p>
            <w:pPr>
              <w:spacing w:after="0"/>
              <w:rPr>
                <w:sz w:val="8"/>
                <w:szCs w:val="8"/>
                <w:color w:val="auto"/>
              </w:rPr>
            </w:pPr>
          </w:p>
        </w:tc>
        <w:tc>
          <w:tcPr>
            <w:tcW w:w="300" w:type="dxa"/>
            <w:vAlign w:val="bottom"/>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shd w:val="clear" w:color="auto" w:fill="6690C5"/>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2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3F1A"/>
          </w:tcPr>
          <w:p>
            <w:pPr>
              <w:spacing w:after="0"/>
              <w:rPr>
                <w:sz w:val="2"/>
                <w:szCs w:val="2"/>
                <w:color w:val="auto"/>
              </w:rPr>
            </w:pPr>
          </w:p>
        </w:tc>
        <w:tc>
          <w:tcPr>
            <w:tcW w:w="60" w:type="dxa"/>
            <w:vAlign w:val="bottom"/>
            <w:shd w:val="clear" w:color="auto" w:fill="003F1A"/>
          </w:tcPr>
          <w:p>
            <w:pPr>
              <w:spacing w:after="0"/>
              <w:rPr>
                <w:sz w:val="2"/>
                <w:szCs w:val="2"/>
                <w:color w:val="auto"/>
              </w:rPr>
            </w:pPr>
          </w:p>
        </w:tc>
        <w:tc>
          <w:tcPr>
            <w:tcW w:w="380" w:type="dxa"/>
            <w:vAlign w:val="bottom"/>
            <w:shd w:val="clear" w:color="auto" w:fill="003F1A"/>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420" w:type="dxa"/>
            <w:vAlign w:val="bottom"/>
            <w:shd w:val="clear" w:color="auto" w:fill="003F1A"/>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shd w:val="clear" w:color="auto" w:fill="6690C5"/>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vMerge w:val="continue"/>
            <w:shd w:val="clear" w:color="auto" w:fill="E4DCD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3F1A"/>
          </w:tcPr>
          <w:p>
            <w:pPr>
              <w:spacing w:after="0"/>
              <w:rPr>
                <w:sz w:val="2"/>
                <w:szCs w:val="2"/>
                <w:color w:val="auto"/>
              </w:rPr>
            </w:pPr>
          </w:p>
        </w:tc>
        <w:tc>
          <w:tcPr>
            <w:tcW w:w="34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3F1A"/>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4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3F1A"/>
          </w:tcPr>
          <w:p>
            <w:pPr>
              <w:spacing w:after="0"/>
              <w:rPr>
                <w:sz w:val="2"/>
                <w:szCs w:val="2"/>
                <w:color w:val="auto"/>
              </w:rPr>
            </w:pPr>
          </w:p>
        </w:tc>
        <w:tc>
          <w:tcPr>
            <w:tcW w:w="320" w:type="dxa"/>
            <w:vAlign w:val="bottom"/>
            <w:shd w:val="clear" w:color="auto" w:fill="003F1A"/>
          </w:tcPr>
          <w:p>
            <w:pPr>
              <w:spacing w:after="0"/>
              <w:rPr>
                <w:sz w:val="2"/>
                <w:szCs w:val="2"/>
                <w:color w:val="auto"/>
              </w:rPr>
            </w:pPr>
          </w:p>
        </w:tc>
        <w:tc>
          <w:tcPr>
            <w:tcW w:w="300" w:type="dxa"/>
            <w:vAlign w:val="bottom"/>
            <w:shd w:val="clear" w:color="auto" w:fill="003F1A"/>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6690C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60" w:type="dxa"/>
            <w:vAlign w:val="bottom"/>
            <w:tcBorders>
              <w:bottom w:val="single" w:sz="8" w:color="003F1A"/>
            </w:tcBorders>
          </w:tcPr>
          <w:p>
            <w:pPr>
              <w:spacing w:after="0"/>
              <w:rPr>
                <w:sz w:val="8"/>
                <w:szCs w:val="8"/>
                <w:color w:val="auto"/>
              </w:rPr>
            </w:pPr>
          </w:p>
        </w:tc>
        <w:tc>
          <w:tcPr>
            <w:tcW w:w="300" w:type="dxa"/>
            <w:vAlign w:val="bottom"/>
            <w:tcBorders>
              <w:bottom w:val="single" w:sz="8" w:color="003F1A"/>
            </w:tcBorders>
          </w:tcPr>
          <w:p>
            <w:pPr>
              <w:spacing w:after="0"/>
              <w:rPr>
                <w:sz w:val="8"/>
                <w:szCs w:val="8"/>
                <w:color w:val="auto"/>
              </w:rPr>
            </w:pPr>
          </w:p>
        </w:tc>
        <w:tc>
          <w:tcPr>
            <w:tcW w:w="220" w:type="dxa"/>
            <w:vAlign w:val="bottom"/>
            <w:tcBorders>
              <w:bottom w:val="single" w:sz="8" w:color="003F1A"/>
            </w:tcBorders>
          </w:tcPr>
          <w:p>
            <w:pPr>
              <w:spacing w:after="0"/>
              <w:rPr>
                <w:sz w:val="8"/>
                <w:szCs w:val="8"/>
                <w:color w:val="auto"/>
              </w:rPr>
            </w:pPr>
          </w:p>
        </w:tc>
        <w:tc>
          <w:tcPr>
            <w:tcW w:w="100" w:type="dxa"/>
            <w:vAlign w:val="bottom"/>
            <w:tcBorders>
              <w:bottom w:val="single" w:sz="8" w:color="003F1A"/>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003F1A"/>
            </w:tcBorders>
            <w:shd w:val="clear" w:color="auto" w:fill="003F1A"/>
          </w:tcPr>
          <w:p>
            <w:pPr>
              <w:spacing w:after="0"/>
              <w:rPr>
                <w:sz w:val="8"/>
                <w:szCs w:val="8"/>
                <w:color w:val="auto"/>
              </w:rPr>
            </w:pPr>
          </w:p>
        </w:tc>
        <w:tc>
          <w:tcPr>
            <w:tcW w:w="320" w:type="dxa"/>
            <w:vAlign w:val="bottom"/>
            <w:tcBorders>
              <w:bottom w:val="single" w:sz="8" w:color="003F1A"/>
            </w:tcBorders>
            <w:shd w:val="clear" w:color="auto" w:fill="003F1A"/>
          </w:tcPr>
          <w:p>
            <w:pPr>
              <w:spacing w:after="0"/>
              <w:rPr>
                <w:sz w:val="8"/>
                <w:szCs w:val="8"/>
                <w:color w:val="auto"/>
              </w:rPr>
            </w:pPr>
          </w:p>
        </w:tc>
        <w:tc>
          <w:tcPr>
            <w:tcW w:w="300" w:type="dxa"/>
            <w:vAlign w:val="bottom"/>
            <w:tcBorders>
              <w:bottom w:val="single" w:sz="8" w:color="003F1A"/>
            </w:tcBorders>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003F1A"/>
            </w:tcBorders>
            <w:shd w:val="clear" w:color="auto" w:fill="003F1A"/>
          </w:tcPr>
          <w:p>
            <w:pPr>
              <w:spacing w:after="0"/>
              <w:rPr>
                <w:sz w:val="8"/>
                <w:szCs w:val="8"/>
                <w:color w:val="auto"/>
              </w:rPr>
            </w:pPr>
          </w:p>
        </w:tc>
        <w:tc>
          <w:tcPr>
            <w:tcW w:w="60" w:type="dxa"/>
            <w:vAlign w:val="bottom"/>
            <w:tcBorders>
              <w:bottom w:val="single" w:sz="8" w:color="003F1A"/>
            </w:tcBorders>
            <w:shd w:val="clear" w:color="auto" w:fill="003F1A"/>
          </w:tcPr>
          <w:p>
            <w:pPr>
              <w:spacing w:after="0"/>
              <w:rPr>
                <w:sz w:val="8"/>
                <w:szCs w:val="8"/>
                <w:color w:val="auto"/>
              </w:rPr>
            </w:pPr>
          </w:p>
        </w:tc>
        <w:tc>
          <w:tcPr>
            <w:tcW w:w="380" w:type="dxa"/>
            <w:vAlign w:val="bottom"/>
            <w:tcBorders>
              <w:bottom w:val="single" w:sz="8" w:color="003F1A"/>
            </w:tcBorders>
            <w:shd w:val="clear" w:color="auto" w:fill="003F1A"/>
          </w:tcPr>
          <w:p>
            <w:pPr>
              <w:spacing w:after="0"/>
              <w:rPr>
                <w:sz w:val="8"/>
                <w:szCs w:val="8"/>
                <w:color w:val="auto"/>
              </w:rPr>
            </w:pPr>
          </w:p>
        </w:tc>
        <w:tc>
          <w:tcPr>
            <w:tcW w:w="260" w:type="dxa"/>
            <w:vAlign w:val="bottom"/>
            <w:tcBorders>
              <w:bottom w:val="single" w:sz="8" w:color="003F1A"/>
            </w:tcBorders>
            <w:shd w:val="clear" w:color="auto" w:fill="003F1A"/>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003F1A"/>
            </w:tcBorders>
            <w:shd w:val="clear" w:color="auto" w:fill="003F1A"/>
          </w:tcPr>
          <w:p>
            <w:pPr>
              <w:spacing w:after="0"/>
              <w:rPr>
                <w:sz w:val="8"/>
                <w:szCs w:val="8"/>
                <w:color w:val="auto"/>
              </w:rPr>
            </w:pPr>
          </w:p>
        </w:tc>
        <w:tc>
          <w:tcPr>
            <w:tcW w:w="420" w:type="dxa"/>
            <w:vAlign w:val="bottom"/>
            <w:tcBorders>
              <w:bottom w:val="single" w:sz="8" w:color="003F1A"/>
            </w:tcBorders>
            <w:shd w:val="clear" w:color="auto" w:fill="003F1A"/>
          </w:tcPr>
          <w:p>
            <w:pPr>
              <w:spacing w:after="0"/>
              <w:rPr>
                <w:sz w:val="8"/>
                <w:szCs w:val="8"/>
                <w:color w:val="auto"/>
              </w:rPr>
            </w:pPr>
          </w:p>
        </w:tc>
        <w:tc>
          <w:tcPr>
            <w:tcW w:w="240" w:type="dxa"/>
            <w:vAlign w:val="bottom"/>
            <w:tcBorders>
              <w:bottom w:val="single" w:sz="8" w:color="003F1A"/>
            </w:tcBorders>
            <w:shd w:val="clear" w:color="auto" w:fill="003F1A"/>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Borders>
              <w:bottom w:val="single" w:sz="8" w:color="6690C5"/>
            </w:tcBorders>
            <w:shd w:val="clear" w:color="auto" w:fill="6690C5"/>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003F1A"/>
            </w:tcBorders>
            <w:shd w:val="clear" w:color="auto" w:fill="003F1A"/>
          </w:tcPr>
          <w:p>
            <w:pPr>
              <w:spacing w:after="0"/>
              <w:rPr>
                <w:sz w:val="8"/>
                <w:szCs w:val="8"/>
                <w:color w:val="auto"/>
              </w:rPr>
            </w:pPr>
          </w:p>
        </w:tc>
        <w:tc>
          <w:tcPr>
            <w:tcW w:w="340" w:type="dxa"/>
            <w:vAlign w:val="bottom"/>
            <w:tcBorders>
              <w:bottom w:val="single" w:sz="8" w:color="003F1A"/>
            </w:tcBorders>
            <w:shd w:val="clear" w:color="auto" w:fill="003F1A"/>
          </w:tcPr>
          <w:p>
            <w:pPr>
              <w:spacing w:after="0"/>
              <w:rPr>
                <w:sz w:val="8"/>
                <w:szCs w:val="8"/>
                <w:color w:val="auto"/>
              </w:rPr>
            </w:pPr>
          </w:p>
        </w:tc>
        <w:tc>
          <w:tcPr>
            <w:tcW w:w="300" w:type="dxa"/>
            <w:vAlign w:val="bottom"/>
            <w:tcBorders>
              <w:bottom w:val="single" w:sz="8" w:color="003F1A"/>
            </w:tcBorders>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003F1A"/>
            </w:tcBorders>
            <w:shd w:val="clear" w:color="auto" w:fill="003F1A"/>
          </w:tcPr>
          <w:p>
            <w:pPr>
              <w:spacing w:after="0"/>
              <w:rPr>
                <w:sz w:val="8"/>
                <w:szCs w:val="8"/>
                <w:color w:val="auto"/>
              </w:rPr>
            </w:pPr>
          </w:p>
        </w:tc>
        <w:tc>
          <w:tcPr>
            <w:tcW w:w="260" w:type="dxa"/>
            <w:vAlign w:val="bottom"/>
            <w:tcBorders>
              <w:bottom w:val="single" w:sz="8" w:color="003F1A"/>
            </w:tcBorders>
            <w:shd w:val="clear" w:color="auto" w:fill="003F1A"/>
          </w:tcPr>
          <w:p>
            <w:pPr>
              <w:spacing w:after="0"/>
              <w:rPr>
                <w:sz w:val="8"/>
                <w:szCs w:val="8"/>
                <w:color w:val="auto"/>
              </w:rPr>
            </w:pPr>
          </w:p>
        </w:tc>
        <w:tc>
          <w:tcPr>
            <w:tcW w:w="340" w:type="dxa"/>
            <w:vAlign w:val="bottom"/>
            <w:tcBorders>
              <w:bottom w:val="single" w:sz="8" w:color="003F1A"/>
            </w:tcBorders>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003F1A"/>
            </w:tcBorders>
            <w:shd w:val="clear" w:color="auto" w:fill="003F1A"/>
          </w:tcPr>
          <w:p>
            <w:pPr>
              <w:spacing w:after="0"/>
              <w:rPr>
                <w:sz w:val="8"/>
                <w:szCs w:val="8"/>
                <w:color w:val="auto"/>
              </w:rPr>
            </w:pPr>
          </w:p>
        </w:tc>
        <w:tc>
          <w:tcPr>
            <w:tcW w:w="320" w:type="dxa"/>
            <w:vAlign w:val="bottom"/>
            <w:tcBorders>
              <w:bottom w:val="single" w:sz="8" w:color="003F1A"/>
            </w:tcBorders>
            <w:shd w:val="clear" w:color="auto" w:fill="003F1A"/>
          </w:tcPr>
          <w:p>
            <w:pPr>
              <w:spacing w:after="0"/>
              <w:rPr>
                <w:sz w:val="8"/>
                <w:szCs w:val="8"/>
                <w:color w:val="auto"/>
              </w:rPr>
            </w:pPr>
          </w:p>
        </w:tc>
        <w:tc>
          <w:tcPr>
            <w:tcW w:w="300" w:type="dxa"/>
            <w:vAlign w:val="bottom"/>
            <w:tcBorders>
              <w:bottom w:val="single" w:sz="8" w:color="003F1A"/>
            </w:tcBorders>
            <w:shd w:val="clear" w:color="auto" w:fill="003F1A"/>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bottom w:val="single" w:sz="8" w:color="6690C5"/>
            </w:tcBorders>
            <w:shd w:val="clear" w:color="auto" w:fill="6690C5"/>
          </w:tcPr>
          <w:p>
            <w:pPr>
              <w:spacing w:after="0"/>
              <w:rPr>
                <w:sz w:val="8"/>
                <w:szCs w:val="8"/>
                <w:color w:val="auto"/>
              </w:rPr>
            </w:pPr>
          </w:p>
        </w:tc>
        <w:tc>
          <w:tcPr>
            <w:tcW w:w="0" w:type="dxa"/>
            <w:vAlign w:val="bottom"/>
          </w:tcPr>
          <w:p>
            <w:pPr>
              <w:spacing w:after="0"/>
              <w:rPr>
                <w:sz w:val="1"/>
                <w:szCs w:val="1"/>
                <w:color w:val="auto"/>
              </w:rPr>
            </w:pPr>
          </w:p>
        </w:tc>
      </w:tr>
      <w:tr>
        <w:trPr>
          <w:trHeight w:val="1084"/>
        </w:trPr>
        <w:tc>
          <w:tcPr>
            <w:tcW w:w="260" w:type="dxa"/>
            <w:vAlign w:val="bottom"/>
            <w:tcBorders>
              <w:bottom w:val="single" w:sz="8" w:color="A4B3CC"/>
            </w:tcBorders>
            <w:shd w:val="clear" w:color="auto" w:fill="003F1A"/>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220" w:type="dxa"/>
            <w:vAlign w:val="bottom"/>
            <w:tcBorders>
              <w:bottom w:val="single" w:sz="8" w:color="A4B3CC"/>
            </w:tcBorders>
            <w:shd w:val="clear" w:color="auto" w:fill="003F1A"/>
          </w:tcPr>
          <w:p>
            <w:pPr>
              <w:spacing w:after="0"/>
              <w:rPr>
                <w:sz w:val="24"/>
                <w:szCs w:val="24"/>
                <w:color w:val="auto"/>
              </w:rPr>
            </w:pPr>
          </w:p>
        </w:tc>
        <w:tc>
          <w:tcPr>
            <w:tcW w:w="10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320" w:type="dxa"/>
            <w:vAlign w:val="bottom"/>
            <w:tcBorders>
              <w:bottom w:val="single" w:sz="8" w:color="A4B3CC"/>
            </w:tcBorders>
            <w:shd w:val="clear" w:color="auto" w:fill="003F1A"/>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18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shd w:val="clear" w:color="auto" w:fill="003F1A"/>
          </w:tcPr>
          <w:p>
            <w:pPr>
              <w:spacing w:after="0"/>
              <w:rPr>
                <w:sz w:val="24"/>
                <w:szCs w:val="24"/>
                <w:color w:val="auto"/>
              </w:rPr>
            </w:pPr>
          </w:p>
        </w:tc>
        <w:tc>
          <w:tcPr>
            <w:tcW w:w="380" w:type="dxa"/>
            <w:vAlign w:val="bottom"/>
            <w:tcBorders>
              <w:bottom w:val="single" w:sz="8" w:color="A4B3CC"/>
            </w:tcBorders>
            <w:shd w:val="clear" w:color="auto" w:fill="003F1A"/>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240" w:type="dxa"/>
            <w:vAlign w:val="bottom"/>
            <w:tcBorders>
              <w:bottom w:val="single" w:sz="8" w:color="A4B3CC"/>
            </w:tcBorders>
            <w:shd w:val="clear" w:color="auto" w:fill="003F1A"/>
          </w:tcPr>
          <w:p>
            <w:pPr>
              <w:spacing w:after="0"/>
              <w:rPr>
                <w:sz w:val="24"/>
                <w:szCs w:val="24"/>
                <w:color w:val="auto"/>
              </w:rPr>
            </w:pPr>
          </w:p>
        </w:tc>
        <w:tc>
          <w:tcPr>
            <w:tcW w:w="420" w:type="dxa"/>
            <w:vAlign w:val="bottom"/>
            <w:tcBorders>
              <w:bottom w:val="single" w:sz="8" w:color="A4B3CC"/>
            </w:tcBorders>
            <w:shd w:val="clear" w:color="auto" w:fill="003F1A"/>
          </w:tcPr>
          <w:p>
            <w:pPr>
              <w:spacing w:after="0"/>
              <w:rPr>
                <w:sz w:val="24"/>
                <w:szCs w:val="24"/>
                <w:color w:val="auto"/>
              </w:rPr>
            </w:pPr>
          </w:p>
        </w:tc>
        <w:tc>
          <w:tcPr>
            <w:tcW w:w="24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900" w:type="dxa"/>
            <w:vAlign w:val="bottom"/>
            <w:tcBorders>
              <w:bottom w:val="single" w:sz="8" w:color="A4B3CC"/>
            </w:tcBorders>
            <w:shd w:val="clear" w:color="auto" w:fill="6690C5"/>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200" w:type="dxa"/>
            <w:vAlign w:val="bottom"/>
            <w:tcBorders>
              <w:bottom w:val="single" w:sz="8" w:color="A4B3CC"/>
            </w:tcBorders>
            <w:shd w:val="clear" w:color="auto" w:fill="003F1A"/>
          </w:tcPr>
          <w:p>
            <w:pPr>
              <w:spacing w:after="0"/>
              <w:rPr>
                <w:sz w:val="24"/>
                <w:szCs w:val="24"/>
                <w:color w:val="auto"/>
              </w:rPr>
            </w:pPr>
          </w:p>
        </w:tc>
        <w:tc>
          <w:tcPr>
            <w:tcW w:w="12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240" w:type="dxa"/>
            <w:vAlign w:val="bottom"/>
            <w:tcBorders>
              <w:bottom w:val="single" w:sz="8" w:color="A4B3CC"/>
            </w:tcBorders>
            <w:shd w:val="clear" w:color="auto" w:fill="003F1A"/>
          </w:tcPr>
          <w:p>
            <w:pPr>
              <w:spacing w:after="0"/>
              <w:rPr>
                <w:sz w:val="24"/>
                <w:szCs w:val="24"/>
                <w:color w:val="auto"/>
              </w:rPr>
            </w:pPr>
          </w:p>
        </w:tc>
        <w:tc>
          <w:tcPr>
            <w:tcW w:w="340" w:type="dxa"/>
            <w:vAlign w:val="bottom"/>
            <w:tcBorders>
              <w:bottom w:val="single" w:sz="8" w:color="A4B3CC"/>
            </w:tcBorders>
            <w:shd w:val="clear" w:color="auto" w:fill="003F1A"/>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34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320" w:type="dxa"/>
            <w:vAlign w:val="bottom"/>
            <w:tcBorders>
              <w:bottom w:val="single" w:sz="8" w:color="A4B3CC"/>
            </w:tcBorders>
            <w:shd w:val="clear" w:color="auto" w:fill="003F1A"/>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880" w:type="dxa"/>
            <w:vAlign w:val="bottom"/>
            <w:tcBorders>
              <w:bottom w:val="single" w:sz="8" w:color="A4B3CC"/>
            </w:tcBorders>
            <w:shd w:val="clear" w:color="auto" w:fill="6690C5"/>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tbl>
      <w:tblPr>
        <w:tblLayout w:type="fixed"/>
        <w:tblInd w:w="280" w:type="dxa"/>
        <w:tblCellMar>
          <w:top w:w="0" w:type="dxa"/>
          <w:left w:w="0" w:type="dxa"/>
          <w:bottom w:w="0" w:type="dxa"/>
          <w:right w:w="0" w:type="dxa"/>
        </w:tblCellMar>
      </w:tblPr>
      <w:tr>
        <w:trPr>
          <w:trHeight w:val="48"/>
        </w:trPr>
        <w:tc>
          <w:tcPr>
            <w:tcW w:w="2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160" w:type="dxa"/>
            <w:vAlign w:val="bottom"/>
            <w:vMerge w:val="restart"/>
          </w:tcPr>
          <w:p>
            <w:pPr>
              <w:jc w:val="right"/>
              <w:ind w:right="1140"/>
              <w:spacing w:after="0"/>
              <w:rPr>
                <w:sz w:val="20"/>
                <w:szCs w:val="20"/>
                <w:color w:val="auto"/>
              </w:rPr>
            </w:pPr>
            <w:r>
              <w:rPr>
                <w:rFonts w:ascii="Arial" w:cs="Arial" w:eastAsia="Arial" w:hAnsi="Arial"/>
                <w:sz w:val="12"/>
                <w:szCs w:val="12"/>
                <w:b w:val="1"/>
                <w:bCs w:val="1"/>
                <w:color w:val="auto"/>
              </w:rPr>
              <w:t>2024</w:t>
            </w:r>
          </w:p>
        </w:tc>
        <w:tc>
          <w:tcPr>
            <w:tcW w:w="300" w:type="dxa"/>
            <w:vAlign w:val="bottom"/>
          </w:tcPr>
          <w:p>
            <w:pPr>
              <w:spacing w:after="0"/>
              <w:rPr>
                <w:sz w:val="4"/>
                <w:szCs w:val="4"/>
                <w:color w:val="auto"/>
              </w:rPr>
            </w:pPr>
          </w:p>
        </w:tc>
        <w:tc>
          <w:tcPr>
            <w:tcW w:w="680" w:type="dxa"/>
            <w:vAlign w:val="bottom"/>
            <w:vMerge w:val="restart"/>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restart"/>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90"/>
        </w:trPr>
        <w:tc>
          <w:tcPr>
            <w:tcW w:w="20" w:type="dxa"/>
            <w:vAlign w:val="bottom"/>
            <w:vMerge w:val="continue"/>
          </w:tcPr>
          <w:p>
            <w:pPr>
              <w:spacing w:after="0"/>
              <w:rPr>
                <w:sz w:val="7"/>
                <w:szCs w:val="7"/>
                <w:color w:val="auto"/>
              </w:rPr>
            </w:pPr>
          </w:p>
        </w:tc>
        <w:tc>
          <w:tcPr>
            <w:tcW w:w="30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2020</w:t>
            </w:r>
          </w:p>
        </w:tc>
        <w:tc>
          <w:tcPr>
            <w:tcW w:w="660" w:type="dxa"/>
            <w:vAlign w:val="bottom"/>
            <w:vMerge w:val="continue"/>
          </w:tcPr>
          <w:p>
            <w:pPr>
              <w:spacing w:after="0"/>
              <w:rPr>
                <w:sz w:val="7"/>
                <w:szCs w:val="7"/>
                <w:color w:val="auto"/>
              </w:rPr>
            </w:pPr>
          </w:p>
        </w:tc>
        <w:tc>
          <w:tcPr>
            <w:tcW w:w="28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2021</w:t>
            </w:r>
          </w:p>
        </w:tc>
        <w:tc>
          <w:tcPr>
            <w:tcW w:w="680" w:type="dxa"/>
            <w:vAlign w:val="bottom"/>
            <w:vMerge w:val="continue"/>
          </w:tcPr>
          <w:p>
            <w:pPr>
              <w:spacing w:after="0"/>
              <w:rPr>
                <w:sz w:val="7"/>
                <w:szCs w:val="7"/>
                <w:color w:val="auto"/>
              </w:rPr>
            </w:pPr>
          </w:p>
        </w:tc>
        <w:tc>
          <w:tcPr>
            <w:tcW w:w="30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2022</w:t>
            </w:r>
          </w:p>
        </w:tc>
        <w:tc>
          <w:tcPr>
            <w:tcW w:w="660" w:type="dxa"/>
            <w:vAlign w:val="bottom"/>
            <w:vMerge w:val="continue"/>
          </w:tcPr>
          <w:p>
            <w:pPr>
              <w:spacing w:after="0"/>
              <w:rPr>
                <w:sz w:val="7"/>
                <w:szCs w:val="7"/>
                <w:color w:val="auto"/>
              </w:rPr>
            </w:pPr>
          </w:p>
        </w:tc>
        <w:tc>
          <w:tcPr>
            <w:tcW w:w="32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2023</w:t>
            </w:r>
          </w:p>
        </w:tc>
        <w:tc>
          <w:tcPr>
            <w:tcW w:w="2160" w:type="dxa"/>
            <w:vAlign w:val="bottom"/>
            <w:vMerge w:val="continue"/>
          </w:tcPr>
          <w:p>
            <w:pPr>
              <w:spacing w:after="0"/>
              <w:rPr>
                <w:sz w:val="7"/>
                <w:szCs w:val="7"/>
                <w:color w:val="auto"/>
              </w:rPr>
            </w:pPr>
          </w:p>
        </w:tc>
        <w:tc>
          <w:tcPr>
            <w:tcW w:w="30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2020</w:t>
            </w:r>
          </w:p>
        </w:tc>
        <w:tc>
          <w:tcPr>
            <w:tcW w:w="680" w:type="dxa"/>
            <w:vAlign w:val="bottom"/>
            <w:vMerge w:val="continue"/>
          </w:tcPr>
          <w:p>
            <w:pPr>
              <w:spacing w:after="0"/>
              <w:rPr>
                <w:sz w:val="7"/>
                <w:szCs w:val="7"/>
                <w:color w:val="auto"/>
              </w:rPr>
            </w:pPr>
          </w:p>
        </w:tc>
        <w:tc>
          <w:tcPr>
            <w:tcW w:w="28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2021</w:t>
            </w:r>
          </w:p>
        </w:tc>
        <w:tc>
          <w:tcPr>
            <w:tcW w:w="660" w:type="dxa"/>
            <w:vAlign w:val="bottom"/>
            <w:vMerge w:val="continue"/>
          </w:tcPr>
          <w:p>
            <w:pPr>
              <w:spacing w:after="0"/>
              <w:rPr>
                <w:sz w:val="7"/>
                <w:szCs w:val="7"/>
                <w:color w:val="auto"/>
              </w:rPr>
            </w:pPr>
          </w:p>
        </w:tc>
        <w:tc>
          <w:tcPr>
            <w:tcW w:w="30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2022</w:t>
            </w:r>
          </w:p>
        </w:tc>
        <w:tc>
          <w:tcPr>
            <w:tcW w:w="660" w:type="dxa"/>
            <w:vAlign w:val="bottom"/>
            <w:vMerge w:val="continue"/>
          </w:tcPr>
          <w:p>
            <w:pPr>
              <w:spacing w:after="0"/>
              <w:rPr>
                <w:sz w:val="7"/>
                <w:szCs w:val="7"/>
                <w:color w:val="auto"/>
              </w:rPr>
            </w:pPr>
          </w:p>
        </w:tc>
        <w:tc>
          <w:tcPr>
            <w:tcW w:w="300" w:type="dxa"/>
            <w:vAlign w:val="bottom"/>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2023</w:t>
            </w: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480"/>
          </w:cols>
          <w:pgMar w:left="1080" w:top="745" w:right="680" w:bottom="203" w:gutter="0" w:footer="0" w:header="0"/>
        </w:sect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361"/>
        </w:trPr>
        <w:tc>
          <w:tcPr>
            <w:tcW w:w="3760" w:type="dxa"/>
            <w:vAlign w:val="bottom"/>
            <w:gridSpan w:val="24"/>
          </w:tcPr>
          <w:p>
            <w:pPr>
              <w:spacing w:after="0"/>
              <w:rPr>
                <w:sz w:val="20"/>
                <w:szCs w:val="20"/>
                <w:color w:val="auto"/>
              </w:rPr>
            </w:pPr>
            <w:r>
              <w:rPr>
                <w:rFonts w:ascii="Arial" w:cs="Arial" w:eastAsia="Arial" w:hAnsi="Arial"/>
                <w:sz w:val="28"/>
                <w:szCs w:val="28"/>
                <w:b w:val="1"/>
                <w:bCs w:val="1"/>
                <w:color w:val="003F1A"/>
              </w:rPr>
              <w:t>Cash Flow From Operations</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gridSpan w:val="13"/>
          </w:tcPr>
          <w:p>
            <w:pPr>
              <w:ind w:left="640"/>
              <w:spacing w:after="0"/>
              <w:rPr>
                <w:sz w:val="20"/>
                <w:szCs w:val="20"/>
                <w:color w:val="auto"/>
              </w:rPr>
            </w:pPr>
            <w:r>
              <w:rPr>
                <w:rFonts w:ascii="Arial" w:cs="Arial" w:eastAsia="Arial" w:hAnsi="Arial"/>
                <w:sz w:val="28"/>
                <w:szCs w:val="28"/>
                <w:b w:val="1"/>
                <w:bCs w:val="1"/>
                <w:color w:val="003F1A"/>
              </w:rPr>
              <w:t>Net Income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gridSpan w:val="5"/>
          </w:tcPr>
          <w:p>
            <w:pPr>
              <w:spacing w:after="0"/>
              <w:rPr>
                <w:sz w:val="7"/>
                <w:szCs w:val="7"/>
                <w:color w:val="auto"/>
              </w:rPr>
            </w:pPr>
          </w:p>
        </w:tc>
        <w:tc>
          <w:tcPr>
            <w:tcW w:w="10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80" w:type="dxa"/>
            <w:vAlign w:val="bottom"/>
            <w:gridSpan w:val="5"/>
            <w:shd w:val="clear" w:color="auto" w:fill="E4DCD0"/>
          </w:tcPr>
          <w:p>
            <w:pPr>
              <w:spacing w:after="0" w:line="90" w:lineRule="exact"/>
              <w:rPr>
                <w:sz w:val="20"/>
                <w:szCs w:val="20"/>
                <w:color w:val="auto"/>
              </w:rPr>
            </w:pPr>
            <w:r>
              <w:rPr>
                <w:rFonts w:ascii="Arial" w:cs="Arial" w:eastAsia="Arial" w:hAnsi="Arial"/>
                <w:sz w:val="10"/>
                <w:szCs w:val="10"/>
                <w:b w:val="1"/>
                <w:bCs w:val="1"/>
                <w:color w:val="274134"/>
              </w:rPr>
              <w:t>ƳƱƳƱŶƳƱƳƵ</w:t>
            </w: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gridSpan w:val="5"/>
            <w:shd w:val="clear" w:color="auto" w:fill="E4DCD0"/>
          </w:tcPr>
          <w:p>
            <w:pPr>
              <w:spacing w:after="0" w:line="90" w:lineRule="exact"/>
              <w:rPr>
                <w:sz w:val="20"/>
                <w:szCs w:val="20"/>
                <w:color w:val="auto"/>
              </w:rPr>
            </w:pPr>
            <w:r>
              <w:rPr>
                <w:rFonts w:ascii="Arial" w:cs="Arial" w:eastAsia="Arial" w:hAnsi="Arial"/>
                <w:sz w:val="10"/>
                <w:szCs w:val="10"/>
                <w:b w:val="1"/>
                <w:bCs w:val="1"/>
                <w:color w:val="274134"/>
              </w:rPr>
              <w:t>ƳƱƳƱŶƳƱƳƵ</w:t>
            </w:r>
          </w:p>
        </w:tc>
        <w:tc>
          <w:tcPr>
            <w:tcW w:w="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8"/>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vMerge w:val="restart"/>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gridSpan w:val="2"/>
            <w:vMerge w:val="continue"/>
          </w:tcPr>
          <w:p>
            <w:pPr>
              <w:spacing w:after="0"/>
              <w:rPr>
                <w:sz w:val="10"/>
                <w:szCs w:val="10"/>
                <w:color w:val="auto"/>
              </w:rPr>
            </w:pPr>
          </w:p>
        </w:tc>
        <w:tc>
          <w:tcPr>
            <w:tcW w:w="320" w:type="dxa"/>
            <w:vAlign w:val="bottom"/>
            <w:gridSpan w:val="2"/>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rPr>
              <w:t>$225</w:t>
            </w: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00" w:type="dxa"/>
            <w:vAlign w:val="bottom"/>
            <w:shd w:val="clear" w:color="auto" w:fill="E4DCD0"/>
          </w:tcPr>
          <w:p>
            <w:pPr>
              <w:spacing w:after="0" w:line="121" w:lineRule="exact"/>
              <w:rPr>
                <w:sz w:val="20"/>
                <w:szCs w:val="20"/>
                <w:color w:val="auto"/>
              </w:rPr>
            </w:pPr>
            <w:r>
              <w:rPr>
                <w:rFonts w:ascii="Arial" w:cs="Arial" w:eastAsia="Arial" w:hAnsi="Arial"/>
                <w:sz w:val="12"/>
                <w:szCs w:val="12"/>
                <w:b w:val="1"/>
                <w:bCs w:val="1"/>
                <w:color w:val="274134"/>
                <w:highlight w:val="lightGray"/>
                <w:w w:val="89"/>
              </w:rPr>
              <w:t>$75</w:t>
            </w:r>
          </w:p>
        </w:tc>
        <w:tc>
          <w:tcPr>
            <w:tcW w:w="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rPr>
              <w:t>$73</w:t>
            </w:r>
          </w:p>
        </w:tc>
        <w:tc>
          <w:tcPr>
            <w:tcW w:w="0" w:type="dxa"/>
            <w:vAlign w:val="bottom"/>
          </w:tcPr>
          <w:p>
            <w:pPr>
              <w:spacing w:after="0"/>
              <w:rPr>
                <w:sz w:val="1"/>
                <w:szCs w:val="1"/>
                <w:color w:val="auto"/>
              </w:rPr>
            </w:pPr>
          </w:p>
        </w:tc>
      </w:tr>
      <w:tr>
        <w:trPr>
          <w:trHeight w:val="92"/>
        </w:trPr>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$195</w:t>
            </w: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bottom w:val="single" w:sz="8" w:color="003F1A"/>
            </w:tcBorders>
          </w:tcPr>
          <w:p>
            <w:pPr>
              <w:spacing w:after="0"/>
              <w:rPr>
                <w:sz w:val="6"/>
                <w:szCs w:val="6"/>
                <w:color w:val="auto"/>
              </w:rPr>
            </w:pPr>
          </w:p>
        </w:tc>
        <w:tc>
          <w:tcPr>
            <w:tcW w:w="40" w:type="dxa"/>
            <w:vAlign w:val="bottom"/>
            <w:tcBorders>
              <w:bottom w:val="single" w:sz="8" w:color="003F1A"/>
            </w:tcBorders>
          </w:tcPr>
          <w:p>
            <w:pPr>
              <w:spacing w:after="0"/>
              <w:rPr>
                <w:sz w:val="6"/>
                <w:szCs w:val="6"/>
                <w:color w:val="auto"/>
              </w:rPr>
            </w:pPr>
          </w:p>
        </w:tc>
        <w:tc>
          <w:tcPr>
            <w:tcW w:w="280" w:type="dxa"/>
            <w:vAlign w:val="bottom"/>
            <w:tcBorders>
              <w:bottom w:val="single" w:sz="8" w:color="003F1A"/>
            </w:tcBorders>
          </w:tcPr>
          <w:p>
            <w:pPr>
              <w:spacing w:after="0"/>
              <w:rPr>
                <w:sz w:val="6"/>
                <w:szCs w:val="6"/>
                <w:color w:val="auto"/>
              </w:rPr>
            </w:pPr>
          </w:p>
        </w:tc>
        <w:tc>
          <w:tcPr>
            <w:tcW w:w="20" w:type="dxa"/>
            <w:vAlign w:val="bottom"/>
            <w:tcBorders>
              <w:bottom w:val="single" w:sz="8" w:color="003F1A"/>
            </w:tcBorders>
          </w:tcPr>
          <w:p>
            <w:pPr>
              <w:spacing w:after="0"/>
              <w:rPr>
                <w:sz w:val="6"/>
                <w:szCs w:val="6"/>
                <w:color w:val="auto"/>
              </w:rPr>
            </w:pPr>
          </w:p>
        </w:tc>
        <w:tc>
          <w:tcPr>
            <w:tcW w:w="280" w:type="dxa"/>
            <w:vAlign w:val="bottom"/>
            <w:tcBorders>
              <w:bottom w:val="single" w:sz="8" w:color="003F1A"/>
            </w:tcBorders>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003F1A"/>
            </w:tcBorders>
          </w:tcPr>
          <w:p>
            <w:pPr>
              <w:spacing w:after="0"/>
              <w:rPr>
                <w:sz w:val="6"/>
                <w:szCs w:val="6"/>
                <w:color w:val="auto"/>
              </w:rPr>
            </w:pPr>
          </w:p>
        </w:tc>
        <w:tc>
          <w:tcPr>
            <w:tcW w:w="20" w:type="dxa"/>
            <w:vAlign w:val="bottom"/>
            <w:tcBorders>
              <w:bottom w:val="single" w:sz="8" w:color="003F1A"/>
            </w:tcBorders>
          </w:tcPr>
          <w:p>
            <w:pPr>
              <w:spacing w:after="0"/>
              <w:rPr>
                <w:sz w:val="6"/>
                <w:szCs w:val="6"/>
                <w:color w:val="auto"/>
              </w:rPr>
            </w:pPr>
          </w:p>
        </w:tc>
        <w:tc>
          <w:tcPr>
            <w:tcW w:w="200" w:type="dxa"/>
            <w:vAlign w:val="bottom"/>
            <w:tcBorders>
              <w:bottom w:val="single" w:sz="8" w:color="003F1A"/>
            </w:tcBorders>
          </w:tcPr>
          <w:p>
            <w:pPr>
              <w:spacing w:after="0"/>
              <w:rPr>
                <w:sz w:val="6"/>
                <w:szCs w:val="6"/>
                <w:color w:val="auto"/>
              </w:rPr>
            </w:pPr>
          </w:p>
        </w:tc>
        <w:tc>
          <w:tcPr>
            <w:tcW w:w="60" w:type="dxa"/>
            <w:vAlign w:val="bottom"/>
            <w:tcBorders>
              <w:bottom w:val="single" w:sz="8" w:color="003F1A"/>
            </w:tcBorders>
          </w:tcPr>
          <w:p>
            <w:pPr>
              <w:spacing w:after="0"/>
              <w:rPr>
                <w:sz w:val="6"/>
                <w:szCs w:val="6"/>
                <w:color w:val="auto"/>
              </w:rPr>
            </w:pPr>
          </w:p>
        </w:tc>
        <w:tc>
          <w:tcPr>
            <w:tcW w:w="280" w:type="dxa"/>
            <w:vAlign w:val="bottom"/>
            <w:tcBorders>
              <w:bottom w:val="single" w:sz="8" w:color="003F1A"/>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shd w:val="clear" w:color="auto" w:fill="003F1A"/>
          </w:tcPr>
          <w:p>
            <w:pPr>
              <w:spacing w:after="0"/>
              <w:rPr>
                <w:sz w:val="12"/>
                <w:szCs w:val="12"/>
                <w:color w:val="auto"/>
              </w:rPr>
            </w:pPr>
          </w:p>
        </w:tc>
        <w:tc>
          <w:tcPr>
            <w:tcW w:w="40" w:type="dxa"/>
            <w:vAlign w:val="bottom"/>
            <w:shd w:val="clear" w:color="auto" w:fill="003F1A"/>
          </w:tcPr>
          <w:p>
            <w:pPr>
              <w:spacing w:after="0"/>
              <w:rPr>
                <w:sz w:val="12"/>
                <w:szCs w:val="12"/>
                <w:color w:val="auto"/>
              </w:rPr>
            </w:pPr>
          </w:p>
        </w:tc>
        <w:tc>
          <w:tcPr>
            <w:tcW w:w="280" w:type="dxa"/>
            <w:vAlign w:val="bottom"/>
            <w:shd w:val="clear" w:color="auto" w:fill="003F1A"/>
          </w:tcPr>
          <w:p>
            <w:pPr>
              <w:spacing w:after="0"/>
              <w:rPr>
                <w:sz w:val="12"/>
                <w:szCs w:val="12"/>
                <w:color w:val="auto"/>
              </w:rPr>
            </w:pPr>
          </w:p>
        </w:tc>
        <w:tc>
          <w:tcPr>
            <w:tcW w:w="20" w:type="dxa"/>
            <w:vAlign w:val="bottom"/>
            <w:shd w:val="clear" w:color="auto" w:fill="003F1A"/>
          </w:tcPr>
          <w:p>
            <w:pPr>
              <w:spacing w:after="0"/>
              <w:rPr>
                <w:sz w:val="12"/>
                <w:szCs w:val="12"/>
                <w:color w:val="auto"/>
              </w:rPr>
            </w:pPr>
          </w:p>
        </w:tc>
        <w:tc>
          <w:tcPr>
            <w:tcW w:w="280" w:type="dxa"/>
            <w:vAlign w:val="bottom"/>
            <w:shd w:val="clear" w:color="auto" w:fill="003F1A"/>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shd w:val="clear" w:color="auto" w:fill="003F1A"/>
          </w:tcPr>
          <w:p>
            <w:pPr>
              <w:spacing w:after="0"/>
              <w:rPr>
                <w:sz w:val="12"/>
                <w:szCs w:val="12"/>
                <w:color w:val="auto"/>
              </w:rPr>
            </w:pPr>
          </w:p>
        </w:tc>
        <w:tc>
          <w:tcPr>
            <w:tcW w:w="20" w:type="dxa"/>
            <w:vAlign w:val="bottom"/>
            <w:shd w:val="clear" w:color="auto" w:fill="003F1A"/>
          </w:tcPr>
          <w:p>
            <w:pPr>
              <w:spacing w:after="0"/>
              <w:rPr>
                <w:sz w:val="12"/>
                <w:szCs w:val="12"/>
                <w:color w:val="auto"/>
              </w:rPr>
            </w:pPr>
          </w:p>
        </w:tc>
        <w:tc>
          <w:tcPr>
            <w:tcW w:w="200" w:type="dxa"/>
            <w:vAlign w:val="bottom"/>
            <w:shd w:val="clear" w:color="auto" w:fill="003F1A"/>
          </w:tcPr>
          <w:p>
            <w:pPr>
              <w:spacing w:after="0"/>
              <w:rPr>
                <w:sz w:val="12"/>
                <w:szCs w:val="12"/>
                <w:color w:val="auto"/>
              </w:rPr>
            </w:pPr>
          </w:p>
        </w:tc>
        <w:tc>
          <w:tcPr>
            <w:tcW w:w="60" w:type="dxa"/>
            <w:vAlign w:val="bottom"/>
            <w:shd w:val="clear" w:color="auto" w:fill="003F1A"/>
          </w:tcPr>
          <w:p>
            <w:pPr>
              <w:spacing w:after="0"/>
              <w:rPr>
                <w:sz w:val="12"/>
                <w:szCs w:val="12"/>
                <w:color w:val="auto"/>
              </w:rPr>
            </w:pPr>
          </w:p>
        </w:tc>
        <w:tc>
          <w:tcPr>
            <w:tcW w:w="280" w:type="dxa"/>
            <w:vAlign w:val="bottom"/>
            <w:shd w:val="clear" w:color="auto" w:fill="003F1A"/>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shd w:val="clear" w:color="auto" w:fill="6690C5"/>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4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00" w:type="dxa"/>
            <w:vAlign w:val="bottom"/>
            <w:shd w:val="clear" w:color="auto" w:fill="003F1A"/>
          </w:tcPr>
          <w:p>
            <w:pPr>
              <w:spacing w:after="0"/>
              <w:rPr>
                <w:sz w:val="7"/>
                <w:szCs w:val="7"/>
                <w:color w:val="auto"/>
              </w:rPr>
            </w:pPr>
          </w:p>
        </w:tc>
        <w:tc>
          <w:tcPr>
            <w:tcW w:w="6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shd w:val="clear" w:color="auto" w:fill="6690C5"/>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gridSpan w:val="2"/>
            <w:vMerge w:val="restart"/>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28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4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shd w:val="clear" w:color="auto" w:fill="6690C5"/>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00" w:type="dxa"/>
            <w:vAlign w:val="bottom"/>
            <w:shd w:val="clear" w:color="auto" w:fill="003F1A"/>
          </w:tcPr>
          <w:p>
            <w:pPr>
              <w:spacing w:after="0"/>
              <w:rPr>
                <w:sz w:val="9"/>
                <w:szCs w:val="9"/>
                <w:color w:val="auto"/>
              </w:rPr>
            </w:pPr>
          </w:p>
        </w:tc>
        <w:tc>
          <w:tcPr>
            <w:tcW w:w="6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shd w:val="clear" w:color="auto" w:fill="6690C5"/>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300" w:type="dxa"/>
            <w:vAlign w:val="bottom"/>
            <w:gridSpan w:val="2"/>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rPr>
              <w:t>$159</w:t>
            </w:r>
          </w:p>
        </w:tc>
        <w:tc>
          <w:tcPr>
            <w:tcW w:w="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shd w:val="clear" w:color="auto" w:fill="6690C5"/>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00" w:type="dxa"/>
            <w:vAlign w:val="bottom"/>
            <w:shd w:val="clear" w:color="auto" w:fill="003F1A"/>
          </w:tcPr>
          <w:p>
            <w:pPr>
              <w:spacing w:after="0"/>
              <w:rPr>
                <w:sz w:val="10"/>
                <w:szCs w:val="10"/>
                <w:color w:val="auto"/>
              </w:rPr>
            </w:pPr>
          </w:p>
        </w:tc>
        <w:tc>
          <w:tcPr>
            <w:tcW w:w="6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shd w:val="clear" w:color="auto" w:fill="6690C5"/>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bottom w:val="single" w:sz="8" w:color="003F1A"/>
            </w:tcBorders>
          </w:tcPr>
          <w:p>
            <w:pPr>
              <w:spacing w:after="0"/>
              <w:rPr>
                <w:sz w:val="11"/>
                <w:szCs w:val="11"/>
                <w:color w:val="auto"/>
              </w:rPr>
            </w:pPr>
          </w:p>
        </w:tc>
        <w:tc>
          <w:tcPr>
            <w:tcW w:w="20" w:type="dxa"/>
            <w:vAlign w:val="bottom"/>
            <w:tcBorders>
              <w:bottom w:val="single" w:sz="8" w:color="003F1A"/>
            </w:tcBorders>
          </w:tcPr>
          <w:p>
            <w:pPr>
              <w:spacing w:after="0"/>
              <w:rPr>
                <w:sz w:val="11"/>
                <w:szCs w:val="11"/>
                <w:color w:val="auto"/>
              </w:rPr>
            </w:pPr>
          </w:p>
        </w:tc>
        <w:tc>
          <w:tcPr>
            <w:tcW w:w="280" w:type="dxa"/>
            <w:vAlign w:val="bottom"/>
            <w:tcBorders>
              <w:bottom w:val="single" w:sz="8" w:color="003F1A"/>
            </w:tcBorders>
          </w:tcPr>
          <w:p>
            <w:pPr>
              <w:spacing w:after="0"/>
              <w:rPr>
                <w:sz w:val="11"/>
                <w:szCs w:val="11"/>
                <w:color w:val="auto"/>
              </w:rPr>
            </w:pPr>
          </w:p>
        </w:tc>
        <w:tc>
          <w:tcPr>
            <w:tcW w:w="20" w:type="dxa"/>
            <w:vAlign w:val="bottom"/>
            <w:tcBorders>
              <w:bottom w:val="single" w:sz="8" w:color="003F1A"/>
            </w:tcBorders>
          </w:tcPr>
          <w:p>
            <w:pPr>
              <w:spacing w:after="0"/>
              <w:rPr>
                <w:sz w:val="11"/>
                <w:szCs w:val="11"/>
                <w:color w:val="auto"/>
              </w:rPr>
            </w:pPr>
          </w:p>
        </w:tc>
        <w:tc>
          <w:tcPr>
            <w:tcW w:w="280" w:type="dxa"/>
            <w:vAlign w:val="bottom"/>
            <w:tcBorders>
              <w:bottom w:val="single" w:sz="8" w:color="003F1A"/>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bottom w:val="single" w:sz="8" w:color="003F1A"/>
            </w:tcBorders>
            <w:shd w:val="clear" w:color="auto" w:fill="003F1A"/>
          </w:tcPr>
          <w:p>
            <w:pPr>
              <w:spacing w:after="0"/>
              <w:rPr>
                <w:sz w:val="11"/>
                <w:szCs w:val="11"/>
                <w:color w:val="auto"/>
              </w:rPr>
            </w:pPr>
          </w:p>
        </w:tc>
        <w:tc>
          <w:tcPr>
            <w:tcW w:w="40" w:type="dxa"/>
            <w:vAlign w:val="bottom"/>
            <w:tcBorders>
              <w:bottom w:val="single" w:sz="8" w:color="003F1A"/>
            </w:tcBorders>
            <w:shd w:val="clear" w:color="auto" w:fill="003F1A"/>
          </w:tcPr>
          <w:p>
            <w:pPr>
              <w:spacing w:after="0"/>
              <w:rPr>
                <w:sz w:val="11"/>
                <w:szCs w:val="11"/>
                <w:color w:val="auto"/>
              </w:rPr>
            </w:pPr>
          </w:p>
        </w:tc>
        <w:tc>
          <w:tcPr>
            <w:tcW w:w="280" w:type="dxa"/>
            <w:vAlign w:val="bottom"/>
            <w:tcBorders>
              <w:bottom w:val="single" w:sz="8" w:color="003F1A"/>
            </w:tcBorders>
            <w:shd w:val="clear" w:color="auto" w:fill="003F1A"/>
          </w:tcPr>
          <w:p>
            <w:pPr>
              <w:spacing w:after="0"/>
              <w:rPr>
                <w:sz w:val="11"/>
                <w:szCs w:val="11"/>
                <w:color w:val="auto"/>
              </w:rPr>
            </w:pPr>
          </w:p>
        </w:tc>
        <w:tc>
          <w:tcPr>
            <w:tcW w:w="20" w:type="dxa"/>
            <w:vAlign w:val="bottom"/>
            <w:tcBorders>
              <w:bottom w:val="single" w:sz="8" w:color="003F1A"/>
            </w:tcBorders>
            <w:shd w:val="clear" w:color="auto" w:fill="003F1A"/>
          </w:tcPr>
          <w:p>
            <w:pPr>
              <w:spacing w:after="0"/>
              <w:rPr>
                <w:sz w:val="11"/>
                <w:szCs w:val="11"/>
                <w:color w:val="auto"/>
              </w:rPr>
            </w:pPr>
          </w:p>
        </w:tc>
        <w:tc>
          <w:tcPr>
            <w:tcW w:w="280" w:type="dxa"/>
            <w:vAlign w:val="bottom"/>
            <w:tcBorders>
              <w:bottom w:val="single" w:sz="8" w:color="003F1A"/>
            </w:tcBorders>
            <w:shd w:val="clear" w:color="auto" w:fill="003F1A"/>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bottom w:val="single" w:sz="8" w:color="6690C5"/>
            </w:tcBorders>
            <w:shd w:val="clear" w:color="auto" w:fill="6690C5"/>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Borders>
              <w:bottom w:val="single" w:sz="8" w:color="003F1A"/>
            </w:tcBorders>
            <w:shd w:val="clear" w:color="auto" w:fill="003F1A"/>
          </w:tcPr>
          <w:p>
            <w:pPr>
              <w:spacing w:after="0"/>
              <w:rPr>
                <w:sz w:val="11"/>
                <w:szCs w:val="11"/>
                <w:color w:val="auto"/>
              </w:rPr>
            </w:pPr>
          </w:p>
        </w:tc>
        <w:tc>
          <w:tcPr>
            <w:tcW w:w="20" w:type="dxa"/>
            <w:vAlign w:val="bottom"/>
            <w:tcBorders>
              <w:bottom w:val="single" w:sz="8" w:color="003F1A"/>
            </w:tcBorders>
            <w:shd w:val="clear" w:color="auto" w:fill="003F1A"/>
          </w:tcPr>
          <w:p>
            <w:pPr>
              <w:spacing w:after="0"/>
              <w:rPr>
                <w:sz w:val="11"/>
                <w:szCs w:val="11"/>
                <w:color w:val="auto"/>
              </w:rPr>
            </w:pPr>
          </w:p>
        </w:tc>
        <w:tc>
          <w:tcPr>
            <w:tcW w:w="200" w:type="dxa"/>
            <w:vAlign w:val="bottom"/>
            <w:tcBorders>
              <w:bottom w:val="single" w:sz="8" w:color="003F1A"/>
            </w:tcBorders>
            <w:shd w:val="clear" w:color="auto" w:fill="003F1A"/>
          </w:tcPr>
          <w:p>
            <w:pPr>
              <w:spacing w:after="0"/>
              <w:rPr>
                <w:sz w:val="11"/>
                <w:szCs w:val="11"/>
                <w:color w:val="auto"/>
              </w:rPr>
            </w:pPr>
          </w:p>
        </w:tc>
        <w:tc>
          <w:tcPr>
            <w:tcW w:w="60" w:type="dxa"/>
            <w:vAlign w:val="bottom"/>
            <w:tcBorders>
              <w:bottom w:val="single" w:sz="8" w:color="003F1A"/>
            </w:tcBorders>
            <w:shd w:val="clear" w:color="auto" w:fill="003F1A"/>
          </w:tcPr>
          <w:p>
            <w:pPr>
              <w:spacing w:after="0"/>
              <w:rPr>
                <w:sz w:val="11"/>
                <w:szCs w:val="11"/>
                <w:color w:val="auto"/>
              </w:rPr>
            </w:pPr>
          </w:p>
        </w:tc>
        <w:tc>
          <w:tcPr>
            <w:tcW w:w="280" w:type="dxa"/>
            <w:vAlign w:val="bottom"/>
            <w:tcBorders>
              <w:bottom w:val="single" w:sz="8" w:color="003F1A"/>
            </w:tcBorders>
            <w:shd w:val="clear" w:color="auto" w:fill="003F1A"/>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6690C5"/>
            </w:tcBorders>
            <w:shd w:val="clear" w:color="auto" w:fill="6690C5"/>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300" w:type="dxa"/>
            <w:vAlign w:val="bottom"/>
            <w:gridSpan w:val="2"/>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rPr>
              <w:t>$132</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shd w:val="clear" w:color="auto" w:fill="6690C5"/>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00" w:type="dxa"/>
            <w:vAlign w:val="bottom"/>
            <w:shd w:val="clear" w:color="auto" w:fill="003F1A"/>
          </w:tcPr>
          <w:p>
            <w:pPr>
              <w:spacing w:after="0"/>
              <w:rPr>
                <w:sz w:val="10"/>
                <w:szCs w:val="10"/>
                <w:color w:val="auto"/>
              </w:rPr>
            </w:pPr>
          </w:p>
        </w:tc>
        <w:tc>
          <w:tcPr>
            <w:tcW w:w="6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shd w:val="clear" w:color="auto" w:fill="6690C5"/>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4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shd w:val="clear" w:color="auto" w:fill="6690C5"/>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shd w:val="clear" w:color="auto" w:fill="003F1A"/>
          </w:tcPr>
          <w:p>
            <w:pPr>
              <w:spacing w:after="0"/>
              <w:rPr>
                <w:sz w:val="9"/>
                <w:szCs w:val="9"/>
                <w:color w:val="auto"/>
              </w:rPr>
            </w:pPr>
          </w:p>
        </w:tc>
        <w:tc>
          <w:tcPr>
            <w:tcW w:w="20" w:type="dxa"/>
            <w:vAlign w:val="bottom"/>
            <w:shd w:val="clear" w:color="auto" w:fill="003F1A"/>
          </w:tcPr>
          <w:p>
            <w:pPr>
              <w:spacing w:after="0"/>
              <w:rPr>
                <w:sz w:val="9"/>
                <w:szCs w:val="9"/>
                <w:color w:val="auto"/>
              </w:rPr>
            </w:pPr>
          </w:p>
        </w:tc>
        <w:tc>
          <w:tcPr>
            <w:tcW w:w="200" w:type="dxa"/>
            <w:vAlign w:val="bottom"/>
            <w:shd w:val="clear" w:color="auto" w:fill="003F1A"/>
          </w:tcPr>
          <w:p>
            <w:pPr>
              <w:spacing w:after="0"/>
              <w:rPr>
                <w:sz w:val="9"/>
                <w:szCs w:val="9"/>
                <w:color w:val="auto"/>
              </w:rPr>
            </w:pPr>
          </w:p>
        </w:tc>
        <w:tc>
          <w:tcPr>
            <w:tcW w:w="60" w:type="dxa"/>
            <w:vAlign w:val="bottom"/>
            <w:shd w:val="clear" w:color="auto" w:fill="003F1A"/>
          </w:tcPr>
          <w:p>
            <w:pPr>
              <w:spacing w:after="0"/>
              <w:rPr>
                <w:sz w:val="9"/>
                <w:szCs w:val="9"/>
                <w:color w:val="auto"/>
              </w:rPr>
            </w:pPr>
          </w:p>
        </w:tc>
        <w:tc>
          <w:tcPr>
            <w:tcW w:w="280" w:type="dxa"/>
            <w:vAlign w:val="bottom"/>
            <w:shd w:val="clear" w:color="auto" w:fill="003F1A"/>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gridSpan w:val="3"/>
            <w:vMerge w:val="restart"/>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shd w:val="clear" w:color="auto" w:fill="6690C5"/>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40" w:type="dxa"/>
            <w:vAlign w:val="bottom"/>
            <w:shd w:val="clear" w:color="auto" w:fill="003F1A"/>
          </w:tcPr>
          <w:p>
            <w:pPr>
              <w:spacing w:after="0"/>
              <w:rPr>
                <w:sz w:val="11"/>
                <w:szCs w:val="11"/>
                <w:color w:val="auto"/>
              </w:rPr>
            </w:pPr>
          </w:p>
        </w:tc>
        <w:tc>
          <w:tcPr>
            <w:tcW w:w="260" w:type="dxa"/>
            <w:vAlign w:val="bottom"/>
            <w:shd w:val="clear" w:color="auto" w:fill="003F1A"/>
          </w:tcPr>
          <w:p>
            <w:pPr>
              <w:spacing w:after="0"/>
              <w:rPr>
                <w:sz w:val="11"/>
                <w:szCs w:val="11"/>
                <w:color w:val="auto"/>
              </w:rPr>
            </w:pPr>
          </w:p>
        </w:tc>
        <w:tc>
          <w:tcPr>
            <w:tcW w:w="2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2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2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4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2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shd w:val="clear" w:color="auto" w:fill="6690C5"/>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shd w:val="clear" w:color="auto" w:fill="003F1A"/>
          </w:tcPr>
          <w:p>
            <w:pPr>
              <w:spacing w:after="0"/>
              <w:rPr>
                <w:sz w:val="11"/>
                <w:szCs w:val="11"/>
                <w:color w:val="auto"/>
              </w:rPr>
            </w:pPr>
          </w:p>
        </w:tc>
        <w:tc>
          <w:tcPr>
            <w:tcW w:w="20" w:type="dxa"/>
            <w:vAlign w:val="bottom"/>
            <w:shd w:val="clear" w:color="auto" w:fill="003F1A"/>
          </w:tcPr>
          <w:p>
            <w:pPr>
              <w:spacing w:after="0"/>
              <w:rPr>
                <w:sz w:val="11"/>
                <w:szCs w:val="11"/>
                <w:color w:val="auto"/>
              </w:rPr>
            </w:pPr>
          </w:p>
        </w:tc>
        <w:tc>
          <w:tcPr>
            <w:tcW w:w="200" w:type="dxa"/>
            <w:vAlign w:val="bottom"/>
            <w:shd w:val="clear" w:color="auto" w:fill="003F1A"/>
          </w:tcPr>
          <w:p>
            <w:pPr>
              <w:spacing w:after="0"/>
              <w:rPr>
                <w:sz w:val="11"/>
                <w:szCs w:val="11"/>
                <w:color w:val="auto"/>
              </w:rPr>
            </w:pPr>
          </w:p>
        </w:tc>
        <w:tc>
          <w:tcPr>
            <w:tcW w:w="60" w:type="dxa"/>
            <w:vAlign w:val="bottom"/>
            <w:shd w:val="clear" w:color="auto" w:fill="003F1A"/>
          </w:tcPr>
          <w:p>
            <w:pPr>
              <w:spacing w:after="0"/>
              <w:rPr>
                <w:sz w:val="11"/>
                <w:szCs w:val="11"/>
                <w:color w:val="auto"/>
              </w:rPr>
            </w:pPr>
          </w:p>
        </w:tc>
        <w:tc>
          <w:tcPr>
            <w:tcW w:w="280" w:type="dxa"/>
            <w:vAlign w:val="bottom"/>
            <w:shd w:val="clear" w:color="auto" w:fill="003F1A"/>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gridSpan w:val="3"/>
            <w:vMerge w:val="continue"/>
          </w:tcPr>
          <w:p>
            <w:pPr>
              <w:spacing w:after="0"/>
              <w:rPr>
                <w:sz w:val="11"/>
                <w:szCs w:val="11"/>
                <w:color w:val="auto"/>
              </w:rPr>
            </w:pPr>
          </w:p>
        </w:tc>
        <w:tc>
          <w:tcPr>
            <w:tcW w:w="220" w:type="dxa"/>
            <w:vAlign w:val="bottom"/>
            <w:shd w:val="clear" w:color="auto" w:fill="E4DCD0"/>
          </w:tcPr>
          <w:p>
            <w:pPr>
              <w:spacing w:after="0" w:line="121" w:lineRule="exact"/>
              <w:rPr>
                <w:sz w:val="20"/>
                <w:szCs w:val="20"/>
                <w:color w:val="auto"/>
              </w:rPr>
            </w:pPr>
            <w:r>
              <w:rPr>
                <w:rFonts w:ascii="Arial" w:cs="Arial" w:eastAsia="Arial" w:hAnsi="Arial"/>
                <w:sz w:val="12"/>
                <w:szCs w:val="12"/>
                <w:b w:val="1"/>
                <w:bCs w:val="1"/>
                <w:color w:val="274134"/>
                <w:highlight w:val="lightGray"/>
                <w:w w:val="99"/>
              </w:rPr>
              <w:t>$36</w:t>
            </w:r>
          </w:p>
        </w:tc>
        <w:tc>
          <w:tcPr>
            <w:tcW w:w="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shd w:val="clear" w:color="auto" w:fill="6690C5"/>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 w:type="dxa"/>
            <w:vAlign w:val="bottom"/>
            <w:gridSpan w:val="2"/>
          </w:tcPr>
          <w:p>
            <w:pPr>
              <w:spacing w:after="0"/>
              <w:rPr>
                <w:sz w:val="10"/>
                <w:szCs w:val="10"/>
                <w:color w:val="auto"/>
              </w:rPr>
            </w:pPr>
          </w:p>
        </w:tc>
        <w:tc>
          <w:tcPr>
            <w:tcW w:w="240" w:type="dxa"/>
            <w:vAlign w:val="bottom"/>
            <w:shd w:val="clear" w:color="auto" w:fill="E4DCD0"/>
          </w:tcPr>
          <w:p>
            <w:pPr>
              <w:spacing w:after="0" w:line="121" w:lineRule="exact"/>
              <w:rPr>
                <w:sz w:val="20"/>
                <w:szCs w:val="20"/>
                <w:color w:val="auto"/>
              </w:rPr>
            </w:pPr>
            <w:r>
              <w:rPr>
                <w:rFonts w:ascii="Arial" w:cs="Arial" w:eastAsia="Arial" w:hAnsi="Arial"/>
                <w:sz w:val="12"/>
                <w:szCs w:val="12"/>
                <w:b w:val="1"/>
                <w:bCs w:val="1"/>
                <w:color w:val="274134"/>
                <w:highlight w:val="lightGray"/>
              </w:rPr>
              <w:t>$96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6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shd w:val="clear" w:color="auto" w:fill="6690C5"/>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00" w:type="dxa"/>
            <w:vAlign w:val="bottom"/>
            <w:shd w:val="clear" w:color="auto" w:fill="003F1A"/>
          </w:tcPr>
          <w:p>
            <w:pPr>
              <w:spacing w:after="0"/>
              <w:rPr>
                <w:sz w:val="10"/>
                <w:szCs w:val="10"/>
                <w:color w:val="auto"/>
              </w:rPr>
            </w:pPr>
          </w:p>
        </w:tc>
        <w:tc>
          <w:tcPr>
            <w:tcW w:w="6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shd w:val="clear" w:color="auto" w:fill="6690C5"/>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6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4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shd w:val="clear" w:color="auto" w:fill="6690C5"/>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00" w:type="dxa"/>
            <w:vAlign w:val="bottom"/>
            <w:shd w:val="clear" w:color="auto" w:fill="003F1A"/>
          </w:tcPr>
          <w:p>
            <w:pPr>
              <w:spacing w:after="0"/>
              <w:rPr>
                <w:sz w:val="10"/>
                <w:szCs w:val="10"/>
                <w:color w:val="auto"/>
              </w:rPr>
            </w:pPr>
          </w:p>
        </w:tc>
        <w:tc>
          <w:tcPr>
            <w:tcW w:w="6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shd w:val="clear" w:color="auto" w:fill="003F1A"/>
          </w:tcPr>
          <w:p>
            <w:pPr>
              <w:spacing w:after="0"/>
              <w:rPr>
                <w:sz w:val="10"/>
                <w:szCs w:val="10"/>
                <w:color w:val="auto"/>
              </w:rPr>
            </w:pPr>
          </w:p>
        </w:tc>
        <w:tc>
          <w:tcPr>
            <w:tcW w:w="20" w:type="dxa"/>
            <w:vAlign w:val="bottom"/>
            <w:shd w:val="clear" w:color="auto" w:fill="003F1A"/>
          </w:tcPr>
          <w:p>
            <w:pPr>
              <w:spacing w:after="0"/>
              <w:rPr>
                <w:sz w:val="10"/>
                <w:szCs w:val="10"/>
                <w:color w:val="auto"/>
              </w:rPr>
            </w:pPr>
          </w:p>
        </w:tc>
        <w:tc>
          <w:tcPr>
            <w:tcW w:w="220" w:type="dxa"/>
            <w:vAlign w:val="bottom"/>
            <w:shd w:val="clear" w:color="auto" w:fill="003F1A"/>
          </w:tcPr>
          <w:p>
            <w:pPr>
              <w:spacing w:after="0"/>
              <w:rPr>
                <w:sz w:val="10"/>
                <w:szCs w:val="10"/>
                <w:color w:val="auto"/>
              </w:rPr>
            </w:pPr>
          </w:p>
        </w:tc>
        <w:tc>
          <w:tcPr>
            <w:tcW w:w="60" w:type="dxa"/>
            <w:vAlign w:val="bottom"/>
            <w:shd w:val="clear" w:color="auto" w:fill="003F1A"/>
          </w:tcPr>
          <w:p>
            <w:pPr>
              <w:spacing w:after="0"/>
              <w:rPr>
                <w:sz w:val="10"/>
                <w:szCs w:val="10"/>
                <w:color w:val="auto"/>
              </w:rPr>
            </w:pPr>
          </w:p>
        </w:tc>
        <w:tc>
          <w:tcPr>
            <w:tcW w:w="280" w:type="dxa"/>
            <w:vAlign w:val="bottom"/>
            <w:shd w:val="clear" w:color="auto" w:fill="003F1A"/>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shd w:val="clear" w:color="auto" w:fill="6690C5"/>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30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40" w:type="dxa"/>
            <w:vAlign w:val="bottom"/>
            <w:shd w:val="clear" w:color="auto" w:fill="003F1A"/>
          </w:tcPr>
          <w:p>
            <w:pPr>
              <w:spacing w:after="0"/>
              <w:rPr>
                <w:sz w:val="24"/>
                <w:szCs w:val="24"/>
                <w:color w:val="auto"/>
              </w:rPr>
            </w:pPr>
          </w:p>
        </w:tc>
        <w:tc>
          <w:tcPr>
            <w:tcW w:w="40" w:type="dxa"/>
            <w:vAlign w:val="bottom"/>
            <w:shd w:val="clear" w:color="auto" w:fill="003F1A"/>
          </w:tcPr>
          <w:p>
            <w:pPr>
              <w:spacing w:after="0"/>
              <w:rPr>
                <w:sz w:val="24"/>
                <w:szCs w:val="24"/>
                <w:color w:val="auto"/>
              </w:rPr>
            </w:pPr>
          </w:p>
        </w:tc>
        <w:tc>
          <w:tcPr>
            <w:tcW w:w="180" w:type="dxa"/>
            <w:vAlign w:val="bottom"/>
            <w:shd w:val="clear" w:color="auto" w:fill="003F1A"/>
          </w:tcPr>
          <w:p>
            <w:pPr>
              <w:spacing w:after="0"/>
              <w:rPr>
                <w:sz w:val="24"/>
                <w:szCs w:val="24"/>
                <w:color w:val="auto"/>
              </w:rPr>
            </w:pPr>
          </w:p>
        </w:tc>
        <w:tc>
          <w:tcPr>
            <w:tcW w:w="10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40" w:type="dxa"/>
            <w:vAlign w:val="bottom"/>
            <w:shd w:val="clear" w:color="auto" w:fill="003F1A"/>
          </w:tcPr>
          <w:p>
            <w:pPr>
              <w:spacing w:after="0"/>
              <w:rPr>
                <w:sz w:val="24"/>
                <w:szCs w:val="24"/>
                <w:color w:val="auto"/>
              </w:rPr>
            </w:pPr>
          </w:p>
        </w:tc>
        <w:tc>
          <w:tcPr>
            <w:tcW w:w="26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4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shd w:val="clear" w:color="auto" w:fill="6690C5"/>
          </w:tcPr>
          <w:p>
            <w:pPr>
              <w:spacing w:after="0"/>
              <w:rPr>
                <w:sz w:val="24"/>
                <w:szCs w:val="24"/>
                <w:color w:val="auto"/>
              </w:rPr>
            </w:pPr>
          </w:p>
        </w:tc>
        <w:tc>
          <w:tcPr>
            <w:tcW w:w="660" w:type="dxa"/>
            <w:vAlign w:val="bottom"/>
            <w:vMerge w:val="restart"/>
          </w:tcPr>
          <w:p>
            <w:pPr>
              <w:spacing w:after="0"/>
              <w:rPr>
                <w:sz w:val="24"/>
                <w:szCs w:val="24"/>
                <w:color w:val="auto"/>
              </w:rPr>
            </w:pPr>
          </w:p>
        </w:tc>
        <w:tc>
          <w:tcPr>
            <w:tcW w:w="320" w:type="dxa"/>
            <w:vAlign w:val="bottom"/>
            <w:gridSpan w:val="2"/>
            <w:vMerge w:val="restart"/>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00" w:type="dxa"/>
            <w:vAlign w:val="bottom"/>
            <w:shd w:val="clear" w:color="auto" w:fill="003F1A"/>
          </w:tcPr>
          <w:p>
            <w:pPr>
              <w:spacing w:after="0"/>
              <w:rPr>
                <w:sz w:val="24"/>
                <w:szCs w:val="24"/>
                <w:color w:val="auto"/>
              </w:rPr>
            </w:pPr>
          </w:p>
        </w:tc>
        <w:tc>
          <w:tcPr>
            <w:tcW w:w="6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shd w:val="clear" w:color="auto" w:fill="003F1A"/>
          </w:tcPr>
          <w:p>
            <w:pPr>
              <w:spacing w:after="0"/>
              <w:rPr>
                <w:sz w:val="24"/>
                <w:szCs w:val="24"/>
                <w:color w:val="auto"/>
              </w:rPr>
            </w:pPr>
          </w:p>
        </w:tc>
        <w:tc>
          <w:tcPr>
            <w:tcW w:w="20" w:type="dxa"/>
            <w:vAlign w:val="bottom"/>
            <w:shd w:val="clear" w:color="auto" w:fill="003F1A"/>
          </w:tcPr>
          <w:p>
            <w:pPr>
              <w:spacing w:after="0"/>
              <w:rPr>
                <w:sz w:val="24"/>
                <w:szCs w:val="24"/>
                <w:color w:val="auto"/>
              </w:rPr>
            </w:pPr>
          </w:p>
        </w:tc>
        <w:tc>
          <w:tcPr>
            <w:tcW w:w="220" w:type="dxa"/>
            <w:vAlign w:val="bottom"/>
            <w:shd w:val="clear" w:color="auto" w:fill="003F1A"/>
          </w:tcPr>
          <w:p>
            <w:pPr>
              <w:spacing w:after="0"/>
              <w:rPr>
                <w:sz w:val="24"/>
                <w:szCs w:val="24"/>
                <w:color w:val="auto"/>
              </w:rPr>
            </w:pPr>
          </w:p>
        </w:tc>
        <w:tc>
          <w:tcPr>
            <w:tcW w:w="60" w:type="dxa"/>
            <w:vAlign w:val="bottom"/>
            <w:shd w:val="clear" w:color="auto" w:fill="003F1A"/>
          </w:tcPr>
          <w:p>
            <w:pPr>
              <w:spacing w:after="0"/>
              <w:rPr>
                <w:sz w:val="24"/>
                <w:szCs w:val="24"/>
                <w:color w:val="auto"/>
              </w:rPr>
            </w:pPr>
          </w:p>
        </w:tc>
        <w:tc>
          <w:tcPr>
            <w:tcW w:w="280" w:type="dxa"/>
            <w:vAlign w:val="bottom"/>
            <w:shd w:val="clear" w:color="auto" w:fill="003F1A"/>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shd w:val="clear" w:color="auto" w:fill="6690C5"/>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180" w:type="dxa"/>
            <w:vAlign w:val="bottom"/>
            <w:shd w:val="clear" w:color="auto" w:fill="003F1A"/>
          </w:tcPr>
          <w:p>
            <w:pPr>
              <w:spacing w:after="0"/>
              <w:rPr>
                <w:sz w:val="5"/>
                <w:szCs w:val="5"/>
                <w:color w:val="auto"/>
              </w:rPr>
            </w:pPr>
          </w:p>
        </w:tc>
        <w:tc>
          <w:tcPr>
            <w:tcW w:w="10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shd w:val="clear" w:color="auto" w:fill="6690C5"/>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200" w:type="dxa"/>
            <w:vAlign w:val="bottom"/>
            <w:vMerge w:val="restart"/>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w w:val="89"/>
              </w:rPr>
              <w:t>$15</w:t>
            </w:r>
          </w:p>
        </w:tc>
        <w:tc>
          <w:tcPr>
            <w:tcW w:w="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0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2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shd w:val="clear" w:color="auto" w:fill="6690C5"/>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180" w:type="dxa"/>
            <w:vAlign w:val="bottom"/>
            <w:shd w:val="clear" w:color="auto" w:fill="003F1A"/>
          </w:tcPr>
          <w:p>
            <w:pPr>
              <w:spacing w:after="0"/>
              <w:rPr>
                <w:sz w:val="5"/>
                <w:szCs w:val="5"/>
                <w:color w:val="auto"/>
              </w:rPr>
            </w:pPr>
          </w:p>
        </w:tc>
        <w:tc>
          <w:tcPr>
            <w:tcW w:w="10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shd w:val="clear" w:color="auto" w:fill="6690C5"/>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vMerge w:val="continue"/>
            <w:shd w:val="clear" w:color="auto" w:fill="E4DCD0"/>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0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restart"/>
            <w:shd w:val="clear" w:color="auto" w:fill="E4DCD0"/>
          </w:tcPr>
          <w:p>
            <w:pPr>
              <w:jc w:val="right"/>
              <w:spacing w:after="0" w:line="121" w:lineRule="exact"/>
              <w:rPr>
                <w:sz w:val="20"/>
                <w:szCs w:val="20"/>
                <w:color w:val="auto"/>
              </w:rPr>
            </w:pPr>
            <w:r>
              <w:rPr>
                <w:rFonts w:ascii="Arial" w:cs="Arial" w:eastAsia="Arial" w:hAnsi="Arial"/>
                <w:sz w:val="12"/>
                <w:szCs w:val="12"/>
                <w:b w:val="1"/>
                <w:bCs w:val="1"/>
                <w:color w:val="274134"/>
                <w:highlight w:val="lightGray"/>
              </w:rPr>
              <w:t>$12*</w:t>
            </w: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2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shd w:val="clear" w:color="auto" w:fill="6690C5"/>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4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180" w:type="dxa"/>
            <w:vAlign w:val="bottom"/>
            <w:shd w:val="clear" w:color="auto" w:fill="003F1A"/>
          </w:tcPr>
          <w:p>
            <w:pPr>
              <w:spacing w:after="0"/>
              <w:rPr>
                <w:sz w:val="5"/>
                <w:szCs w:val="5"/>
                <w:color w:val="auto"/>
              </w:rPr>
            </w:pPr>
          </w:p>
        </w:tc>
        <w:tc>
          <w:tcPr>
            <w:tcW w:w="10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6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4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shd w:val="clear" w:color="auto" w:fill="6690C5"/>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0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380" w:type="dxa"/>
            <w:vAlign w:val="bottom"/>
            <w:gridSpan w:val="3"/>
          </w:tcPr>
          <w:p>
            <w:pPr>
              <w:spacing w:after="0"/>
              <w:rPr>
                <w:sz w:val="5"/>
                <w:szCs w:val="5"/>
                <w:color w:val="auto"/>
              </w:rPr>
            </w:pPr>
          </w:p>
        </w:tc>
        <w:tc>
          <w:tcPr>
            <w:tcW w:w="280" w:type="dxa"/>
            <w:vAlign w:val="bottom"/>
            <w:vMerge w:val="continue"/>
            <w:shd w:val="clear" w:color="auto" w:fill="E4DCD0"/>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003F1A"/>
          </w:tcPr>
          <w:p>
            <w:pPr>
              <w:spacing w:after="0"/>
              <w:rPr>
                <w:sz w:val="5"/>
                <w:szCs w:val="5"/>
                <w:color w:val="auto"/>
              </w:rPr>
            </w:pPr>
          </w:p>
        </w:tc>
        <w:tc>
          <w:tcPr>
            <w:tcW w:w="20" w:type="dxa"/>
            <w:vAlign w:val="bottom"/>
            <w:shd w:val="clear" w:color="auto" w:fill="003F1A"/>
          </w:tcPr>
          <w:p>
            <w:pPr>
              <w:spacing w:after="0"/>
              <w:rPr>
                <w:sz w:val="5"/>
                <w:szCs w:val="5"/>
                <w:color w:val="auto"/>
              </w:rPr>
            </w:pPr>
          </w:p>
        </w:tc>
        <w:tc>
          <w:tcPr>
            <w:tcW w:w="220" w:type="dxa"/>
            <w:vAlign w:val="bottom"/>
            <w:shd w:val="clear" w:color="auto" w:fill="003F1A"/>
          </w:tcPr>
          <w:p>
            <w:pPr>
              <w:spacing w:after="0"/>
              <w:rPr>
                <w:sz w:val="5"/>
                <w:szCs w:val="5"/>
                <w:color w:val="auto"/>
              </w:rPr>
            </w:pPr>
          </w:p>
        </w:tc>
        <w:tc>
          <w:tcPr>
            <w:tcW w:w="60" w:type="dxa"/>
            <w:vAlign w:val="bottom"/>
            <w:shd w:val="clear" w:color="auto" w:fill="003F1A"/>
          </w:tcPr>
          <w:p>
            <w:pPr>
              <w:spacing w:after="0"/>
              <w:rPr>
                <w:sz w:val="5"/>
                <w:szCs w:val="5"/>
                <w:color w:val="auto"/>
              </w:rPr>
            </w:pPr>
          </w:p>
        </w:tc>
        <w:tc>
          <w:tcPr>
            <w:tcW w:w="280" w:type="dxa"/>
            <w:vAlign w:val="bottom"/>
            <w:shd w:val="clear" w:color="auto" w:fill="003F1A"/>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shd w:val="clear" w:color="auto" w:fill="6690C5"/>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30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40" w:type="dxa"/>
            <w:vAlign w:val="bottom"/>
            <w:shd w:val="clear" w:color="auto" w:fill="003F1A"/>
          </w:tcPr>
          <w:p>
            <w:pPr>
              <w:spacing w:after="0"/>
              <w:rPr>
                <w:sz w:val="3"/>
                <w:szCs w:val="3"/>
                <w:color w:val="auto"/>
              </w:rPr>
            </w:pPr>
          </w:p>
        </w:tc>
        <w:tc>
          <w:tcPr>
            <w:tcW w:w="40" w:type="dxa"/>
            <w:vAlign w:val="bottom"/>
            <w:shd w:val="clear" w:color="auto" w:fill="003F1A"/>
          </w:tcPr>
          <w:p>
            <w:pPr>
              <w:spacing w:after="0"/>
              <w:rPr>
                <w:sz w:val="3"/>
                <w:szCs w:val="3"/>
                <w:color w:val="auto"/>
              </w:rPr>
            </w:pPr>
          </w:p>
        </w:tc>
        <w:tc>
          <w:tcPr>
            <w:tcW w:w="180" w:type="dxa"/>
            <w:vAlign w:val="bottom"/>
            <w:shd w:val="clear" w:color="auto" w:fill="003F1A"/>
          </w:tcPr>
          <w:p>
            <w:pPr>
              <w:spacing w:after="0"/>
              <w:rPr>
                <w:sz w:val="3"/>
                <w:szCs w:val="3"/>
                <w:color w:val="auto"/>
              </w:rPr>
            </w:pPr>
          </w:p>
        </w:tc>
        <w:tc>
          <w:tcPr>
            <w:tcW w:w="100" w:type="dxa"/>
            <w:vAlign w:val="bottom"/>
            <w:shd w:val="clear" w:color="auto" w:fill="003F1A"/>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40" w:type="dxa"/>
            <w:vAlign w:val="bottom"/>
            <w:shd w:val="clear" w:color="auto" w:fill="003F1A"/>
          </w:tcPr>
          <w:p>
            <w:pPr>
              <w:spacing w:after="0"/>
              <w:rPr>
                <w:sz w:val="3"/>
                <w:szCs w:val="3"/>
                <w:color w:val="auto"/>
              </w:rPr>
            </w:pPr>
          </w:p>
        </w:tc>
        <w:tc>
          <w:tcPr>
            <w:tcW w:w="26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4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shd w:val="clear" w:color="auto" w:fill="6690C5"/>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00" w:type="dxa"/>
            <w:vAlign w:val="bottom"/>
            <w:shd w:val="clear" w:color="auto" w:fill="003F1A"/>
          </w:tcPr>
          <w:p>
            <w:pPr>
              <w:spacing w:after="0"/>
              <w:rPr>
                <w:sz w:val="3"/>
                <w:szCs w:val="3"/>
                <w:color w:val="auto"/>
              </w:rPr>
            </w:pPr>
          </w:p>
        </w:tc>
        <w:tc>
          <w:tcPr>
            <w:tcW w:w="6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shd w:val="clear" w:color="auto" w:fill="003F1A"/>
          </w:tcPr>
          <w:p>
            <w:pPr>
              <w:spacing w:after="0"/>
              <w:rPr>
                <w:sz w:val="3"/>
                <w:szCs w:val="3"/>
                <w:color w:val="auto"/>
              </w:rPr>
            </w:pPr>
          </w:p>
        </w:tc>
        <w:tc>
          <w:tcPr>
            <w:tcW w:w="20" w:type="dxa"/>
            <w:vAlign w:val="bottom"/>
            <w:shd w:val="clear" w:color="auto" w:fill="003F1A"/>
          </w:tcPr>
          <w:p>
            <w:pPr>
              <w:spacing w:after="0"/>
              <w:rPr>
                <w:sz w:val="3"/>
                <w:szCs w:val="3"/>
                <w:color w:val="auto"/>
              </w:rPr>
            </w:pPr>
          </w:p>
        </w:tc>
        <w:tc>
          <w:tcPr>
            <w:tcW w:w="220" w:type="dxa"/>
            <w:vAlign w:val="bottom"/>
            <w:shd w:val="clear" w:color="auto" w:fill="003F1A"/>
          </w:tcPr>
          <w:p>
            <w:pPr>
              <w:spacing w:after="0"/>
              <w:rPr>
                <w:sz w:val="3"/>
                <w:szCs w:val="3"/>
                <w:color w:val="auto"/>
              </w:rPr>
            </w:pPr>
          </w:p>
        </w:tc>
        <w:tc>
          <w:tcPr>
            <w:tcW w:w="60" w:type="dxa"/>
            <w:vAlign w:val="bottom"/>
            <w:shd w:val="clear" w:color="auto" w:fill="003F1A"/>
          </w:tcPr>
          <w:p>
            <w:pPr>
              <w:spacing w:after="0"/>
              <w:rPr>
                <w:sz w:val="3"/>
                <w:szCs w:val="3"/>
                <w:color w:val="auto"/>
              </w:rPr>
            </w:pPr>
          </w:p>
        </w:tc>
        <w:tc>
          <w:tcPr>
            <w:tcW w:w="280" w:type="dxa"/>
            <w:vAlign w:val="bottom"/>
            <w:shd w:val="clear" w:color="auto" w:fill="003F1A"/>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shd w:val="clear" w:color="auto" w:fill="6690C5"/>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0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40" w:type="dxa"/>
            <w:vAlign w:val="bottom"/>
            <w:shd w:val="clear" w:color="auto" w:fill="003F1A"/>
          </w:tcPr>
          <w:p>
            <w:pPr>
              <w:spacing w:after="0"/>
              <w:rPr>
                <w:sz w:val="7"/>
                <w:szCs w:val="7"/>
                <w:color w:val="auto"/>
              </w:rPr>
            </w:pPr>
          </w:p>
        </w:tc>
        <w:tc>
          <w:tcPr>
            <w:tcW w:w="40" w:type="dxa"/>
            <w:vAlign w:val="bottom"/>
            <w:shd w:val="clear" w:color="auto" w:fill="003F1A"/>
          </w:tcPr>
          <w:p>
            <w:pPr>
              <w:spacing w:after="0"/>
              <w:rPr>
                <w:sz w:val="7"/>
                <w:szCs w:val="7"/>
                <w:color w:val="auto"/>
              </w:rPr>
            </w:pPr>
          </w:p>
        </w:tc>
        <w:tc>
          <w:tcPr>
            <w:tcW w:w="180" w:type="dxa"/>
            <w:vAlign w:val="bottom"/>
            <w:shd w:val="clear" w:color="auto" w:fill="003F1A"/>
          </w:tcPr>
          <w:p>
            <w:pPr>
              <w:spacing w:after="0"/>
              <w:rPr>
                <w:sz w:val="7"/>
                <w:szCs w:val="7"/>
                <w:color w:val="auto"/>
              </w:rPr>
            </w:pPr>
          </w:p>
        </w:tc>
        <w:tc>
          <w:tcPr>
            <w:tcW w:w="100" w:type="dxa"/>
            <w:vAlign w:val="bottom"/>
            <w:shd w:val="clear" w:color="auto" w:fill="003F1A"/>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40" w:type="dxa"/>
            <w:vAlign w:val="bottom"/>
            <w:shd w:val="clear" w:color="auto" w:fill="003F1A"/>
          </w:tcPr>
          <w:p>
            <w:pPr>
              <w:spacing w:after="0"/>
              <w:rPr>
                <w:sz w:val="7"/>
                <w:szCs w:val="7"/>
                <w:color w:val="auto"/>
              </w:rPr>
            </w:pPr>
          </w:p>
        </w:tc>
        <w:tc>
          <w:tcPr>
            <w:tcW w:w="26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4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shd w:val="clear" w:color="auto" w:fill="6690C5"/>
          </w:tcPr>
          <w:p>
            <w:pPr>
              <w:spacing w:after="0"/>
              <w:rPr>
                <w:sz w:val="7"/>
                <w:szCs w:val="7"/>
                <w:color w:val="auto"/>
              </w:rPr>
            </w:pPr>
          </w:p>
        </w:tc>
        <w:tc>
          <w:tcPr>
            <w:tcW w:w="660" w:type="dxa"/>
            <w:vAlign w:val="bottom"/>
            <w:tcBorders>
              <w:right w:val="single" w:sz="8" w:color="003F1A"/>
            </w:tcBorders>
          </w:tcPr>
          <w:p>
            <w:pPr>
              <w:spacing w:after="0"/>
              <w:rPr>
                <w:sz w:val="7"/>
                <w:szCs w:val="7"/>
                <w:color w:val="auto"/>
              </w:rPr>
            </w:pPr>
          </w:p>
        </w:tc>
        <w:tc>
          <w:tcPr>
            <w:tcW w:w="260" w:type="dxa"/>
            <w:vAlign w:val="bottom"/>
            <w:shd w:val="clear" w:color="auto" w:fill="003F1A"/>
          </w:tcPr>
          <w:p>
            <w:pPr>
              <w:spacing w:after="0"/>
              <w:rPr>
                <w:sz w:val="7"/>
                <w:szCs w:val="7"/>
                <w:color w:val="auto"/>
              </w:rPr>
            </w:pPr>
          </w:p>
        </w:tc>
        <w:tc>
          <w:tcPr>
            <w:tcW w:w="60" w:type="dxa"/>
            <w:vAlign w:val="bottom"/>
            <w:shd w:val="clear" w:color="auto" w:fill="003F1A"/>
          </w:tcPr>
          <w:p>
            <w:pPr>
              <w:spacing w:after="0"/>
              <w:rPr>
                <w:sz w:val="7"/>
                <w:szCs w:val="7"/>
                <w:color w:val="auto"/>
              </w:rPr>
            </w:pPr>
          </w:p>
        </w:tc>
        <w:tc>
          <w:tcPr>
            <w:tcW w:w="200" w:type="dxa"/>
            <w:vAlign w:val="bottom"/>
            <w:shd w:val="clear" w:color="auto" w:fill="003F1A"/>
          </w:tcPr>
          <w:p>
            <w:pPr>
              <w:spacing w:after="0"/>
              <w:rPr>
                <w:sz w:val="7"/>
                <w:szCs w:val="7"/>
                <w:color w:val="auto"/>
              </w:rPr>
            </w:pPr>
          </w:p>
        </w:tc>
        <w:tc>
          <w:tcPr>
            <w:tcW w:w="60" w:type="dxa"/>
            <w:vAlign w:val="bottom"/>
            <w:shd w:val="clear" w:color="auto" w:fill="003F1A"/>
          </w:tcPr>
          <w:p>
            <w:pPr>
              <w:spacing w:after="0"/>
              <w:rPr>
                <w:sz w:val="7"/>
                <w:szCs w:val="7"/>
                <w:color w:val="auto"/>
              </w:rPr>
            </w:pPr>
          </w:p>
        </w:tc>
        <w:tc>
          <w:tcPr>
            <w:tcW w:w="200" w:type="dxa"/>
            <w:vAlign w:val="bottom"/>
            <w:shd w:val="clear" w:color="auto" w:fill="003F1A"/>
          </w:tcPr>
          <w:p>
            <w:pPr>
              <w:spacing w:after="0"/>
              <w:rPr>
                <w:sz w:val="7"/>
                <w:szCs w:val="7"/>
                <w:color w:val="auto"/>
              </w:rPr>
            </w:pPr>
          </w:p>
        </w:tc>
        <w:tc>
          <w:tcPr>
            <w:tcW w:w="100" w:type="dxa"/>
            <w:vAlign w:val="bottom"/>
            <w:shd w:val="clear" w:color="auto" w:fill="003F1A"/>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00" w:type="dxa"/>
            <w:vAlign w:val="bottom"/>
            <w:shd w:val="clear" w:color="auto" w:fill="003F1A"/>
          </w:tcPr>
          <w:p>
            <w:pPr>
              <w:spacing w:after="0"/>
              <w:rPr>
                <w:sz w:val="7"/>
                <w:szCs w:val="7"/>
                <w:color w:val="auto"/>
              </w:rPr>
            </w:pPr>
          </w:p>
        </w:tc>
        <w:tc>
          <w:tcPr>
            <w:tcW w:w="6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shd w:val="clear" w:color="auto" w:fill="003F1A"/>
          </w:tcPr>
          <w:p>
            <w:pPr>
              <w:spacing w:after="0"/>
              <w:rPr>
                <w:sz w:val="7"/>
                <w:szCs w:val="7"/>
                <w:color w:val="auto"/>
              </w:rPr>
            </w:pPr>
          </w:p>
        </w:tc>
        <w:tc>
          <w:tcPr>
            <w:tcW w:w="20" w:type="dxa"/>
            <w:vAlign w:val="bottom"/>
            <w:shd w:val="clear" w:color="auto" w:fill="003F1A"/>
          </w:tcPr>
          <w:p>
            <w:pPr>
              <w:spacing w:after="0"/>
              <w:rPr>
                <w:sz w:val="7"/>
                <w:szCs w:val="7"/>
                <w:color w:val="auto"/>
              </w:rPr>
            </w:pPr>
          </w:p>
        </w:tc>
        <w:tc>
          <w:tcPr>
            <w:tcW w:w="220" w:type="dxa"/>
            <w:vAlign w:val="bottom"/>
            <w:shd w:val="clear" w:color="auto" w:fill="003F1A"/>
          </w:tcPr>
          <w:p>
            <w:pPr>
              <w:spacing w:after="0"/>
              <w:rPr>
                <w:sz w:val="7"/>
                <w:szCs w:val="7"/>
                <w:color w:val="auto"/>
              </w:rPr>
            </w:pPr>
          </w:p>
        </w:tc>
        <w:tc>
          <w:tcPr>
            <w:tcW w:w="60" w:type="dxa"/>
            <w:vAlign w:val="bottom"/>
            <w:shd w:val="clear" w:color="auto" w:fill="003F1A"/>
          </w:tcPr>
          <w:p>
            <w:pPr>
              <w:spacing w:after="0"/>
              <w:rPr>
                <w:sz w:val="7"/>
                <w:szCs w:val="7"/>
                <w:color w:val="auto"/>
              </w:rPr>
            </w:pPr>
          </w:p>
        </w:tc>
        <w:tc>
          <w:tcPr>
            <w:tcW w:w="280" w:type="dxa"/>
            <w:vAlign w:val="bottom"/>
            <w:shd w:val="clear" w:color="auto" w:fill="003F1A"/>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shd w:val="clear" w:color="auto" w:fill="6690C5"/>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30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40" w:type="dxa"/>
            <w:vAlign w:val="bottom"/>
            <w:tcBorders>
              <w:bottom w:val="single" w:sz="8" w:color="A4B3CC"/>
            </w:tcBorders>
            <w:shd w:val="clear" w:color="auto" w:fill="003F1A"/>
          </w:tcPr>
          <w:p>
            <w:pPr>
              <w:spacing w:after="0"/>
              <w:rPr>
                <w:sz w:val="24"/>
                <w:szCs w:val="24"/>
                <w:color w:val="auto"/>
              </w:rPr>
            </w:pPr>
          </w:p>
        </w:tc>
        <w:tc>
          <w:tcPr>
            <w:tcW w:w="40" w:type="dxa"/>
            <w:vAlign w:val="bottom"/>
            <w:tcBorders>
              <w:bottom w:val="single" w:sz="8" w:color="A4B3CC"/>
            </w:tcBorders>
            <w:shd w:val="clear" w:color="auto" w:fill="003F1A"/>
          </w:tcPr>
          <w:p>
            <w:pPr>
              <w:spacing w:after="0"/>
              <w:rPr>
                <w:sz w:val="24"/>
                <w:szCs w:val="24"/>
                <w:color w:val="auto"/>
              </w:rPr>
            </w:pPr>
          </w:p>
        </w:tc>
        <w:tc>
          <w:tcPr>
            <w:tcW w:w="180" w:type="dxa"/>
            <w:vAlign w:val="bottom"/>
            <w:tcBorders>
              <w:bottom w:val="single" w:sz="8" w:color="A4B3CC"/>
            </w:tcBorders>
            <w:shd w:val="clear" w:color="auto" w:fill="003F1A"/>
          </w:tcPr>
          <w:p>
            <w:pPr>
              <w:spacing w:after="0"/>
              <w:rPr>
                <w:sz w:val="24"/>
                <w:szCs w:val="24"/>
                <w:color w:val="auto"/>
              </w:rPr>
            </w:pPr>
          </w:p>
        </w:tc>
        <w:tc>
          <w:tcPr>
            <w:tcW w:w="10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40" w:type="dxa"/>
            <w:vAlign w:val="bottom"/>
            <w:tcBorders>
              <w:bottom w:val="single" w:sz="8" w:color="A4B3CC"/>
            </w:tcBorders>
            <w:shd w:val="clear" w:color="auto" w:fill="003F1A"/>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4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900" w:type="dxa"/>
            <w:vAlign w:val="bottom"/>
            <w:tcBorders>
              <w:bottom w:val="single" w:sz="8" w:color="A4B3CC"/>
            </w:tcBorders>
            <w:shd w:val="clear" w:color="auto" w:fill="6690C5"/>
          </w:tcPr>
          <w:p>
            <w:pPr>
              <w:spacing w:after="0"/>
              <w:rPr>
                <w:sz w:val="24"/>
                <w:szCs w:val="24"/>
                <w:color w:val="auto"/>
              </w:rPr>
            </w:pPr>
          </w:p>
        </w:tc>
        <w:tc>
          <w:tcPr>
            <w:tcW w:w="660" w:type="dxa"/>
            <w:vAlign w:val="bottom"/>
            <w:tcBorders>
              <w:right w:val="single" w:sz="8" w:color="003F1A"/>
            </w:tcBorders>
          </w:tcPr>
          <w:p>
            <w:pPr>
              <w:spacing w:after="0"/>
              <w:rPr>
                <w:sz w:val="24"/>
                <w:szCs w:val="24"/>
                <w:color w:val="auto"/>
              </w:rPr>
            </w:pPr>
          </w:p>
        </w:tc>
        <w:tc>
          <w:tcPr>
            <w:tcW w:w="26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shd w:val="clear" w:color="auto" w:fill="003F1A"/>
          </w:tcPr>
          <w:p>
            <w:pPr>
              <w:spacing w:after="0"/>
              <w:rPr>
                <w:sz w:val="24"/>
                <w:szCs w:val="24"/>
                <w:color w:val="auto"/>
              </w:rPr>
            </w:pPr>
          </w:p>
        </w:tc>
        <w:tc>
          <w:tcPr>
            <w:tcW w:w="20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shd w:val="clear" w:color="auto" w:fill="003F1A"/>
          </w:tcPr>
          <w:p>
            <w:pPr>
              <w:spacing w:after="0"/>
              <w:rPr>
                <w:sz w:val="24"/>
                <w:szCs w:val="24"/>
                <w:color w:val="auto"/>
              </w:rPr>
            </w:pPr>
          </w:p>
        </w:tc>
        <w:tc>
          <w:tcPr>
            <w:tcW w:w="200" w:type="dxa"/>
            <w:vAlign w:val="bottom"/>
            <w:tcBorders>
              <w:bottom w:val="single" w:sz="8" w:color="A4B3CC"/>
            </w:tcBorders>
            <w:shd w:val="clear" w:color="auto" w:fill="003F1A"/>
          </w:tcPr>
          <w:p>
            <w:pPr>
              <w:spacing w:after="0"/>
              <w:rPr>
                <w:sz w:val="24"/>
                <w:szCs w:val="24"/>
                <w:color w:val="auto"/>
              </w:rPr>
            </w:pPr>
          </w:p>
        </w:tc>
        <w:tc>
          <w:tcPr>
            <w:tcW w:w="10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tcPr>
          <w:p>
            <w:pPr>
              <w:spacing w:after="0"/>
              <w:rPr>
                <w:sz w:val="24"/>
                <w:szCs w:val="24"/>
                <w:color w:val="auto"/>
              </w:rPr>
            </w:pPr>
          </w:p>
        </w:tc>
        <w:tc>
          <w:tcPr>
            <w:tcW w:w="32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0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300" w:type="dxa"/>
            <w:vAlign w:val="bottom"/>
            <w:tcBorders>
              <w:bottom w:val="single" w:sz="8" w:color="A4B3CC"/>
            </w:tcBorders>
            <w:shd w:val="clear" w:color="auto" w:fill="003F1A"/>
          </w:tcPr>
          <w:p>
            <w:pPr>
              <w:spacing w:after="0"/>
              <w:rPr>
                <w:sz w:val="24"/>
                <w:szCs w:val="24"/>
                <w:color w:val="auto"/>
              </w:rPr>
            </w:pPr>
          </w:p>
        </w:tc>
        <w:tc>
          <w:tcPr>
            <w:tcW w:w="20" w:type="dxa"/>
            <w:vAlign w:val="bottom"/>
            <w:tcBorders>
              <w:bottom w:val="single" w:sz="8" w:color="A4B3CC"/>
            </w:tcBorders>
            <w:shd w:val="clear" w:color="auto" w:fill="003F1A"/>
          </w:tcPr>
          <w:p>
            <w:pPr>
              <w:spacing w:after="0"/>
              <w:rPr>
                <w:sz w:val="24"/>
                <w:szCs w:val="24"/>
                <w:color w:val="auto"/>
              </w:rPr>
            </w:pPr>
          </w:p>
        </w:tc>
        <w:tc>
          <w:tcPr>
            <w:tcW w:w="220" w:type="dxa"/>
            <w:vAlign w:val="bottom"/>
            <w:tcBorders>
              <w:bottom w:val="single" w:sz="8" w:color="A4B3CC"/>
            </w:tcBorders>
            <w:shd w:val="clear" w:color="auto" w:fill="003F1A"/>
          </w:tcPr>
          <w:p>
            <w:pPr>
              <w:spacing w:after="0"/>
              <w:rPr>
                <w:sz w:val="24"/>
                <w:szCs w:val="24"/>
                <w:color w:val="auto"/>
              </w:rPr>
            </w:pPr>
          </w:p>
        </w:tc>
        <w:tc>
          <w:tcPr>
            <w:tcW w:w="60" w:type="dxa"/>
            <w:vAlign w:val="bottom"/>
            <w:tcBorders>
              <w:bottom w:val="single" w:sz="8" w:color="A4B3CC"/>
            </w:tcBorders>
            <w:shd w:val="clear" w:color="auto" w:fill="003F1A"/>
          </w:tcPr>
          <w:p>
            <w:pPr>
              <w:spacing w:after="0"/>
              <w:rPr>
                <w:sz w:val="24"/>
                <w:szCs w:val="24"/>
                <w:color w:val="auto"/>
              </w:rPr>
            </w:pPr>
          </w:p>
        </w:tc>
        <w:tc>
          <w:tcPr>
            <w:tcW w:w="280" w:type="dxa"/>
            <w:vAlign w:val="bottom"/>
            <w:tcBorders>
              <w:bottom w:val="single" w:sz="8" w:color="A4B3CC"/>
            </w:tcBorders>
            <w:shd w:val="clear" w:color="auto" w:fill="003F1A"/>
          </w:tcPr>
          <w:p>
            <w:pPr>
              <w:spacing w:after="0"/>
              <w:rPr>
                <w:sz w:val="24"/>
                <w:szCs w:val="24"/>
                <w:color w:val="auto"/>
              </w:rPr>
            </w:pPr>
          </w:p>
        </w:tc>
        <w:tc>
          <w:tcPr>
            <w:tcW w:w="80" w:type="dxa"/>
            <w:vAlign w:val="bottom"/>
            <w:tcBorders>
              <w:bottom w:val="single" w:sz="8" w:color="A4B3CC"/>
            </w:tcBorders>
          </w:tcPr>
          <w:p>
            <w:pPr>
              <w:spacing w:after="0"/>
              <w:rPr>
                <w:sz w:val="24"/>
                <w:szCs w:val="24"/>
                <w:color w:val="auto"/>
              </w:rPr>
            </w:pPr>
          </w:p>
        </w:tc>
        <w:tc>
          <w:tcPr>
            <w:tcW w:w="880" w:type="dxa"/>
            <w:vAlign w:val="bottom"/>
            <w:tcBorders>
              <w:bottom w:val="single" w:sz="8" w:color="A4B3CC"/>
            </w:tcBorders>
            <w:shd w:val="clear" w:color="auto" w:fill="6690C5"/>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400" w:type="dxa"/>
            <w:vAlign w:val="bottom"/>
            <w:gridSpan w:val="3"/>
            <w:vMerge w:val="restart"/>
          </w:tcPr>
          <w:p>
            <w:pPr>
              <w:spacing w:after="0"/>
              <w:rPr>
                <w:sz w:val="12"/>
                <w:szCs w:val="12"/>
                <w:color w:val="auto"/>
              </w:rPr>
            </w:pPr>
          </w:p>
        </w:tc>
        <w:tc>
          <w:tcPr>
            <w:tcW w:w="280" w:type="dxa"/>
            <w:vAlign w:val="bottom"/>
            <w:gridSpan w:val="2"/>
          </w:tcPr>
          <w:p>
            <w:pPr>
              <w:spacing w:after="0"/>
              <w:rPr>
                <w:sz w:val="12"/>
                <w:szCs w:val="12"/>
                <w:color w:val="auto"/>
              </w:rPr>
            </w:pPr>
          </w:p>
        </w:tc>
        <w:tc>
          <w:tcPr>
            <w:tcW w:w="280" w:type="dxa"/>
            <w:vAlign w:val="bottom"/>
            <w:vMerge w:val="restart"/>
          </w:tcPr>
          <w:p>
            <w:pPr>
              <w:spacing w:after="0"/>
              <w:rPr>
                <w:sz w:val="12"/>
                <w:szCs w:val="12"/>
                <w:color w:val="auto"/>
              </w:rPr>
            </w:pPr>
          </w:p>
        </w:tc>
        <w:tc>
          <w:tcPr>
            <w:tcW w:w="380" w:type="dxa"/>
            <w:vAlign w:val="bottom"/>
            <w:gridSpan w:val="3"/>
            <w:vMerge w:val="restart"/>
          </w:tcPr>
          <w:p>
            <w:pPr>
              <w:spacing w:after="0"/>
              <w:rPr>
                <w:sz w:val="12"/>
                <w:szCs w:val="12"/>
                <w:color w:val="auto"/>
              </w:rPr>
            </w:pPr>
          </w:p>
        </w:tc>
        <w:tc>
          <w:tcPr>
            <w:tcW w:w="300" w:type="dxa"/>
            <w:vAlign w:val="bottom"/>
            <w:gridSpan w:val="2"/>
          </w:tcPr>
          <w:p>
            <w:pPr>
              <w:spacing w:after="0"/>
              <w:rPr>
                <w:sz w:val="12"/>
                <w:szCs w:val="12"/>
                <w:color w:val="auto"/>
              </w:rPr>
            </w:pPr>
          </w:p>
        </w:tc>
        <w:tc>
          <w:tcPr>
            <w:tcW w:w="280" w:type="dxa"/>
            <w:vAlign w:val="bottom"/>
            <w:vMerge w:val="restart"/>
          </w:tcPr>
          <w:p>
            <w:pPr>
              <w:spacing w:after="0"/>
              <w:rPr>
                <w:sz w:val="12"/>
                <w:szCs w:val="12"/>
                <w:color w:val="auto"/>
              </w:rPr>
            </w:pPr>
          </w:p>
        </w:tc>
        <w:tc>
          <w:tcPr>
            <w:tcW w:w="380" w:type="dxa"/>
            <w:vAlign w:val="bottom"/>
            <w:gridSpan w:val="3"/>
            <w:vMerge w:val="restart"/>
          </w:tcPr>
          <w:p>
            <w:pPr>
              <w:spacing w:after="0"/>
              <w:rPr>
                <w:sz w:val="12"/>
                <w:szCs w:val="12"/>
                <w:color w:val="auto"/>
              </w:rPr>
            </w:pPr>
          </w:p>
        </w:tc>
        <w:tc>
          <w:tcPr>
            <w:tcW w:w="300" w:type="dxa"/>
            <w:vAlign w:val="bottom"/>
            <w:gridSpan w:val="2"/>
          </w:tcPr>
          <w:p>
            <w:pPr>
              <w:spacing w:after="0"/>
              <w:rPr>
                <w:sz w:val="12"/>
                <w:szCs w:val="12"/>
                <w:color w:val="auto"/>
              </w:rPr>
            </w:pPr>
          </w:p>
        </w:tc>
        <w:tc>
          <w:tcPr>
            <w:tcW w:w="280" w:type="dxa"/>
            <w:vAlign w:val="bottom"/>
            <w:vMerge w:val="restart"/>
          </w:tcPr>
          <w:p>
            <w:pPr>
              <w:spacing w:after="0"/>
              <w:rPr>
                <w:sz w:val="12"/>
                <w:szCs w:val="12"/>
                <w:color w:val="auto"/>
              </w:rPr>
            </w:pPr>
          </w:p>
        </w:tc>
        <w:tc>
          <w:tcPr>
            <w:tcW w:w="9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2024</w:t>
            </w:r>
          </w:p>
        </w:tc>
        <w:tc>
          <w:tcPr>
            <w:tcW w:w="660" w:type="dxa"/>
            <w:vAlign w:val="bottom"/>
            <w:vMerge w:val="restart"/>
          </w:tcPr>
          <w:p>
            <w:pPr>
              <w:spacing w:after="0"/>
              <w:rPr>
                <w:sz w:val="12"/>
                <w:szCs w:val="12"/>
                <w:color w:val="auto"/>
              </w:rPr>
            </w:pPr>
          </w:p>
        </w:tc>
        <w:tc>
          <w:tcPr>
            <w:tcW w:w="2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3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36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3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240"/>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90"/>
        </w:trPr>
        <w:tc>
          <w:tcPr>
            <w:tcW w:w="300" w:type="dxa"/>
            <w:vAlign w:val="bottom"/>
            <w:vMerge w:val="continue"/>
          </w:tcPr>
          <w:p>
            <w:pPr>
              <w:spacing w:after="0"/>
              <w:rPr>
                <w:sz w:val="7"/>
                <w:szCs w:val="7"/>
                <w:color w:val="auto"/>
              </w:rPr>
            </w:pPr>
          </w:p>
        </w:tc>
        <w:tc>
          <w:tcPr>
            <w:tcW w:w="300" w:type="dxa"/>
            <w:vAlign w:val="bottom"/>
            <w:gridSpan w:val="3"/>
            <w:shd w:val="clear" w:color="auto" w:fill="E4DCD0"/>
          </w:tcPr>
          <w:p>
            <w:pPr>
              <w:spacing w:after="0" w:line="90" w:lineRule="exact"/>
              <w:rPr>
                <w:sz w:val="20"/>
                <w:szCs w:val="20"/>
                <w:color w:val="auto"/>
              </w:rPr>
            </w:pPr>
            <w:r>
              <w:rPr>
                <w:rFonts w:ascii="Arial" w:cs="Arial" w:eastAsia="Arial" w:hAnsi="Arial"/>
                <w:sz w:val="10"/>
                <w:szCs w:val="10"/>
                <w:b w:val="1"/>
                <w:bCs w:val="1"/>
                <w:color w:val="274134"/>
                <w:highlight w:val="lightGray"/>
              </w:rPr>
              <w:t>2020</w:t>
            </w:r>
          </w:p>
        </w:tc>
        <w:tc>
          <w:tcPr>
            <w:tcW w:w="18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80" w:type="dxa"/>
            <w:vAlign w:val="bottom"/>
            <w:gridSpan w:val="2"/>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2021</w:t>
            </w:r>
          </w:p>
        </w:tc>
        <w:tc>
          <w:tcPr>
            <w:tcW w:w="280" w:type="dxa"/>
            <w:vAlign w:val="bottom"/>
            <w:vMerge w:val="continue"/>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00" w:type="dxa"/>
            <w:vAlign w:val="bottom"/>
            <w:gridSpan w:val="2"/>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2022</w:t>
            </w:r>
          </w:p>
        </w:tc>
        <w:tc>
          <w:tcPr>
            <w:tcW w:w="280" w:type="dxa"/>
            <w:vAlign w:val="bottom"/>
            <w:vMerge w:val="continue"/>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300" w:type="dxa"/>
            <w:vAlign w:val="bottom"/>
            <w:gridSpan w:val="2"/>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2023</w:t>
            </w:r>
          </w:p>
        </w:tc>
        <w:tc>
          <w:tcPr>
            <w:tcW w:w="280" w:type="dxa"/>
            <w:vAlign w:val="bottom"/>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20" w:type="dxa"/>
            <w:vAlign w:val="bottom"/>
            <w:gridSpan w:val="3"/>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2020</w:t>
            </w:r>
          </w:p>
        </w:tc>
        <w:tc>
          <w:tcPr>
            <w:tcW w:w="20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280" w:type="dxa"/>
            <w:vAlign w:val="bottom"/>
            <w:gridSpan w:val="3"/>
            <w:shd w:val="clear" w:color="auto" w:fill="E4DCD0"/>
          </w:tcPr>
          <w:p>
            <w:pPr>
              <w:spacing w:after="0" w:line="90" w:lineRule="exact"/>
              <w:rPr>
                <w:sz w:val="20"/>
                <w:szCs w:val="20"/>
                <w:color w:val="auto"/>
              </w:rPr>
            </w:pPr>
            <w:r>
              <w:rPr>
                <w:rFonts w:ascii="Arial" w:cs="Arial" w:eastAsia="Arial" w:hAnsi="Arial"/>
                <w:sz w:val="10"/>
                <w:szCs w:val="10"/>
                <w:b w:val="1"/>
                <w:bCs w:val="1"/>
                <w:color w:val="274134"/>
                <w:highlight w:val="lightGray"/>
              </w:rPr>
              <w:t>2021</w:t>
            </w:r>
          </w:p>
        </w:tc>
        <w:tc>
          <w:tcPr>
            <w:tcW w:w="28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320" w:type="dxa"/>
            <w:vAlign w:val="bottom"/>
            <w:gridSpan w:val="3"/>
            <w:shd w:val="clear" w:color="auto" w:fill="E4DCD0"/>
          </w:tcPr>
          <w:p>
            <w:pPr>
              <w:jc w:val="right"/>
              <w:spacing w:after="0" w:line="90" w:lineRule="exact"/>
              <w:rPr>
                <w:sz w:val="20"/>
                <w:szCs w:val="20"/>
                <w:color w:val="auto"/>
              </w:rPr>
            </w:pPr>
            <w:r>
              <w:rPr>
                <w:rFonts w:ascii="Arial" w:cs="Arial" w:eastAsia="Arial" w:hAnsi="Arial"/>
                <w:sz w:val="10"/>
                <w:szCs w:val="10"/>
                <w:b w:val="1"/>
                <w:bCs w:val="1"/>
                <w:color w:val="274134"/>
                <w:highlight w:val="lightGray"/>
              </w:rPr>
              <w:t>2022</w:t>
            </w:r>
          </w:p>
        </w:tc>
        <w:tc>
          <w:tcPr>
            <w:tcW w:w="28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300" w:type="dxa"/>
            <w:vAlign w:val="bottom"/>
            <w:gridSpan w:val="3"/>
            <w:shd w:val="clear" w:color="auto" w:fill="E4DCD0"/>
          </w:tcPr>
          <w:p>
            <w:pPr>
              <w:spacing w:after="0" w:line="90" w:lineRule="exact"/>
              <w:rPr>
                <w:sz w:val="20"/>
                <w:szCs w:val="20"/>
                <w:color w:val="auto"/>
              </w:rPr>
            </w:pPr>
            <w:r>
              <w:rPr>
                <w:rFonts w:ascii="Arial" w:cs="Arial" w:eastAsia="Arial" w:hAnsi="Arial"/>
                <w:sz w:val="10"/>
                <w:szCs w:val="10"/>
                <w:b w:val="1"/>
                <w:bCs w:val="1"/>
                <w:color w:val="274134"/>
                <w:highlight w:val="lightGray"/>
              </w:rPr>
              <w:t>2023</w:t>
            </w: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320"/>
        <w:spacing w:after="0"/>
        <w:rPr>
          <w:sz w:val="20"/>
          <w:szCs w:val="20"/>
          <w:color w:val="auto"/>
        </w:rPr>
      </w:pPr>
      <w:r>
        <w:rPr>
          <w:rFonts w:ascii="Arial" w:cs="Arial" w:eastAsia="Arial" w:hAnsi="Arial"/>
          <w:sz w:val="12"/>
          <w:szCs w:val="12"/>
          <w:color w:val="717665"/>
          <w:highlight w:val="lightGray"/>
        </w:rPr>
        <w:t>*2022 net income includes non-cash impairment charges of $88.5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BALANCE SHEET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vMerge w:val="restart"/>
          </w:tcPr>
          <w:p>
            <w:pPr>
              <w:spacing w:after="0"/>
              <w:rPr>
                <w:sz w:val="2"/>
                <w:szCs w:val="2"/>
                <w:color w:val="auto"/>
              </w:rPr>
            </w:pPr>
          </w:p>
        </w:tc>
        <w:tc>
          <w:tcPr>
            <w:tcW w:w="1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tcPr>
          <w:p>
            <w:pPr>
              <w:spacing w:after="0"/>
              <w:rPr>
                <w:sz w:val="2"/>
                <w:szCs w:val="2"/>
                <w:color w:val="auto"/>
              </w:rPr>
            </w:pPr>
          </w:p>
        </w:tc>
        <w:tc>
          <w:tcPr>
            <w:tcW w:w="1840" w:type="dxa"/>
            <w:vAlign w:val="bottom"/>
            <w:vMerge w:val="restart"/>
          </w:tcPr>
          <w:p>
            <w:pPr>
              <w:spacing w:after="0"/>
              <w:rPr>
                <w:sz w:val="2"/>
                <w:szCs w:val="2"/>
                <w:color w:val="auto"/>
              </w:rPr>
            </w:pPr>
          </w:p>
        </w:tc>
        <w:tc>
          <w:tcPr>
            <w:tcW w:w="9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vMerge w:val="continue"/>
          </w:tcPr>
          <w:p>
            <w:pPr>
              <w:spacing w:after="0" w:line="20" w:lineRule="exact"/>
              <w:rPr>
                <w:sz w:val="1"/>
                <w:szCs w:val="1"/>
                <w:color w:val="auto"/>
              </w:rPr>
            </w:pPr>
          </w:p>
        </w:tc>
        <w:tc>
          <w:tcPr>
            <w:tcW w:w="720" w:type="dxa"/>
            <w:vAlign w:val="bottom"/>
            <w:vMerge w:val="restart"/>
            <w:shd w:val="clear" w:color="auto" w:fill="D3D1CF"/>
          </w:tcPr>
          <w:p>
            <w:pPr>
              <w:spacing w:after="0" w:line="113" w:lineRule="exact"/>
              <w:rPr>
                <w:sz w:val="20"/>
                <w:szCs w:val="20"/>
                <w:color w:val="auto"/>
              </w:rPr>
            </w:pPr>
            <w:r>
              <w:rPr>
                <w:rFonts w:ascii="Arial" w:cs="Arial" w:eastAsia="Arial" w:hAnsi="Arial"/>
                <w:sz w:val="12"/>
                <w:szCs w:val="12"/>
                <w:b w:val="1"/>
                <w:bCs w:val="1"/>
                <w:color w:val="1F3E35"/>
                <w:highlight w:val="lightGray"/>
              </w:rPr>
              <w:t>USD $000s</w:t>
            </w:r>
          </w:p>
        </w:tc>
        <w:tc>
          <w:tcPr>
            <w:tcW w:w="140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vMerge w:val="restart"/>
            <w:shd w:val="clear" w:color="auto" w:fill="D3D1CF"/>
          </w:tcPr>
          <w:p>
            <w:pPr>
              <w:spacing w:after="0" w:line="113" w:lineRule="exact"/>
              <w:rPr>
                <w:sz w:val="20"/>
                <w:szCs w:val="20"/>
                <w:color w:val="auto"/>
              </w:rPr>
            </w:pPr>
            <w:r>
              <w:rPr>
                <w:rFonts w:ascii="Arial" w:cs="Arial" w:eastAsia="Arial" w:hAnsi="Arial"/>
                <w:sz w:val="12"/>
                <w:szCs w:val="12"/>
                <w:b w:val="1"/>
                <w:bCs w:val="1"/>
                <w:color w:val="1F3E35"/>
                <w:highlight w:val="lightGray"/>
              </w:rPr>
              <w:t>USD $000s</w:t>
            </w:r>
          </w:p>
        </w:tc>
        <w:tc>
          <w:tcPr>
            <w:tcW w:w="184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vMerge w:val="continue"/>
            <w:shd w:val="clear" w:color="auto" w:fill="D3D1CF"/>
          </w:tcPr>
          <w:p>
            <w:pPr>
              <w:spacing w:after="0"/>
              <w:rPr>
                <w:sz w:val="8"/>
                <w:szCs w:val="8"/>
                <w:color w:val="auto"/>
              </w:rPr>
            </w:pPr>
          </w:p>
        </w:tc>
        <w:tc>
          <w:tcPr>
            <w:tcW w:w="140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380" w:type="dxa"/>
            <w:vAlign w:val="bottom"/>
            <w:gridSpan w:val="2"/>
            <w:shd w:val="clear" w:color="auto" w:fill="D3D1CF"/>
          </w:tcPr>
          <w:p>
            <w:pPr>
              <w:spacing w:after="0" w:line="91" w:lineRule="exact"/>
              <w:rPr>
                <w:sz w:val="20"/>
                <w:szCs w:val="20"/>
                <w:color w:val="auto"/>
              </w:rPr>
            </w:pPr>
            <w:r>
              <w:rPr>
                <w:rFonts w:ascii="Arial" w:cs="Arial" w:eastAsia="Arial" w:hAnsi="Arial"/>
                <w:sz w:val="10"/>
                <w:szCs w:val="10"/>
                <w:b w:val="1"/>
                <w:bCs w:val="1"/>
                <w:color w:val="1F3E35"/>
                <w:highlight w:val="lightGray"/>
              </w:rPr>
              <w:t>AS OF</w:t>
            </w:r>
          </w:p>
        </w:tc>
        <w:tc>
          <w:tcPr>
            <w:tcW w:w="1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shd w:val="clear" w:color="auto" w:fill="D3D1CF"/>
          </w:tcPr>
          <w:p>
            <w:pPr>
              <w:spacing w:after="0"/>
              <w:rPr>
                <w:sz w:val="8"/>
                <w:szCs w:val="8"/>
                <w:color w:val="auto"/>
              </w:rPr>
            </w:pPr>
          </w:p>
        </w:tc>
        <w:tc>
          <w:tcPr>
            <w:tcW w:w="18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380" w:type="dxa"/>
            <w:vAlign w:val="bottom"/>
            <w:gridSpan w:val="2"/>
            <w:shd w:val="clear" w:color="auto" w:fill="D3D1CF"/>
          </w:tcPr>
          <w:p>
            <w:pPr>
              <w:spacing w:after="0" w:line="91" w:lineRule="exact"/>
              <w:rPr>
                <w:sz w:val="20"/>
                <w:szCs w:val="20"/>
                <w:color w:val="auto"/>
              </w:rPr>
            </w:pPr>
            <w:r>
              <w:rPr>
                <w:rFonts w:ascii="Arial" w:cs="Arial" w:eastAsia="Arial" w:hAnsi="Arial"/>
                <w:sz w:val="10"/>
                <w:szCs w:val="10"/>
                <w:b w:val="1"/>
                <w:bCs w:val="1"/>
                <w:color w:val="1F3E35"/>
                <w:highlight w:val="lightGray"/>
              </w:rPr>
              <w:t>AS OF</w:t>
            </w:r>
          </w:p>
        </w:tc>
        <w:tc>
          <w:tcPr>
            <w:tcW w:w="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420" w:type="dxa"/>
            <w:vAlign w:val="bottom"/>
            <w:gridSpan w:val="2"/>
            <w:vMerge w:val="restart"/>
          </w:tcPr>
          <w:p>
            <w:pPr>
              <w:spacing w:after="0"/>
              <w:rPr>
                <w:sz w:val="5"/>
                <w:szCs w:val="5"/>
                <w:color w:val="auto"/>
              </w:rPr>
            </w:pPr>
          </w:p>
        </w:tc>
        <w:tc>
          <w:tcPr>
            <w:tcW w:w="460" w:type="dxa"/>
            <w:vAlign w:val="bottom"/>
            <w:gridSpan w:val="2"/>
          </w:tcPr>
          <w:p>
            <w:pPr>
              <w:spacing w:after="0"/>
              <w:rPr>
                <w:sz w:val="5"/>
                <w:szCs w:val="5"/>
                <w:color w:val="auto"/>
              </w:rPr>
            </w:pPr>
          </w:p>
        </w:tc>
        <w:tc>
          <w:tcPr>
            <w:tcW w:w="720" w:type="dxa"/>
            <w:vAlign w:val="bottom"/>
            <w:vMerge w:val="restart"/>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80" w:type="dxa"/>
            <w:vAlign w:val="bottom"/>
            <w:gridSpan w:val="2"/>
            <w:vMerge w:val="restart"/>
          </w:tcPr>
          <w:p>
            <w:pPr>
              <w:spacing w:after="0"/>
              <w:rPr>
                <w:sz w:val="5"/>
                <w:szCs w:val="5"/>
                <w:color w:val="auto"/>
              </w:rPr>
            </w:pPr>
          </w:p>
        </w:tc>
        <w:tc>
          <w:tcPr>
            <w:tcW w:w="440" w:type="dxa"/>
            <w:vAlign w:val="bottom"/>
            <w:gridSpan w:val="2"/>
          </w:tcPr>
          <w:p>
            <w:pPr>
              <w:spacing w:after="0"/>
              <w:rPr>
                <w:sz w:val="5"/>
                <w:szCs w:val="5"/>
                <w:color w:val="auto"/>
              </w:rPr>
            </w:pPr>
          </w:p>
        </w:tc>
        <w:tc>
          <w:tcPr>
            <w:tcW w:w="7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460" w:type="dxa"/>
            <w:vAlign w:val="bottom"/>
            <w:gridSpan w:val="2"/>
            <w:shd w:val="clear" w:color="auto" w:fill="D3D1CF"/>
          </w:tcPr>
          <w:p>
            <w:pPr>
              <w:spacing w:after="0" w:line="91" w:lineRule="exact"/>
              <w:rPr>
                <w:sz w:val="20"/>
                <w:szCs w:val="20"/>
                <w:color w:val="auto"/>
              </w:rPr>
            </w:pPr>
            <w:r>
              <w:rPr>
                <w:rFonts w:ascii="Arial" w:cs="Arial" w:eastAsia="Arial" w:hAnsi="Arial"/>
                <w:sz w:val="10"/>
                <w:szCs w:val="10"/>
                <w:b w:val="1"/>
                <w:bCs w:val="1"/>
                <w:color w:val="1F3E35"/>
              </w:rPr>
              <w:t>DEC. 31</w:t>
            </w:r>
          </w:p>
        </w:tc>
        <w:tc>
          <w:tcPr>
            <w:tcW w:w="7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440" w:type="dxa"/>
            <w:vAlign w:val="bottom"/>
            <w:gridSpan w:val="2"/>
            <w:shd w:val="clear" w:color="auto" w:fill="D3D1CF"/>
          </w:tcPr>
          <w:p>
            <w:pPr>
              <w:spacing w:after="0" w:line="91" w:lineRule="exact"/>
              <w:rPr>
                <w:sz w:val="20"/>
                <w:szCs w:val="20"/>
                <w:color w:val="auto"/>
              </w:rPr>
            </w:pPr>
            <w:r>
              <w:rPr>
                <w:rFonts w:ascii="Arial" w:cs="Arial" w:eastAsia="Arial" w:hAnsi="Arial"/>
                <w:sz w:val="10"/>
                <w:szCs w:val="10"/>
                <w:b w:val="1"/>
                <w:bCs w:val="1"/>
                <w:color w:val="1F3E35"/>
              </w:rPr>
              <w:t>DEC. 31</w:t>
            </w: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0" w:type="dxa"/>
            <w:vAlign w:val="bottom"/>
            <w:gridSpan w:val="5"/>
          </w:tcPr>
          <w:p>
            <w:pPr>
              <w:ind w:left="1400"/>
              <w:spacing w:after="0"/>
              <w:rPr>
                <w:sz w:val="20"/>
                <w:szCs w:val="20"/>
                <w:color w:val="auto"/>
              </w:rPr>
            </w:pPr>
            <w:r>
              <w:rPr>
                <w:rFonts w:ascii="Arial" w:cs="Arial" w:eastAsia="Arial" w:hAnsi="Arial"/>
                <w:sz w:val="28"/>
                <w:szCs w:val="28"/>
                <w:b w:val="1"/>
                <w:bCs w:val="1"/>
                <w:color w:val="003F1A"/>
              </w:rPr>
              <w:t>2024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40" w:type="dxa"/>
            <w:vAlign w:val="bottom"/>
            <w:gridSpan w:val="5"/>
          </w:tcPr>
          <w:p>
            <w:pPr>
              <w:ind w:left="960"/>
              <w:spacing w:after="0"/>
              <w:rPr>
                <w:sz w:val="20"/>
                <w:szCs w:val="20"/>
                <w:color w:val="auto"/>
              </w:rPr>
            </w:pPr>
            <w:r>
              <w:rPr>
                <w:rFonts w:ascii="Arial" w:cs="Arial" w:eastAsia="Arial" w:hAnsi="Arial"/>
                <w:sz w:val="28"/>
                <w:szCs w:val="28"/>
                <w:b w:val="1"/>
                <w:bCs w:val="1"/>
                <w:color w:val="003F1A"/>
              </w:rPr>
              <w:t>2024</w:t>
            </w:r>
          </w:p>
        </w:tc>
        <w:tc>
          <w:tcPr>
            <w:tcW w:w="0" w:type="dxa"/>
            <w:vAlign w:val="bottom"/>
          </w:tcPr>
          <w:p>
            <w:pPr>
              <w:spacing w:after="0"/>
              <w:rPr>
                <w:sz w:val="1"/>
                <w:szCs w:val="1"/>
                <w:color w:val="auto"/>
              </w:rPr>
            </w:pPr>
          </w:p>
        </w:tc>
      </w:tr>
      <w:tr>
        <w:trPr>
          <w:trHeight w:val="51"/>
        </w:trPr>
        <w:tc>
          <w:tcPr>
            <w:tcW w:w="20" w:type="dxa"/>
            <w:vAlign w:val="bottom"/>
            <w:tcBorders>
              <w:bottom w:val="single" w:sz="8" w:color="6690C5"/>
            </w:tcBorders>
          </w:tcPr>
          <w:p>
            <w:pPr>
              <w:spacing w:after="0"/>
              <w:rPr>
                <w:sz w:val="4"/>
                <w:szCs w:val="4"/>
                <w:color w:val="auto"/>
              </w:rPr>
            </w:pPr>
          </w:p>
        </w:tc>
        <w:tc>
          <w:tcPr>
            <w:tcW w:w="720" w:type="dxa"/>
            <w:vAlign w:val="bottom"/>
            <w:tcBorders>
              <w:bottom w:val="single" w:sz="8" w:color="6690C5"/>
            </w:tcBorders>
          </w:tcPr>
          <w:p>
            <w:pPr>
              <w:spacing w:after="0"/>
              <w:rPr>
                <w:sz w:val="4"/>
                <w:szCs w:val="4"/>
                <w:color w:val="auto"/>
              </w:rPr>
            </w:pPr>
          </w:p>
        </w:tc>
        <w:tc>
          <w:tcPr>
            <w:tcW w:w="1400" w:type="dxa"/>
            <w:vAlign w:val="bottom"/>
            <w:tcBorders>
              <w:bottom w:val="single" w:sz="8" w:color="6690C5"/>
            </w:tcBorders>
          </w:tcPr>
          <w:p>
            <w:pPr>
              <w:spacing w:after="0"/>
              <w:rPr>
                <w:sz w:val="4"/>
                <w:szCs w:val="4"/>
                <w:color w:val="auto"/>
              </w:rPr>
            </w:pPr>
          </w:p>
        </w:tc>
        <w:tc>
          <w:tcPr>
            <w:tcW w:w="1400" w:type="dxa"/>
            <w:vAlign w:val="bottom"/>
            <w:tcBorders>
              <w:bottom w:val="single" w:sz="8" w:color="6690C5"/>
            </w:tcBorders>
          </w:tcPr>
          <w:p>
            <w:pPr>
              <w:spacing w:after="0"/>
              <w:rPr>
                <w:sz w:val="4"/>
                <w:szCs w:val="4"/>
                <w:color w:val="auto"/>
              </w:rPr>
            </w:pPr>
          </w:p>
        </w:tc>
        <w:tc>
          <w:tcPr>
            <w:tcW w:w="20" w:type="dxa"/>
            <w:vAlign w:val="bottom"/>
            <w:tcBorders>
              <w:bottom w:val="single" w:sz="8" w:color="6690C5"/>
            </w:tcBorders>
          </w:tcPr>
          <w:p>
            <w:pPr>
              <w:spacing w:after="0"/>
              <w:rPr>
                <w:sz w:val="4"/>
                <w:szCs w:val="4"/>
                <w:color w:val="auto"/>
              </w:rPr>
            </w:pPr>
          </w:p>
        </w:tc>
        <w:tc>
          <w:tcPr>
            <w:tcW w:w="360" w:type="dxa"/>
            <w:vAlign w:val="bottom"/>
            <w:tcBorders>
              <w:bottom w:val="single" w:sz="8" w:color="6690C5"/>
            </w:tcBorders>
          </w:tcPr>
          <w:p>
            <w:pPr>
              <w:spacing w:after="0"/>
              <w:rPr>
                <w:sz w:val="4"/>
                <w:szCs w:val="4"/>
                <w:color w:val="auto"/>
              </w:rPr>
            </w:pPr>
          </w:p>
        </w:tc>
        <w:tc>
          <w:tcPr>
            <w:tcW w:w="100" w:type="dxa"/>
            <w:vAlign w:val="bottom"/>
            <w:tcBorders>
              <w:bottom w:val="single" w:sz="8" w:color="6690C5"/>
            </w:tcBorders>
          </w:tcPr>
          <w:p>
            <w:pPr>
              <w:spacing w:after="0"/>
              <w:rPr>
                <w:sz w:val="4"/>
                <w:szCs w:val="4"/>
                <w:color w:val="auto"/>
              </w:rPr>
            </w:pPr>
          </w:p>
        </w:tc>
        <w:tc>
          <w:tcPr>
            <w:tcW w:w="720" w:type="dxa"/>
            <w:vAlign w:val="bottom"/>
            <w:tcBorders>
              <w:bottom w:val="single" w:sz="8" w:color="6690C5"/>
            </w:tcBorders>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Borders>
              <w:bottom w:val="single" w:sz="8" w:color="6690C5"/>
            </w:tcBorders>
          </w:tcPr>
          <w:p>
            <w:pPr>
              <w:spacing w:after="0"/>
              <w:rPr>
                <w:sz w:val="4"/>
                <w:szCs w:val="4"/>
                <w:color w:val="auto"/>
              </w:rPr>
            </w:pPr>
          </w:p>
        </w:tc>
        <w:tc>
          <w:tcPr>
            <w:tcW w:w="720" w:type="dxa"/>
            <w:vAlign w:val="bottom"/>
            <w:tcBorders>
              <w:bottom w:val="single" w:sz="8" w:color="6690C5"/>
            </w:tcBorders>
          </w:tcPr>
          <w:p>
            <w:pPr>
              <w:spacing w:after="0"/>
              <w:rPr>
                <w:sz w:val="4"/>
                <w:szCs w:val="4"/>
                <w:color w:val="auto"/>
              </w:rPr>
            </w:pPr>
          </w:p>
        </w:tc>
        <w:tc>
          <w:tcPr>
            <w:tcW w:w="1840" w:type="dxa"/>
            <w:vAlign w:val="bottom"/>
            <w:tcBorders>
              <w:bottom w:val="single" w:sz="8" w:color="6690C5"/>
            </w:tcBorders>
          </w:tcPr>
          <w:p>
            <w:pPr>
              <w:spacing w:after="0"/>
              <w:rPr>
                <w:sz w:val="4"/>
                <w:szCs w:val="4"/>
                <w:color w:val="auto"/>
              </w:rPr>
            </w:pPr>
          </w:p>
        </w:tc>
        <w:tc>
          <w:tcPr>
            <w:tcW w:w="960" w:type="dxa"/>
            <w:vAlign w:val="bottom"/>
            <w:tcBorders>
              <w:bottom w:val="single" w:sz="8" w:color="6690C5"/>
            </w:tcBorders>
          </w:tcPr>
          <w:p>
            <w:pPr>
              <w:spacing w:after="0"/>
              <w:rPr>
                <w:sz w:val="4"/>
                <w:szCs w:val="4"/>
                <w:color w:val="auto"/>
              </w:rPr>
            </w:pPr>
          </w:p>
        </w:tc>
        <w:tc>
          <w:tcPr>
            <w:tcW w:w="20" w:type="dxa"/>
            <w:vAlign w:val="bottom"/>
            <w:tcBorders>
              <w:bottom w:val="single" w:sz="8" w:color="6690C5"/>
            </w:tcBorders>
          </w:tcPr>
          <w:p>
            <w:pPr>
              <w:spacing w:after="0"/>
              <w:rPr>
                <w:sz w:val="4"/>
                <w:szCs w:val="4"/>
                <w:color w:val="auto"/>
              </w:rPr>
            </w:pPr>
          </w:p>
        </w:tc>
        <w:tc>
          <w:tcPr>
            <w:tcW w:w="360" w:type="dxa"/>
            <w:vAlign w:val="bottom"/>
            <w:tcBorders>
              <w:bottom w:val="single" w:sz="8" w:color="6690C5"/>
            </w:tcBorders>
          </w:tcPr>
          <w:p>
            <w:pPr>
              <w:spacing w:after="0"/>
              <w:rPr>
                <w:sz w:val="4"/>
                <w:szCs w:val="4"/>
                <w:color w:val="auto"/>
              </w:rPr>
            </w:pPr>
          </w:p>
        </w:tc>
        <w:tc>
          <w:tcPr>
            <w:tcW w:w="80" w:type="dxa"/>
            <w:vAlign w:val="bottom"/>
            <w:tcBorders>
              <w:bottom w:val="single" w:sz="8" w:color="6690C5"/>
            </w:tcBorders>
          </w:tcPr>
          <w:p>
            <w:pPr>
              <w:spacing w:after="0"/>
              <w:rPr>
                <w:sz w:val="4"/>
                <w:szCs w:val="4"/>
                <w:color w:val="auto"/>
              </w:rPr>
            </w:pPr>
          </w:p>
        </w:tc>
        <w:tc>
          <w:tcPr>
            <w:tcW w:w="720" w:type="dxa"/>
            <w:vAlign w:val="bottom"/>
            <w:tcBorders>
              <w:bottom w:val="single" w:sz="8" w:color="6690C5"/>
            </w:tcBorders>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140" w:type="dxa"/>
            <w:vAlign w:val="bottom"/>
            <w:gridSpan w:val="3"/>
          </w:tcPr>
          <w:p>
            <w:pPr>
              <w:spacing w:after="0"/>
              <w:rPr>
                <w:sz w:val="20"/>
                <w:szCs w:val="20"/>
                <w:color w:val="auto"/>
              </w:rPr>
            </w:pPr>
            <w:r>
              <w:rPr>
                <w:rFonts w:ascii="Arial" w:cs="Arial" w:eastAsia="Arial" w:hAnsi="Arial"/>
                <w:sz w:val="12"/>
                <w:szCs w:val="12"/>
                <w:b w:val="1"/>
                <w:bCs w:val="1"/>
                <w:color w:val="003F1A"/>
              </w:rPr>
              <w:t>CASH</w:t>
            </w:r>
          </w:p>
        </w:tc>
        <w:tc>
          <w:tcPr>
            <w:tcW w:w="2600" w:type="dxa"/>
            <w:vAlign w:val="bottom"/>
            <w:gridSpan w:val="5"/>
          </w:tcPr>
          <w:p>
            <w:pPr>
              <w:ind w:left="1400"/>
              <w:spacing w:after="0"/>
              <w:rPr>
                <w:sz w:val="20"/>
                <w:szCs w:val="20"/>
                <w:color w:val="auto"/>
              </w:rPr>
            </w:pPr>
            <w:r>
              <w:rPr>
                <w:rFonts w:ascii="Arial" w:cs="Arial" w:eastAsia="Arial" w:hAnsi="Arial"/>
                <w:sz w:val="16"/>
                <w:szCs w:val="16"/>
                <w:color w:val="003F1A"/>
              </w:rPr>
              <w:t>$171,687</w:t>
            </w:r>
          </w:p>
        </w:tc>
        <w:tc>
          <w:tcPr>
            <w:tcW w:w="580" w:type="dxa"/>
            <w:vAlign w:val="bottom"/>
          </w:tcPr>
          <w:p>
            <w:pPr>
              <w:spacing w:after="0"/>
              <w:rPr>
                <w:sz w:val="24"/>
                <w:szCs w:val="24"/>
                <w:color w:val="auto"/>
              </w:rPr>
            </w:pPr>
          </w:p>
        </w:tc>
        <w:tc>
          <w:tcPr>
            <w:tcW w:w="2580" w:type="dxa"/>
            <w:vAlign w:val="bottom"/>
            <w:gridSpan w:val="3"/>
          </w:tcPr>
          <w:p>
            <w:pPr>
              <w:spacing w:after="0"/>
              <w:rPr>
                <w:sz w:val="20"/>
                <w:szCs w:val="20"/>
                <w:color w:val="auto"/>
              </w:rPr>
            </w:pPr>
            <w:r>
              <w:rPr>
                <w:rFonts w:ascii="Arial" w:cs="Arial" w:eastAsia="Arial" w:hAnsi="Arial"/>
                <w:sz w:val="12"/>
                <w:szCs w:val="12"/>
                <w:b w:val="1"/>
                <w:bCs w:val="1"/>
                <w:color w:val="003F1A"/>
              </w:rPr>
              <w:t>DEBT</w:t>
            </w:r>
          </w:p>
        </w:tc>
        <w:tc>
          <w:tcPr>
            <w:tcW w:w="2140" w:type="dxa"/>
            <w:vAlign w:val="bottom"/>
            <w:gridSpan w:val="5"/>
          </w:tcPr>
          <w:p>
            <w:pPr>
              <w:ind w:left="960"/>
              <w:spacing w:after="0"/>
              <w:rPr>
                <w:sz w:val="20"/>
                <w:szCs w:val="20"/>
                <w:color w:val="auto"/>
              </w:rPr>
            </w:pPr>
            <w:r>
              <w:rPr>
                <w:rFonts w:ascii="Arial" w:cs="Arial" w:eastAsia="Arial" w:hAnsi="Arial"/>
                <w:sz w:val="16"/>
                <w:szCs w:val="16"/>
                <w:color w:val="003F1A"/>
              </w:rPr>
              <w:t>$254,958</w:t>
            </w:r>
          </w:p>
        </w:tc>
        <w:tc>
          <w:tcPr>
            <w:tcW w:w="0" w:type="dxa"/>
            <w:vAlign w:val="bottom"/>
          </w:tcPr>
          <w:p>
            <w:pPr>
              <w:spacing w:after="0"/>
              <w:rPr>
                <w:sz w:val="1"/>
                <w:szCs w:val="1"/>
                <w:color w:val="auto"/>
              </w:rPr>
            </w:pPr>
          </w:p>
        </w:tc>
      </w:tr>
      <w:tr>
        <w:trPr>
          <w:trHeight w:val="82"/>
        </w:trPr>
        <w:tc>
          <w:tcPr>
            <w:tcW w:w="20" w:type="dxa"/>
            <w:vAlign w:val="bottom"/>
            <w:tcBorders>
              <w:bottom w:val="single" w:sz="8" w:color="6690C5"/>
            </w:tcBorders>
          </w:tcPr>
          <w:p>
            <w:pPr>
              <w:spacing w:after="0"/>
              <w:rPr>
                <w:sz w:val="7"/>
                <w:szCs w:val="7"/>
                <w:color w:val="auto"/>
              </w:rPr>
            </w:pPr>
          </w:p>
        </w:tc>
        <w:tc>
          <w:tcPr>
            <w:tcW w:w="720" w:type="dxa"/>
            <w:vAlign w:val="bottom"/>
            <w:tcBorders>
              <w:bottom w:val="single" w:sz="8" w:color="6690C5"/>
            </w:tcBorders>
          </w:tcPr>
          <w:p>
            <w:pPr>
              <w:spacing w:after="0"/>
              <w:rPr>
                <w:sz w:val="7"/>
                <w:szCs w:val="7"/>
                <w:color w:val="auto"/>
              </w:rPr>
            </w:pPr>
          </w:p>
        </w:tc>
        <w:tc>
          <w:tcPr>
            <w:tcW w:w="1400" w:type="dxa"/>
            <w:vAlign w:val="bottom"/>
            <w:tcBorders>
              <w:bottom w:val="single" w:sz="8" w:color="6690C5"/>
            </w:tcBorders>
          </w:tcPr>
          <w:p>
            <w:pPr>
              <w:spacing w:after="0"/>
              <w:rPr>
                <w:sz w:val="7"/>
                <w:szCs w:val="7"/>
                <w:color w:val="auto"/>
              </w:rPr>
            </w:pPr>
          </w:p>
        </w:tc>
        <w:tc>
          <w:tcPr>
            <w:tcW w:w="1400" w:type="dxa"/>
            <w:vAlign w:val="bottom"/>
            <w:tcBorders>
              <w:bottom w:val="single" w:sz="8" w:color="6690C5"/>
            </w:tcBorders>
          </w:tcPr>
          <w:p>
            <w:pPr>
              <w:spacing w:after="0"/>
              <w:rPr>
                <w:sz w:val="7"/>
                <w:szCs w:val="7"/>
                <w:color w:val="auto"/>
              </w:rPr>
            </w:pPr>
          </w:p>
        </w:tc>
        <w:tc>
          <w:tcPr>
            <w:tcW w:w="20" w:type="dxa"/>
            <w:vAlign w:val="bottom"/>
            <w:tcBorders>
              <w:bottom w:val="single" w:sz="8" w:color="6690C5"/>
            </w:tcBorders>
          </w:tcPr>
          <w:p>
            <w:pPr>
              <w:spacing w:after="0"/>
              <w:rPr>
                <w:sz w:val="7"/>
                <w:szCs w:val="7"/>
                <w:color w:val="auto"/>
              </w:rPr>
            </w:pPr>
          </w:p>
        </w:tc>
        <w:tc>
          <w:tcPr>
            <w:tcW w:w="360" w:type="dxa"/>
            <w:vAlign w:val="bottom"/>
            <w:tcBorders>
              <w:bottom w:val="single" w:sz="8" w:color="6690C5"/>
            </w:tcBorders>
          </w:tcPr>
          <w:p>
            <w:pPr>
              <w:spacing w:after="0"/>
              <w:rPr>
                <w:sz w:val="7"/>
                <w:szCs w:val="7"/>
                <w:color w:val="auto"/>
              </w:rPr>
            </w:pPr>
          </w:p>
        </w:tc>
        <w:tc>
          <w:tcPr>
            <w:tcW w:w="100" w:type="dxa"/>
            <w:vAlign w:val="bottom"/>
            <w:tcBorders>
              <w:bottom w:val="single" w:sz="8" w:color="6690C5"/>
            </w:tcBorders>
          </w:tcPr>
          <w:p>
            <w:pPr>
              <w:spacing w:after="0"/>
              <w:rPr>
                <w:sz w:val="7"/>
                <w:szCs w:val="7"/>
                <w:color w:val="auto"/>
              </w:rPr>
            </w:pPr>
          </w:p>
        </w:tc>
        <w:tc>
          <w:tcPr>
            <w:tcW w:w="720" w:type="dxa"/>
            <w:vAlign w:val="bottom"/>
            <w:tcBorders>
              <w:bottom w:val="single" w:sz="8" w:color="6690C5"/>
            </w:tcBorders>
          </w:tcPr>
          <w:p>
            <w:pPr>
              <w:spacing w:after="0"/>
              <w:rPr>
                <w:sz w:val="7"/>
                <w:szCs w:val="7"/>
                <w:color w:val="auto"/>
              </w:rPr>
            </w:pPr>
          </w:p>
        </w:tc>
        <w:tc>
          <w:tcPr>
            <w:tcW w:w="580" w:type="dxa"/>
            <w:vAlign w:val="bottom"/>
          </w:tcPr>
          <w:p>
            <w:pPr>
              <w:spacing w:after="0"/>
              <w:rPr>
                <w:sz w:val="7"/>
                <w:szCs w:val="7"/>
                <w:color w:val="auto"/>
              </w:rPr>
            </w:pPr>
          </w:p>
        </w:tc>
        <w:tc>
          <w:tcPr>
            <w:tcW w:w="2580" w:type="dxa"/>
            <w:vAlign w:val="bottom"/>
            <w:gridSpan w:val="3"/>
            <w:vMerge w:val="restart"/>
          </w:tcPr>
          <w:p>
            <w:pPr>
              <w:spacing w:after="0"/>
              <w:rPr>
                <w:sz w:val="20"/>
                <w:szCs w:val="20"/>
                <w:color w:val="auto"/>
              </w:rPr>
            </w:pPr>
            <w:r>
              <w:rPr>
                <w:rFonts w:ascii="Arial" w:cs="Arial" w:eastAsia="Arial" w:hAnsi="Arial"/>
                <w:sz w:val="10"/>
                <w:szCs w:val="10"/>
                <w:color w:val="003F1A"/>
              </w:rPr>
              <w:t>SYNDICATED CREDIT FACILITY:</w:t>
            </w:r>
          </w:p>
        </w:tc>
        <w:tc>
          <w:tcPr>
            <w:tcW w:w="2140" w:type="dxa"/>
            <w:vAlign w:val="bottom"/>
            <w:gridSpan w:val="5"/>
            <w:vMerge w:val="restart"/>
          </w:tcPr>
          <w:p>
            <w:pPr>
              <w:ind w:left="960"/>
              <w:spacing w:after="0"/>
              <w:rPr>
                <w:sz w:val="20"/>
                <w:szCs w:val="20"/>
                <w:color w:val="auto"/>
              </w:rPr>
            </w:pPr>
            <w:r>
              <w:rPr>
                <w:rFonts w:ascii="Arial" w:cs="Arial" w:eastAsia="Arial" w:hAnsi="Arial"/>
                <w:sz w:val="12"/>
                <w:szCs w:val="12"/>
                <w:color w:val="003F1A"/>
              </w:rPr>
              <w:t>$147,979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580" w:type="dxa"/>
            <w:vAlign w:val="bottom"/>
            <w:gridSpan w:val="3"/>
            <w:vMerge w:val="continue"/>
          </w:tcPr>
          <w:p>
            <w:pPr>
              <w:spacing w:after="0"/>
              <w:rPr>
                <w:sz w:val="13"/>
                <w:szCs w:val="13"/>
                <w:color w:val="auto"/>
              </w:rPr>
            </w:pPr>
          </w:p>
        </w:tc>
        <w:tc>
          <w:tcPr>
            <w:tcW w:w="21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Arial" w:cs="Arial" w:eastAsia="Arial" w:hAnsi="Arial"/>
                <w:sz w:val="10"/>
                <w:szCs w:val="10"/>
                <w:color w:val="003F1A"/>
              </w:rPr>
              <w:t>MORTGAGE NOTES:</w:t>
            </w:r>
          </w:p>
        </w:tc>
        <w:tc>
          <w:tcPr>
            <w:tcW w:w="2140" w:type="dxa"/>
            <w:vAlign w:val="bottom"/>
            <w:gridSpan w:val="5"/>
          </w:tcPr>
          <w:p>
            <w:pPr>
              <w:ind w:left="960"/>
              <w:spacing w:after="0"/>
              <w:rPr>
                <w:sz w:val="20"/>
                <w:szCs w:val="20"/>
                <w:color w:val="auto"/>
              </w:rPr>
            </w:pPr>
            <w:r>
              <w:rPr>
                <w:rFonts w:ascii="Arial" w:cs="Arial" w:eastAsia="Arial" w:hAnsi="Arial"/>
                <w:sz w:val="12"/>
                <w:szCs w:val="12"/>
                <w:color w:val="003F1A"/>
              </w:rPr>
              <w:t>$106,979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Borders>
              <w:bottom w:val="single" w:sz="8" w:color="6690C5"/>
            </w:tcBorders>
          </w:tcPr>
          <w:p>
            <w:pPr>
              <w:spacing w:after="0"/>
              <w:rPr>
                <w:sz w:val="9"/>
                <w:szCs w:val="9"/>
                <w:color w:val="auto"/>
              </w:rPr>
            </w:pPr>
          </w:p>
        </w:tc>
        <w:tc>
          <w:tcPr>
            <w:tcW w:w="720" w:type="dxa"/>
            <w:vAlign w:val="bottom"/>
            <w:tcBorders>
              <w:bottom w:val="single" w:sz="8" w:color="6690C5"/>
            </w:tcBorders>
          </w:tcPr>
          <w:p>
            <w:pPr>
              <w:spacing w:after="0"/>
              <w:rPr>
                <w:sz w:val="9"/>
                <w:szCs w:val="9"/>
                <w:color w:val="auto"/>
              </w:rPr>
            </w:pPr>
          </w:p>
        </w:tc>
        <w:tc>
          <w:tcPr>
            <w:tcW w:w="1840" w:type="dxa"/>
            <w:vAlign w:val="bottom"/>
            <w:tcBorders>
              <w:bottom w:val="single" w:sz="8" w:color="6690C5"/>
            </w:tcBorders>
          </w:tcPr>
          <w:p>
            <w:pPr>
              <w:spacing w:after="0"/>
              <w:rPr>
                <w:sz w:val="9"/>
                <w:szCs w:val="9"/>
                <w:color w:val="auto"/>
              </w:rPr>
            </w:pPr>
          </w:p>
        </w:tc>
        <w:tc>
          <w:tcPr>
            <w:tcW w:w="960" w:type="dxa"/>
            <w:vAlign w:val="bottom"/>
            <w:tcBorders>
              <w:bottom w:val="single" w:sz="8" w:color="6690C5"/>
            </w:tcBorders>
          </w:tcPr>
          <w:p>
            <w:pPr>
              <w:spacing w:after="0"/>
              <w:rPr>
                <w:sz w:val="9"/>
                <w:szCs w:val="9"/>
                <w:color w:val="auto"/>
              </w:rPr>
            </w:pPr>
          </w:p>
        </w:tc>
        <w:tc>
          <w:tcPr>
            <w:tcW w:w="20" w:type="dxa"/>
            <w:vAlign w:val="bottom"/>
            <w:tcBorders>
              <w:bottom w:val="single" w:sz="8" w:color="6690C5"/>
            </w:tcBorders>
          </w:tcPr>
          <w:p>
            <w:pPr>
              <w:spacing w:after="0"/>
              <w:rPr>
                <w:sz w:val="9"/>
                <w:szCs w:val="9"/>
                <w:color w:val="auto"/>
              </w:rPr>
            </w:pPr>
          </w:p>
        </w:tc>
        <w:tc>
          <w:tcPr>
            <w:tcW w:w="360" w:type="dxa"/>
            <w:vAlign w:val="bottom"/>
            <w:tcBorders>
              <w:bottom w:val="single" w:sz="8" w:color="6690C5"/>
            </w:tcBorders>
          </w:tcPr>
          <w:p>
            <w:pPr>
              <w:spacing w:after="0"/>
              <w:rPr>
                <w:sz w:val="9"/>
                <w:szCs w:val="9"/>
                <w:color w:val="auto"/>
              </w:rPr>
            </w:pPr>
          </w:p>
        </w:tc>
        <w:tc>
          <w:tcPr>
            <w:tcW w:w="80" w:type="dxa"/>
            <w:vAlign w:val="bottom"/>
            <w:tcBorders>
              <w:bottom w:val="single" w:sz="8" w:color="6690C5"/>
            </w:tcBorders>
          </w:tcPr>
          <w:p>
            <w:pPr>
              <w:spacing w:after="0"/>
              <w:rPr>
                <w:sz w:val="9"/>
                <w:szCs w:val="9"/>
                <w:color w:val="auto"/>
              </w:rPr>
            </w:pPr>
          </w:p>
        </w:tc>
        <w:tc>
          <w:tcPr>
            <w:tcW w:w="720" w:type="dxa"/>
            <w:vAlign w:val="bottom"/>
            <w:tcBorders>
              <w:bottom w:val="single" w:sz="8" w:color="6690C5"/>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700"/>
        </w:trPr>
        <w:tc>
          <w:tcPr>
            <w:tcW w:w="161" w:type="dxa"/>
            <w:vAlign w:val="bottom"/>
            <w:textDirection w:val="btLr"/>
          </w:tcPr>
          <w:p>
            <w:pPr>
              <w:spacing w:after="0"/>
              <w:rPr>
                <w:sz w:val="20"/>
                <w:szCs w:val="20"/>
                <w:color w:val="auto"/>
              </w:rPr>
            </w:pPr>
            <w:r>
              <w:rPr>
                <w:rFonts w:ascii="Arial" w:cs="Arial" w:eastAsia="Arial" w:hAnsi="Arial"/>
                <w:sz w:val="14"/>
                <w:szCs w:val="14"/>
                <w:color w:val="003F1A"/>
              </w:rPr>
              <w:t>ANNUAL REPORT 2024      00 1</w:t>
            </w:r>
          </w:p>
        </w:tc>
      </w:tr>
    </w:tbl>
    <w:p>
      <w:pPr>
        <w:sectPr>
          <w:pgSz w:w="12240" w:h="15840" w:orient="portrait"/>
          <w:cols w:equalWidth="0" w:num="2">
            <w:col w:w="10080" w:space="239"/>
            <w:col w:w="161"/>
          </w:cols>
          <w:pgMar w:left="1080" w:top="745" w:right="680" w:bottom="203" w:gutter="0" w:footer="0" w:header="0"/>
          <w:type w:val="continuous"/>
        </w:sectPr>
      </w:pPr>
    </w:p>
    <w:bookmarkStart w:id="3" w:name="page4"/>
    <w:bookmarkEnd w:id="3"/>
    <w:p>
      <w:pPr>
        <w:ind w:right="240"/>
        <w:spacing w:after="0" w:line="256" w:lineRule="auto"/>
        <w:rPr>
          <w:sz w:val="20"/>
          <w:szCs w:val="20"/>
          <w:color w:val="auto"/>
        </w:rPr>
      </w:pPr>
      <w:r>
        <w:rPr>
          <w:rFonts w:ascii="Arial" w:cs="Arial" w:eastAsia="Arial" w:hAnsi="Arial"/>
          <w:sz w:val="68"/>
          <w:szCs w:val="68"/>
          <w:b w:val="1"/>
          <w:bCs w:val="1"/>
          <w:color w:val="6690C5"/>
        </w:rPr>
        <w:t xml:space="preserve">To you, </w:t>
      </w:r>
      <w:r>
        <w:rPr>
          <w:rFonts w:ascii="Arial" w:cs="Arial" w:eastAsia="Arial" w:hAnsi="Arial"/>
          <w:sz w:val="68"/>
          <w:szCs w:val="68"/>
          <w:b w:val="1"/>
          <w:bCs w:val="1"/>
          <w:color w:val="003F1A"/>
        </w:rPr>
        <w:t>Green Thumb Shareholders,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OUR FOUNDER</w:t>
      </w:r>
    </w:p>
    <w:p>
      <w:pPr>
        <w:spacing w:after="0" w:line="200" w:lineRule="exact"/>
        <w:rPr>
          <w:sz w:val="20"/>
          <w:szCs w:val="20"/>
          <w:color w:val="auto"/>
        </w:rPr>
      </w:pPr>
    </w:p>
    <w:p>
      <w:pPr>
        <w:spacing w:after="0" w:line="314" w:lineRule="exact"/>
        <w:rPr>
          <w:sz w:val="20"/>
          <w:szCs w:val="20"/>
          <w:color w:val="auto"/>
        </w:rPr>
      </w:pPr>
    </w:p>
    <w:p>
      <w:pPr>
        <w:ind w:left="1440"/>
        <w:spacing w:after="0"/>
        <w:rPr>
          <w:sz w:val="20"/>
          <w:szCs w:val="20"/>
          <w:color w:val="auto"/>
        </w:rPr>
      </w:pPr>
      <w:r>
        <w:rPr>
          <w:rFonts w:ascii="Arial" w:cs="Arial" w:eastAsia="Arial" w:hAnsi="Arial"/>
          <w:sz w:val="28"/>
          <w:szCs w:val="28"/>
          <w:b w:val="1"/>
          <w:bCs w:val="1"/>
          <w:color w:val="003F1A"/>
        </w:rPr>
        <w:t>Ben Kovler</w:t>
      </w:r>
    </w:p>
    <w:p>
      <w:pPr>
        <w:spacing w:after="0" w:line="49"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CHAIRMAN</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CHIEF EXECUTIVE OFFICER</w:t>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2"/>
          <w:szCs w:val="12"/>
          <w:b w:val="1"/>
          <w:bCs w:val="1"/>
          <w:color w:val="auto"/>
        </w:rPr>
        <w:t>FOUNDER</w:t>
      </w:r>
    </w:p>
    <w:p>
      <w:pPr>
        <w:spacing w:after="0" w:line="200" w:lineRule="exact"/>
        <w:rPr>
          <w:sz w:val="20"/>
          <w:szCs w:val="20"/>
          <w:color w:val="auto"/>
        </w:rPr>
      </w:pPr>
    </w:p>
    <w:p>
      <w:pPr>
        <w:spacing w:after="0" w:line="268" w:lineRule="exact"/>
        <w:rPr>
          <w:sz w:val="20"/>
          <w:szCs w:val="20"/>
          <w:color w:val="auto"/>
        </w:rPr>
      </w:pPr>
    </w:p>
    <w:p>
      <w:pPr>
        <w:ind w:right="1540" w:hanging="80"/>
        <w:spacing w:after="0" w:line="275" w:lineRule="auto"/>
        <w:rPr>
          <w:sz w:val="20"/>
          <w:szCs w:val="20"/>
          <w:color w:val="auto"/>
        </w:rPr>
      </w:pPr>
      <w:r>
        <w:rPr>
          <w:rFonts w:ascii="Arial" w:cs="Arial" w:eastAsia="Arial" w:hAnsi="Arial"/>
          <w:sz w:val="20"/>
          <w:szCs w:val="20"/>
          <w:color w:val="auto"/>
        </w:rPr>
        <w:t>“When you’re at the top of your game, change your game.”</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JAMES KERR</w:t>
      </w:r>
    </w:p>
    <w:p>
      <w:pPr>
        <w:spacing w:after="0" w:line="378"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b w:val="1"/>
          <w:bCs w:val="1"/>
          <w:color w:val="auto"/>
        </w:rPr>
        <w:t xml:space="preserve">In 2024, our team achieved results and milestones fit for a tenth-year celebration. </w:t>
      </w:r>
      <w:r>
        <w:rPr>
          <w:rFonts w:ascii="Arial" w:cs="Arial" w:eastAsia="Arial" w:hAnsi="Arial"/>
          <w:sz w:val="16"/>
          <w:szCs w:val="16"/>
          <w:color w:val="auto"/>
        </w:rPr>
        <w:t>We opened our 100</w:t>
      </w:r>
      <w:r>
        <w:rPr>
          <w:rFonts w:ascii="Arial" w:cs="Arial" w:eastAsia="Arial" w:hAnsi="Arial"/>
          <w:sz w:val="9"/>
          <w:szCs w:val="9"/>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RISE Dispensary and had record revenues of $1.1 billion, record Adjusted EBITDA of $371 million at a</w:t>
      </w:r>
    </w:p>
    <w:p>
      <w:pPr>
        <w:spacing w:after="0" w:line="324" w:lineRule="auto"/>
        <w:rPr>
          <w:sz w:val="20"/>
          <w:szCs w:val="20"/>
          <w:color w:val="auto"/>
        </w:rPr>
      </w:pPr>
      <w:r>
        <w:rPr>
          <w:rFonts w:ascii="Arial" w:cs="Arial" w:eastAsia="Arial" w:hAnsi="Arial"/>
          <w:sz w:val="16"/>
          <w:szCs w:val="16"/>
          <w:color w:val="auto"/>
        </w:rPr>
        <w:t>33% margin, and cash flow from operations of $195 million after paying annual taxes of $131 million. It is no secret that we are operating in a competitive environment complicated by regulatory hurdles, persistent pricing pressure, and a punitive tax code. Navigating such a complex landscape requires a high-performing, passionate team, and we are fortunate to have tremendous team members who can tune out the noise and embrace the challenge.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322" w:lineRule="auto"/>
        <w:rPr>
          <w:sz w:val="20"/>
          <w:szCs w:val="20"/>
          <w:color w:val="auto"/>
        </w:rPr>
      </w:pPr>
      <w:r>
        <w:rPr>
          <w:rFonts w:ascii="Arial" w:cs="Arial" w:eastAsia="Arial" w:hAnsi="Arial"/>
          <w:sz w:val="16"/>
          <w:szCs w:val="16"/>
          <w:color w:val="auto"/>
        </w:rPr>
        <w:t xml:space="preserve">Our team has a direct understanding of industry trends and what the American consumer desires because we </w:t>
      </w:r>
      <w:r>
        <w:rPr>
          <w:rFonts w:ascii="Arial" w:cs="Arial" w:eastAsia="Arial" w:hAnsi="Arial"/>
          <w:sz w:val="16"/>
          <w:szCs w:val="16"/>
          <w:i w:val="1"/>
          <w:iCs w:val="1"/>
          <w:color w:val="auto"/>
        </w:rPr>
        <w:t>are</w:t>
      </w:r>
      <w:r>
        <w:rPr>
          <w:rFonts w:ascii="Arial" w:cs="Arial" w:eastAsia="Arial" w:hAnsi="Arial"/>
          <w:sz w:val="16"/>
          <w:szCs w:val="16"/>
          <w:color w:val="auto"/>
        </w:rPr>
        <w:t xml:space="preserve"> the American consumer. With THC demand at an all-time high</w:t>
      </w:r>
      <w:r>
        <w:rPr>
          <w:rFonts w:ascii="Arial" w:cs="Arial" w:eastAsia="Arial" w:hAnsi="Arial"/>
          <w:sz w:val="9"/>
          <w:szCs w:val="9"/>
          <w:color w:val="auto"/>
        </w:rPr>
        <w:t>1</w:t>
      </w:r>
      <w:r>
        <w:rPr>
          <w:rFonts w:ascii="Arial" w:cs="Arial" w:eastAsia="Arial" w:hAnsi="Arial"/>
          <w:sz w:val="16"/>
          <w:szCs w:val="16"/>
          <w:color w:val="auto"/>
        </w:rPr>
        <w:t xml:space="preserve">, our innate understanding of the plant and its relationship with consumers will propel us forward. While </w:t>
      </w:r>
      <w:r>
        <w:rPr>
          <w:rFonts w:ascii="Arial" w:cs="Arial" w:eastAsia="Arial" w:hAnsi="Arial"/>
          <w:sz w:val="16"/>
          <w:szCs w:val="16"/>
          <w:b w:val="1"/>
          <w:bCs w:val="1"/>
          <w:color w:val="auto"/>
        </w:rPr>
        <w:t>our mission to promote</w:t>
      </w:r>
      <w:r>
        <w:rPr>
          <w:rFonts w:ascii="Arial" w:cs="Arial" w:eastAsia="Arial" w:hAnsi="Arial"/>
          <w:sz w:val="16"/>
          <w:szCs w:val="16"/>
          <w:color w:val="auto"/>
        </w:rPr>
        <w:t xml:space="preserve"> </w:t>
      </w:r>
      <w:r>
        <w:rPr>
          <w:rFonts w:ascii="Arial" w:cs="Arial" w:eastAsia="Arial" w:hAnsi="Arial"/>
          <w:sz w:val="16"/>
          <w:szCs w:val="16"/>
          <w:b w:val="1"/>
          <w:bCs w:val="1"/>
          <w:color w:val="auto"/>
        </w:rPr>
        <w:t>well-being through the power of cannabis remains the same, our ability to adapt and change our game is what keeps Green Thumb at the top of our game. After all, it’s still Day 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00"/>
        <w:spacing w:after="0" w:line="313" w:lineRule="auto"/>
        <w:rPr>
          <w:sz w:val="20"/>
          <w:szCs w:val="20"/>
          <w:color w:val="auto"/>
        </w:rPr>
      </w:pPr>
      <w:r>
        <w:rPr>
          <w:rFonts w:ascii="Arial" w:cs="Arial" w:eastAsia="Arial" w:hAnsi="Arial"/>
          <w:sz w:val="16"/>
          <w:szCs w:val="16"/>
          <w:color w:val="auto"/>
        </w:rPr>
        <w:t>Despite the fact that we continue to post strong results, our stock price has not reflected the value we believe we have created. We are confident</w:t>
      </w:r>
    </w:p>
    <w:p>
      <w:pPr>
        <w:ind w:right="440"/>
        <w:spacing w:after="0" w:line="313" w:lineRule="auto"/>
        <w:rPr>
          <w:sz w:val="20"/>
          <w:szCs w:val="20"/>
          <w:color w:val="auto"/>
        </w:rPr>
      </w:pPr>
      <w:r>
        <w:rPr>
          <w:rFonts w:ascii="Arial" w:cs="Arial" w:eastAsia="Arial" w:hAnsi="Arial"/>
          <w:sz w:val="16"/>
          <w:szCs w:val="16"/>
          <w:color w:val="auto"/>
        </w:rPr>
        <w:t>in Benjamin Graham’s wise observation that the stock market is a short-term voting machine and</w:t>
      </w:r>
    </w:p>
    <w:p>
      <w:pPr>
        <w:jc w:val="both"/>
        <w:ind w:right="400"/>
        <w:spacing w:after="0" w:line="380" w:lineRule="auto"/>
        <w:tabs>
          <w:tab w:leader="none" w:pos="15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long-term weighing machine. Right now, we feel like contestants on </w:t>
      </w:r>
      <w:r>
        <w:rPr>
          <w:rFonts w:ascii="Arial" w:cs="Arial" w:eastAsia="Arial" w:hAnsi="Arial"/>
          <w:sz w:val="16"/>
          <w:szCs w:val="16"/>
          <w:i w:val="1"/>
          <w:iCs w:val="1"/>
          <w:color w:val="auto"/>
        </w:rPr>
        <w:t>Survivor</w:t>
      </w:r>
      <w:r>
        <w:rPr>
          <w:rFonts w:ascii="Arial" w:cs="Arial" w:eastAsia="Arial" w:hAnsi="Arial"/>
          <w:sz w:val="16"/>
          <w:szCs w:val="16"/>
          <w:color w:val="auto"/>
        </w:rPr>
        <w:t>—we have been voted</w:t>
      </w:r>
    </w:p>
    <w:p>
      <w:pPr>
        <w:spacing w:after="0" w:line="201" w:lineRule="exact"/>
        <w:rPr>
          <w:sz w:val="20"/>
          <w:szCs w:val="20"/>
          <w:color w:val="auto"/>
        </w:rPr>
      </w:pPr>
    </w:p>
    <w:p>
      <w:pPr>
        <w:spacing w:after="0" w:line="361" w:lineRule="auto"/>
        <w:tabs>
          <w:tab w:leader="none" w:pos="52" w:val="left"/>
        </w:tabs>
        <w:numPr>
          <w:ilvl w:val="0"/>
          <w:numId w:val="2"/>
        </w:numPr>
        <w:rPr>
          <w:rFonts w:ascii="Arial" w:cs="Arial" w:eastAsia="Arial" w:hAnsi="Arial"/>
          <w:sz w:val="6"/>
          <w:szCs w:val="6"/>
          <w:color w:val="354D41"/>
        </w:rPr>
      </w:pPr>
      <w:r>
        <w:rPr>
          <w:rFonts w:ascii="Arial" w:cs="Arial" w:eastAsia="Arial" w:hAnsi="Arial"/>
          <w:sz w:val="10"/>
          <w:szCs w:val="10"/>
          <w:color w:val="354D41"/>
        </w:rPr>
        <w:t>“Cannabis, Hallucinogen Use Among Adults Still at Historic Highs,” University of Michigan News, August 17, 2023.</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140"/>
        <w:spacing w:after="0" w:line="320" w:lineRule="auto"/>
        <w:rPr>
          <w:sz w:val="20"/>
          <w:szCs w:val="20"/>
          <w:color w:val="auto"/>
        </w:rPr>
      </w:pPr>
      <w:r>
        <w:rPr>
          <w:rFonts w:ascii="Arial" w:cs="Arial" w:eastAsia="Arial" w:hAnsi="Arial"/>
          <w:sz w:val="16"/>
          <w:szCs w:val="16"/>
          <w:color w:val="auto"/>
        </w:rPr>
        <w:t>to Exile Island, but we have not been kicked off the show. While we are working hard to create long-term “weight” in the business, it has been a humbling experience to have the stock price return to our original IPO price level, despite growing revenue from $60 million for 2018 to $1.1 billion for 2024, and reversing negative EBITDA to a positive $370 million. So, while it is literally Day 1 with our stock price, I believe the weight of the business we have built, combined with the quality and experience of our team, positions us to win for the long term in a category where we have 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-1980565</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4"/>
          <w:szCs w:val="24"/>
          <w:color w:val="003F1A"/>
        </w:rPr>
        <w:t>Making jazz music</w:t>
      </w:r>
    </w:p>
    <w:p>
      <w:pPr>
        <w:spacing w:after="0" w:line="229" w:lineRule="exact"/>
        <w:rPr>
          <w:sz w:val="20"/>
          <w:szCs w:val="20"/>
          <w:color w:val="auto"/>
        </w:rPr>
      </w:pPr>
    </w:p>
    <w:p>
      <w:pPr>
        <w:ind w:right="200"/>
        <w:spacing w:after="0" w:line="330" w:lineRule="auto"/>
        <w:rPr>
          <w:sz w:val="20"/>
          <w:szCs w:val="20"/>
          <w:color w:val="auto"/>
        </w:rPr>
      </w:pPr>
      <w:r>
        <w:rPr>
          <w:rFonts w:ascii="Arial" w:cs="Arial" w:eastAsia="Arial" w:hAnsi="Arial"/>
          <w:sz w:val="16"/>
          <w:szCs w:val="16"/>
          <w:b w:val="1"/>
          <w:bCs w:val="1"/>
          <w:color w:val="auto"/>
        </w:rPr>
        <w:t xml:space="preserve">As Ray Dalio noted, “great collaboration feels like playing jazz.” </w:t>
      </w:r>
      <w:r>
        <w:rPr>
          <w:rFonts w:ascii="Arial" w:cs="Arial" w:eastAsia="Arial" w:hAnsi="Arial"/>
          <w:sz w:val="16"/>
          <w:szCs w:val="16"/>
          <w:color w:val="auto"/>
        </w:rPr>
        <w:t>This is especially true in today’s</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 environment when you need harmony and adaptability to thrive. Hats off to our jazz ensemble for exceeding one billion dollars in annual revenue for the third straight year. In addition,</w:t>
      </w:r>
    </w:p>
    <w:p>
      <w:pPr>
        <w:spacing w:after="0" w:line="175"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we were able to deliver Adjusted EBITDA margins over 30% despite ongoing price compression. The persistent challenge around pricing pressure is important to address. To put it into perspective, if pricing is down 20%, the team must deliver 25% more units to break even. This math is tremendously powerful. Our growth, even with pricing pressure, shows what our hard-working team focused on execution and operational excellence can accomplish.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Our strong operating results have given us a distinct competitive advantage in an industry burdened by restricted access to capital and the inflated cost of that capital. Our ability to generate cash flow and effectively manage our balance sheet allowed us to achieve an industry-first $150 million syndicated bank loan priced at SOFR +500 basis points. We retired our prior $225 million in senior secured debt, effectively paying down $75 million in debt. In addition, we took advantage of repurchasing approximately 4 million shares at $10.75 for $43 million in 2024. Given that our shares are now trading around half that price, we believe our stock is fundamentally undervalued compared to the long-term “weight” we have built and will continue to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346" w:lineRule="auto"/>
        <w:rPr>
          <w:sz w:val="20"/>
          <w:szCs w:val="20"/>
          <w:color w:val="auto"/>
        </w:rPr>
      </w:pPr>
      <w:r>
        <w:rPr>
          <w:rFonts w:ascii="Arial" w:cs="Arial" w:eastAsia="Arial" w:hAnsi="Arial"/>
          <w:sz w:val="16"/>
          <w:szCs w:val="16"/>
          <w:color w:val="auto"/>
        </w:rPr>
        <w:t>Even with these challenges, we had a lot to celebrate in 2024. We hit the milestone opening of our 100th store and added a total of ten new RISE Dispensaries.</w:t>
      </w:r>
    </w:p>
    <w:p>
      <w:pPr>
        <w:sectPr>
          <w:pgSz w:w="12240" w:h="15840" w:orient="portrait"/>
          <w:cols w:equalWidth="0" w:num="2">
            <w:col w:w="4820" w:space="560"/>
            <w:col w:w="4820"/>
          </w:cols>
          <w:pgMar w:left="900" w:top="745" w:right="1140" w:bottom="38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381" w:lineRule="auto"/>
        <w:rPr>
          <w:sz w:val="20"/>
          <w:szCs w:val="20"/>
          <w:color w:val="auto"/>
        </w:rPr>
      </w:pPr>
      <w:r>
        <w:rPr>
          <w:rFonts w:ascii="Arial" w:cs="Arial" w:eastAsia="Arial" w:hAnsi="Arial"/>
          <w:sz w:val="12"/>
          <w:szCs w:val="12"/>
          <w:color w:val="274134"/>
          <w:highlight w:val="lightGray"/>
        </w:rPr>
        <w:t xml:space="preserve">On August 6, 2024, RISE Dispensaries launched adult-use sales at all five </w:t>
      </w:r>
      <w:r>
        <w:rPr>
          <w:rFonts w:ascii="Arial" w:cs="Arial" w:eastAsia="Arial" w:hAnsi="Arial"/>
          <w:sz w:val="12"/>
          <w:szCs w:val="12"/>
          <w:color w:val="274134"/>
        </w:rPr>
        <w:t>RISE Ohio locations.</w:t>
      </w:r>
    </w:p>
    <w:p>
      <w:pPr>
        <w:spacing w:after="0" w:line="80" w:lineRule="exact"/>
        <w:rPr>
          <w:sz w:val="20"/>
          <w:szCs w:val="20"/>
          <w:color w:val="auto"/>
        </w:rPr>
      </w:pPr>
    </w:p>
    <w:p>
      <w:pPr>
        <w:spacing w:after="0" w:line="319" w:lineRule="auto"/>
        <w:rPr>
          <w:sz w:val="20"/>
          <w:szCs w:val="20"/>
          <w:color w:val="auto"/>
        </w:rPr>
      </w:pPr>
      <w:r>
        <w:rPr>
          <w:rFonts w:ascii="Arial" w:cs="Arial" w:eastAsia="Arial" w:hAnsi="Arial"/>
          <w:sz w:val="16"/>
          <w:szCs w:val="16"/>
          <w:color w:val="auto"/>
        </w:rPr>
        <w:t xml:space="preserve">At year end, we had 101 RISE Dispensary locations and 20 production facilities across 14 states. In August, we successfully launched adult-use sales at all five of our Ohio RISE Dispensaries. Leveraging our experience from prior successful adult-use launches, RYTHM, &amp;Shine, and incredibles quickly became CPG market leaders in Ohio, according to BDSA. The launch was an inspiring example of cross-functional collaboration between our retail, production, and corporate teams that spanned countless hours and many months. </w:t>
      </w:r>
      <w:r>
        <w:rPr>
          <w:rFonts w:ascii="Arial" w:cs="Arial" w:eastAsia="Arial" w:hAnsi="Arial"/>
          <w:sz w:val="16"/>
          <w:szCs w:val="16"/>
          <w:b w:val="1"/>
          <w:bCs w:val="1"/>
          <w:color w:val="auto"/>
        </w:rPr>
        <w:t>Our</w:t>
      </w:r>
      <w:r>
        <w:rPr>
          <w:rFonts w:ascii="Arial" w:cs="Arial" w:eastAsia="Arial" w:hAnsi="Arial"/>
          <w:sz w:val="16"/>
          <w:szCs w:val="16"/>
          <w:color w:val="auto"/>
        </w:rPr>
        <w:t xml:space="preserve"> </w:t>
      </w:r>
      <w:r>
        <w:rPr>
          <w:rFonts w:ascii="Arial" w:cs="Arial" w:eastAsia="Arial" w:hAnsi="Arial"/>
          <w:sz w:val="16"/>
          <w:szCs w:val="16"/>
          <w:b w:val="1"/>
          <w:bCs w:val="1"/>
          <w:color w:val="auto"/>
        </w:rPr>
        <w:t>team certainly is one of the best jazz bands around, and the launch of Ohio adult-use sales was one of our headlining performances.</w:t>
      </w:r>
    </w:p>
    <w:p>
      <w:pPr>
        <w:spacing w:after="0" w:line="200" w:lineRule="exact"/>
        <w:rPr>
          <w:sz w:val="20"/>
          <w:szCs w:val="20"/>
          <w:color w:val="auto"/>
        </w:rPr>
      </w:pPr>
    </w:p>
    <w:p>
      <w:pPr>
        <w:spacing w:after="0" w:line="365" w:lineRule="exact"/>
        <w:rPr>
          <w:sz w:val="20"/>
          <w:szCs w:val="20"/>
          <w:color w:val="auto"/>
        </w:rPr>
      </w:pPr>
    </w:p>
    <w:p>
      <w:pPr>
        <w:ind w:right="80"/>
        <w:spacing w:after="0" w:line="312" w:lineRule="auto"/>
        <w:rPr>
          <w:sz w:val="20"/>
          <w:szCs w:val="20"/>
          <w:color w:val="auto"/>
        </w:rPr>
      </w:pPr>
      <w:r>
        <w:rPr>
          <w:rFonts w:ascii="Arial" w:cs="Arial" w:eastAsia="Arial" w:hAnsi="Arial"/>
          <w:sz w:val="24"/>
          <w:szCs w:val="24"/>
          <w:color w:val="003F1A"/>
        </w:rPr>
        <w:t>Introducing our brands to new faces in new places</w:t>
      </w:r>
    </w:p>
    <w:p>
      <w:pPr>
        <w:spacing w:after="0" w:line="67" w:lineRule="exact"/>
        <w:rPr>
          <w:sz w:val="20"/>
          <w:szCs w:val="20"/>
          <w:color w:val="auto"/>
        </w:rPr>
      </w:pPr>
    </w:p>
    <w:p>
      <w:pPr>
        <w:ind w:right="160"/>
        <w:spacing w:after="0" w:line="326" w:lineRule="auto"/>
        <w:rPr>
          <w:sz w:val="20"/>
          <w:szCs w:val="20"/>
          <w:color w:val="auto"/>
        </w:rPr>
      </w:pPr>
      <w:r>
        <w:rPr>
          <w:rFonts w:ascii="Arial" w:cs="Arial" w:eastAsia="Arial" w:hAnsi="Arial"/>
          <w:sz w:val="16"/>
          <w:szCs w:val="16"/>
          <w:color w:val="auto"/>
        </w:rPr>
        <w:t>As consumers ourselves, we are always closely watching trends to stay informed and ahead. In recent years, the decline in alcohol consumption has been clear, especially with younger generations. According to a 2025 report from Bloomberg Intelligence, young adults in the U.S. are drinking more moderately than prior generations. They</w:t>
      </w:r>
    </w:p>
    <w:p>
      <w:pPr>
        <w:spacing w:after="0" w:line="181"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are not blindly following the Drug Enforcement Administration and their misleading narratives about cannabis as a gateway drug. They are saying ‘no’ to hangovers and ‘yes’ to well-being and using common</w:t>
      </w:r>
    </w:p>
    <w:p>
      <w:pPr>
        <w:spacing w:after="0" w:line="20" w:lineRule="exact"/>
        <w:rPr>
          <w:sz w:val="20"/>
          <w:szCs w:val="20"/>
          <w:color w:val="auto"/>
        </w:rPr>
      </w:pPr>
      <w:r>
        <w:rPr>
          <w:sz w:val="20"/>
          <w:szCs w:val="20"/>
          <w:color w:val="auto"/>
        </w:rPr>
        <w:br w:type="column"/>
      </w:r>
    </w:p>
    <w:p>
      <w:pPr>
        <w:jc w:val="both"/>
        <w:ind w:right="140"/>
        <w:spacing w:after="0" w:line="382" w:lineRule="auto"/>
        <w:rPr>
          <w:sz w:val="20"/>
          <w:szCs w:val="20"/>
          <w:color w:val="auto"/>
        </w:rPr>
      </w:pPr>
      <w:r>
        <w:rPr>
          <w:rFonts w:ascii="Arial" w:cs="Arial" w:eastAsia="Arial" w:hAnsi="Arial"/>
          <w:sz w:val="16"/>
          <w:szCs w:val="16"/>
          <w:color w:val="auto"/>
        </w:rPr>
        <w:t xml:space="preserve">sense to make smart choices. More tangibly, these </w:t>
      </w:r>
      <w:r>
        <w:rPr>
          <w:rFonts w:ascii="Arial" w:cs="Arial" w:eastAsia="Arial" w:hAnsi="Arial"/>
          <w:sz w:val="16"/>
          <w:szCs w:val="16"/>
          <w:b w:val="1"/>
          <w:bCs w:val="1"/>
          <w:color w:val="auto"/>
        </w:rPr>
        <w:t>consumers are seeking alternatives to alcohol and turning to cannabis</w:t>
      </w:r>
      <w:r>
        <w:rPr>
          <w:rFonts w:ascii="Arial" w:cs="Arial" w:eastAsia="Arial" w:hAnsi="Arial"/>
          <w:sz w:val="9"/>
          <w:szCs w:val="9"/>
          <w:b w:val="1"/>
          <w:bCs w:val="1"/>
          <w:color w:val="auto"/>
        </w:rPr>
        <w:t>2</w:t>
      </w:r>
      <w:r>
        <w:rPr>
          <w:rFonts w:ascii="Arial" w:cs="Arial" w:eastAsia="Arial" w:hAnsi="Arial"/>
          <w:sz w:val="16"/>
          <w:szCs w:val="16"/>
          <w:b w:val="1"/>
          <w:bCs w:val="1"/>
          <w:color w:val="auto"/>
        </w:rPr>
        <w:t>.</w:t>
      </w:r>
    </w:p>
    <w:p>
      <w:pPr>
        <w:spacing w:after="0" w:line="314"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Recognizing this consumer shift, along with capital market anomalies, we made a significant investment in Agrify—a NASDAQ-listed company and leading provider of branded innovative solutions for the cannabis and hemp industries. Shortly after our investment, Agrify acquired Señorita—the award-winning, best-tasting, hemp-derived THC beverage on the market. We believe that tens of millions of Americans will turn to THC-infused drinks in the coming years, so adding Señorita to our product portfolio via Agrify is an exciting next step in the rapidly expanding THC beverage space.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color w:val="auto"/>
        </w:rPr>
        <w:t>We see our brands as more than high-quality cannabis products—they are ideals that guide us. In a way, each brand represents a lifestyle, and in 2024 we made impressive strides demonstrating what it means to live our brands. Through groundbreaking partnerships and brand activations, we provided consumers with memorable experiences like our second annual Miracle in Mundelein music festival. The two-day event brought music and cannabis enthusiasts together for an elevated concert experience showcasing our brands alongside performances by acclaimed musical acts like Wiz Khalifa, Rebelution, and Slightly Stoopid. In October, we launched a multi-brand partnership with the influential media company, Barstool Sports, to spotlight our brands to its huge following through various established media channels. With these moves, we are embedding our brands further into mainstream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40"/>
        <w:spacing w:after="0" w:line="319" w:lineRule="auto"/>
        <w:rPr>
          <w:sz w:val="20"/>
          <w:szCs w:val="20"/>
          <w:color w:val="auto"/>
        </w:rPr>
      </w:pPr>
      <w:r>
        <w:rPr>
          <w:rFonts w:ascii="Arial" w:cs="Arial" w:eastAsia="Arial" w:hAnsi="Arial"/>
          <w:sz w:val="16"/>
          <w:szCs w:val="16"/>
          <w:color w:val="auto"/>
        </w:rPr>
        <w:t xml:space="preserve">Throughout 2024, our team was also working diligently behind the scenes to set the stage for the 2025 launch of a first-of-its-kind partnership with Chicago’s renowned music venue, The Salt Shed. With this partnership, we are once again elevating the concert-going experience while showcasing the RYTHM lifestyle annually to over 600,000 people across 150 music shows. We also opened our new on-site retail concept </w:t>
      </w:r>
      <w:r>
        <w:rPr>
          <w:rFonts w:ascii="Arial" w:cs="Arial" w:eastAsia="Arial" w:hAnsi="Arial"/>
          <w:sz w:val="16"/>
          <w:szCs w:val="16"/>
          <w:i w:val="1"/>
          <w:iCs w:val="1"/>
          <w:color w:val="auto"/>
        </w:rPr>
        <w:t>RISE at Salt Shed</w:t>
      </w:r>
      <w:r>
        <w:rPr>
          <w:rFonts w:ascii="Arial" w:cs="Arial" w:eastAsia="Arial" w:hAnsi="Arial"/>
          <w:sz w:val="16"/>
          <w:szCs w:val="16"/>
          <w:color w:val="auto"/>
        </w:rPr>
        <w:t>. Additionally, Señorita is now the exclusive THC beverage available at all venue bars, allowing concertgoers to experience the powerful link between cannabis and music in a way that is long overdue.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4"/>
          <w:szCs w:val="24"/>
          <w:color w:val="003F1A"/>
        </w:rPr>
        <w:t>Living a culture of gratitude</w:t>
      </w:r>
    </w:p>
    <w:p>
      <w:pPr>
        <w:spacing w:after="0" w:line="229"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 xml:space="preserve">Since Green Thumb’s founding, our team has been focused on ‘Growing for Good’—not just in </w:t>
      </w:r>
      <w:r>
        <w:rPr>
          <w:rFonts w:ascii="Arial" w:cs="Arial" w:eastAsia="Arial" w:hAnsi="Arial"/>
          <w:sz w:val="16"/>
          <w:szCs w:val="16"/>
          <w:b w:val="1"/>
          <w:bCs w:val="1"/>
          <w:color w:val="auto"/>
        </w:rPr>
        <w:t>growing</w:t>
      </w:r>
      <w:r>
        <w:rPr>
          <w:rFonts w:ascii="Arial" w:cs="Arial" w:eastAsia="Arial" w:hAnsi="Arial"/>
          <w:sz w:val="16"/>
          <w:szCs w:val="16"/>
          <w:color w:val="auto"/>
        </w:rPr>
        <w:t xml:space="preserve"> </w:t>
      </w:r>
      <w:r>
        <w:rPr>
          <w:rFonts w:ascii="Arial" w:cs="Arial" w:eastAsia="Arial" w:hAnsi="Arial"/>
          <w:sz w:val="16"/>
          <w:szCs w:val="16"/>
          <w:b w:val="1"/>
          <w:bCs w:val="1"/>
          <w:color w:val="auto"/>
        </w:rPr>
        <w:t>award-winning weed, but also through our ‘Growing for Good’ social impact program, which is centered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40"/>
        </w:trPr>
        <w:tc>
          <w:tcPr>
            <w:tcW w:w="161" w:type="dxa"/>
            <w:vAlign w:val="bottom"/>
            <w:textDirection w:val="btLr"/>
          </w:tcPr>
          <w:p>
            <w:pPr>
              <w:spacing w:after="0"/>
              <w:rPr>
                <w:sz w:val="20"/>
                <w:szCs w:val="20"/>
                <w:color w:val="auto"/>
              </w:rPr>
            </w:pPr>
            <w:r>
              <w:rPr>
                <w:rFonts w:ascii="Arial" w:cs="Arial" w:eastAsia="Arial" w:hAnsi="Arial"/>
                <w:sz w:val="14"/>
                <w:szCs w:val="14"/>
                <w:color w:val="003F1A"/>
              </w:rPr>
              <w:t>ANNUAL REPORT 2024      003</w:t>
            </w:r>
          </w:p>
        </w:tc>
      </w:tr>
    </w:tbl>
    <w:p>
      <w:pPr>
        <w:spacing w:after="0" w:line="558" w:lineRule="exact"/>
        <w:rPr>
          <w:sz w:val="20"/>
          <w:szCs w:val="20"/>
          <w:color w:val="auto"/>
        </w:rPr>
      </w:pPr>
    </w:p>
    <w:p>
      <w:pPr>
        <w:sectPr>
          <w:pgSz w:w="12240" w:h="15840" w:orient="portrait"/>
          <w:cols w:equalWidth="0" w:num="3">
            <w:col w:w="4820" w:space="480"/>
            <w:col w:w="4720" w:space="379"/>
            <w:col w:w="161"/>
          </w:cols>
          <w:pgMar w:left="1180" w:top="846" w:right="500" w:bottom="380" w:gutter="0" w:footer="0" w:header="0"/>
        </w:sectPr>
      </w:pPr>
    </w:p>
    <w:p>
      <w:pPr>
        <w:jc w:val="both"/>
        <w:ind w:right="40"/>
        <w:spacing w:after="0" w:line="383" w:lineRule="auto"/>
        <w:rPr>
          <w:sz w:val="20"/>
          <w:szCs w:val="20"/>
          <w:color w:val="auto"/>
        </w:rPr>
      </w:pPr>
      <w:r>
        <w:rPr>
          <w:rFonts w:ascii="Arial" w:cs="Arial" w:eastAsia="Arial" w:hAnsi="Arial"/>
          <w:sz w:val="12"/>
          <w:szCs w:val="12"/>
          <w:color w:val="274134"/>
          <w:highlight w:val="lightGray"/>
        </w:rPr>
        <w:t xml:space="preserve">Señorita is a higher form of margarita. The fresh, low-calorie hemp-de rived THC (HD9) beverage offers all the fun with none of the hangover. </w:t>
      </w:r>
      <w:r>
        <w:rPr>
          <w:rFonts w:ascii="Arial" w:cs="Arial" w:eastAsia="Arial" w:hAnsi="Arial"/>
          <w:sz w:val="12"/>
          <w:szCs w:val="12"/>
          <w:color w:val="274134"/>
        </w:rPr>
        <w:t>Your Cabana Awaits.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both"/>
        <w:ind w:right="600"/>
        <w:spacing w:after="0" w:line="361" w:lineRule="auto"/>
        <w:tabs>
          <w:tab w:leader="none" w:pos="65" w:val="left"/>
        </w:tabs>
        <w:numPr>
          <w:ilvl w:val="0"/>
          <w:numId w:val="3"/>
        </w:numPr>
        <w:rPr>
          <w:rFonts w:ascii="Arial" w:cs="Arial" w:eastAsia="Arial" w:hAnsi="Arial"/>
          <w:sz w:val="6"/>
          <w:szCs w:val="6"/>
          <w:color w:val="354D41"/>
        </w:rPr>
      </w:pPr>
      <w:r>
        <w:rPr>
          <w:rFonts w:ascii="Arial" w:cs="Arial" w:eastAsia="Arial" w:hAnsi="Arial"/>
          <w:sz w:val="10"/>
          <w:szCs w:val="10"/>
          <w:color w:val="354D41"/>
        </w:rPr>
        <w:t>Kenneth Shea and Amir Islam, US Alcoholic Beverages Disrupted by Changing Tastes, Attitudes, Bloomberg Intelligence, January 14, 2025. Accessed via Bloomberg Terminal.</w:t>
      </w:r>
    </w:p>
    <w:p>
      <w:pPr>
        <w:sectPr>
          <w:pgSz w:w="12240" w:h="15840" w:orient="portrait"/>
          <w:cols w:equalWidth="0" w:num="2">
            <w:col w:w="4580" w:space="720"/>
            <w:col w:w="5260"/>
          </w:cols>
          <w:pgMar w:left="1180" w:top="846" w:right="500" w:bottom="380" w:gutter="0" w:footer="0" w:header="0"/>
          <w:type w:val="continuous"/>
        </w:sectPr>
      </w:pPr>
    </w:p>
    <w:bookmarkStart w:id="5" w:name="page6"/>
    <w:bookmarkEnd w:id="5"/>
    <w:p>
      <w:pPr>
        <w:ind w:right="200"/>
        <w:spacing w:after="0" w:line="313" w:lineRule="auto"/>
        <w:rPr>
          <w:sz w:val="20"/>
          <w:szCs w:val="20"/>
          <w:color w:val="auto"/>
        </w:rPr>
      </w:pPr>
      <w:r>
        <w:rPr>
          <w:rFonts w:ascii="Arial" w:cs="Arial" w:eastAsia="Arial" w:hAnsi="Arial"/>
          <w:sz w:val="16"/>
          <w:szCs w:val="16"/>
          <w:b w:val="1"/>
          <w:bCs w:val="1"/>
          <w:color w:val="auto"/>
        </w:rPr>
        <w:t xml:space="preserve">on a shared belief in the importance of giving back to the communities we serve. </w:t>
      </w:r>
      <w:r>
        <w:rPr>
          <w:rFonts w:ascii="Arial" w:cs="Arial" w:eastAsia="Arial" w:hAnsi="Arial"/>
          <w:sz w:val="16"/>
          <w:szCs w:val="16"/>
          <w:color w:val="auto"/>
        </w:rPr>
        <w:t>Our values dictate</w:t>
      </w:r>
    </w:p>
    <w:p>
      <w:pPr>
        <w:ind w:right="200"/>
        <w:spacing w:after="0" w:line="382" w:lineRule="auto"/>
        <w:rPr>
          <w:sz w:val="20"/>
          <w:szCs w:val="20"/>
          <w:color w:val="auto"/>
        </w:rPr>
      </w:pPr>
      <w:r>
        <w:rPr>
          <w:rFonts w:ascii="Arial" w:cs="Arial" w:eastAsia="Arial" w:hAnsi="Arial"/>
          <w:sz w:val="16"/>
          <w:szCs w:val="16"/>
          <w:color w:val="auto"/>
        </w:rPr>
        <w:t>a culture of inclusion and respect, inspiring us to collectively move our company forward while giving back with gratitude.</w:t>
      </w:r>
    </w:p>
    <w:p>
      <w:pPr>
        <w:spacing w:after="0" w:line="314" w:lineRule="exact"/>
        <w:rPr>
          <w:sz w:val="20"/>
          <w:szCs w:val="20"/>
          <w:color w:val="auto"/>
        </w:rPr>
      </w:pPr>
    </w:p>
    <w:p>
      <w:pPr>
        <w:spacing w:after="0" w:line="322" w:lineRule="auto"/>
        <w:rPr>
          <w:sz w:val="20"/>
          <w:szCs w:val="20"/>
          <w:color w:val="auto"/>
        </w:rPr>
      </w:pPr>
      <w:r>
        <w:rPr>
          <w:rFonts w:ascii="Arial" w:cs="Arial" w:eastAsia="Arial" w:hAnsi="Arial"/>
          <w:sz w:val="16"/>
          <w:szCs w:val="16"/>
          <w:color w:val="auto"/>
        </w:rPr>
        <w:t xml:space="preserve">Ray Dalio also taught us to “make your passion and your work one and the same and do it with people you want to be with.” I can comfortably say this is true for myself and our team. The passion at Green Thumb is immense, and as a result, we are innately driven. Our passion fuels us to challenge one another and push the envelope. </w:t>
      </w:r>
      <w:r>
        <w:rPr>
          <w:rFonts w:ascii="Arial" w:cs="Arial" w:eastAsia="Arial" w:hAnsi="Arial"/>
          <w:sz w:val="16"/>
          <w:szCs w:val="16"/>
          <w:b w:val="1"/>
          <w:bCs w:val="1"/>
          <w:color w:val="auto"/>
        </w:rPr>
        <w:t>We win because of the team, and we</w:t>
      </w:r>
      <w:r>
        <w:rPr>
          <w:rFonts w:ascii="Arial" w:cs="Arial" w:eastAsia="Arial" w:hAnsi="Arial"/>
          <w:sz w:val="16"/>
          <w:szCs w:val="16"/>
          <w:color w:val="auto"/>
        </w:rPr>
        <w:t xml:space="preserve"> </w:t>
      </w:r>
      <w:r>
        <w:rPr>
          <w:rFonts w:ascii="Arial" w:cs="Arial" w:eastAsia="Arial" w:hAnsi="Arial"/>
          <w:sz w:val="16"/>
          <w:szCs w:val="16"/>
          <w:b w:val="1"/>
          <w:bCs w:val="1"/>
          <w:color w:val="auto"/>
        </w:rPr>
        <w:t>have the best one in the business. Thank You, team, for taking this journey together.</w:t>
      </w:r>
    </w:p>
    <w:p>
      <w:pPr>
        <w:spacing w:after="0" w:line="365" w:lineRule="exact"/>
        <w:rPr>
          <w:sz w:val="20"/>
          <w:szCs w:val="20"/>
          <w:color w:val="auto"/>
        </w:rPr>
      </w:pPr>
    </w:p>
    <w:p>
      <w:pPr>
        <w:ind w:right="60"/>
        <w:spacing w:after="0" w:line="320" w:lineRule="auto"/>
        <w:rPr>
          <w:sz w:val="20"/>
          <w:szCs w:val="20"/>
          <w:color w:val="auto"/>
        </w:rPr>
      </w:pPr>
      <w:r>
        <w:rPr>
          <w:rFonts w:ascii="Arial" w:cs="Arial" w:eastAsia="Arial" w:hAnsi="Arial"/>
          <w:sz w:val="16"/>
          <w:szCs w:val="16"/>
          <w:color w:val="auto"/>
        </w:rPr>
        <w:t>This culture at Green Thumb would not be possible without our team members who foster it every day at all levels of the organization, including our senior leadership. Our leaders have worked together for many years and serve as strong examples of living our values. Their tenure has also provided Green Thumb with a consistency that directly benefits the business and its longevity. Our leaders have charted a successful course, and I am immensely confident in their ability to continue identifying the best ways to create enduring shareholder value. On behalf of all the shareholders, Thank You, Green Thumb leaders!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4"/>
          <w:szCs w:val="24"/>
          <w:color w:val="003F1A"/>
        </w:rPr>
        <w:t>Giving Americans what they want</w:t>
      </w:r>
    </w:p>
    <w:p>
      <w:pPr>
        <w:spacing w:after="0" w:line="229"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While we work hard every day on what we can control, the cannabis industry is full of factors beyond our control. There are few U.S. industries more regulated than cannabis, and I honestly cannot identify one industry that is taxed by the federal government</w:t>
      </w:r>
    </w:p>
    <w:p>
      <w:pPr>
        <w:spacing w:after="0" w:line="170" w:lineRule="exact"/>
        <w:rPr>
          <w:sz w:val="20"/>
          <w:szCs w:val="20"/>
          <w:color w:val="auto"/>
        </w:rPr>
      </w:pPr>
    </w:p>
    <w:p>
      <w:pPr>
        <w:ind w:right="100"/>
        <w:spacing w:after="0" w:line="320" w:lineRule="auto"/>
        <w:rPr>
          <w:sz w:val="20"/>
          <w:szCs w:val="20"/>
          <w:color w:val="auto"/>
        </w:rPr>
      </w:pPr>
      <w:r>
        <w:rPr>
          <w:rFonts w:ascii="Arial" w:cs="Arial" w:eastAsia="Arial" w:hAnsi="Arial"/>
          <w:sz w:val="16"/>
          <w:szCs w:val="16"/>
          <w:color w:val="auto"/>
        </w:rPr>
        <w:t>as punitively. The situation defies common sense and logic—millions of Americans rely upon and enjoy cannabis products, hundreds of thousands of Americans are employed in the industry, and billions of tax dollars are being generated. Not to mention, close to 90% of American adults believe cannabis should be legal for medical and recreational use</w:t>
      </w:r>
      <w:r>
        <w:rPr>
          <w:rFonts w:ascii="Arial" w:cs="Arial" w:eastAsia="Arial" w:hAnsi="Arial"/>
          <w:sz w:val="9"/>
          <w:szCs w:val="9"/>
          <w:color w:val="auto"/>
        </w:rPr>
        <w:t>3</w:t>
      </w:r>
      <w:r>
        <w:rPr>
          <w:rFonts w:ascii="Arial" w:cs="Arial" w:eastAsia="Arial" w:hAnsi="Arial"/>
          <w:sz w:val="16"/>
          <w:szCs w:val="16"/>
          <w:color w:val="auto"/>
        </w:rPr>
        <w:t>, and only three states lack programs for cannabinoid use in any form. The Green Wave, with all its benefits of well-being, has washed across the country, but stopped at The White House and The Capitol Building in Washington D.C.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color w:val="auto"/>
        </w:rPr>
        <w:t>I am not sure if it is corruption, stupidity, or ego, but something is preventing progress, and after all the false starts and delays, we are not relying on the current administration for any relief. Personally, I have given up on the folks in Washington D.C. doing the right thing. For the sake of our stakeholders, and what we believe creates a better future for America, we still dream of an enlightened Congress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10"/>
        <w:spacing w:after="0" w:line="347" w:lineRule="auto"/>
        <w:rPr>
          <w:sz w:val="20"/>
          <w:szCs w:val="20"/>
          <w:color w:val="auto"/>
        </w:rPr>
      </w:pPr>
      <w:r>
        <w:rPr>
          <w:rFonts w:ascii="Arial" w:cs="Arial" w:eastAsia="Arial" w:hAnsi="Arial"/>
          <w:sz w:val="12"/>
          <w:szCs w:val="12"/>
          <w:color w:val="274134"/>
          <w:highlight w:val="lightGray"/>
        </w:rPr>
        <w:t>RISE locations across the country give back to the communities in which we serve. RISE Pasadena partners with Homes 4 Families, a local organiza</w:t>
      </w:r>
      <w:r>
        <w:rPr>
          <w:rFonts w:ascii="Arial" w:cs="Arial" w:eastAsia="Arial" w:hAnsi="Arial"/>
          <w:sz w:val="12"/>
          <w:szCs w:val="12"/>
          <w:color w:val="274134"/>
        </w:rPr>
        <w:t>-</w:t>
      </w:r>
      <w:r>
        <w:rPr>
          <w:rFonts w:ascii="Arial" w:cs="Arial" w:eastAsia="Arial" w:hAnsi="Arial"/>
          <w:sz w:val="12"/>
          <w:szCs w:val="12"/>
          <w:color w:val="274134"/>
          <w:highlight w:val="lightGray"/>
        </w:rPr>
        <w:t>tion that provides veterans with affordable housing.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-2635250</wp:posOffset>
            </wp:positionV>
            <wp:extent cx="7543800" cy="982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120" w:lineRule="exact"/>
        <w:rPr>
          <w:sz w:val="20"/>
          <w:szCs w:val="20"/>
          <w:color w:val="auto"/>
        </w:rPr>
      </w:pPr>
    </w:p>
    <w:p>
      <w:pPr>
        <w:ind w:right="60"/>
        <w:spacing w:after="0" w:line="326" w:lineRule="auto"/>
        <w:rPr>
          <w:sz w:val="20"/>
          <w:szCs w:val="20"/>
          <w:color w:val="auto"/>
        </w:rPr>
      </w:pPr>
      <w:r>
        <w:rPr>
          <w:rFonts w:ascii="Arial" w:cs="Arial" w:eastAsia="Arial" w:hAnsi="Arial"/>
          <w:sz w:val="16"/>
          <w:szCs w:val="16"/>
          <w:color w:val="auto"/>
        </w:rPr>
        <w:t xml:space="preserve">that acts in favor of the well-being of Americans, our veterans, and those still incarcerated from the failed War on Drugs. </w:t>
      </w:r>
      <w:r>
        <w:rPr>
          <w:rFonts w:ascii="Arial" w:cs="Arial" w:eastAsia="Arial" w:hAnsi="Arial"/>
          <w:sz w:val="16"/>
          <w:szCs w:val="16"/>
          <w:b w:val="1"/>
          <w:bCs w:val="1"/>
          <w:color w:val="auto"/>
        </w:rPr>
        <w:t>The success of our business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proving the “weight” of our enterprise does not hinge on such change. </w:t>
      </w:r>
      <w:r>
        <w:rPr>
          <w:rFonts w:ascii="Arial" w:cs="Arial" w:eastAsia="Arial" w:hAnsi="Arial"/>
          <w:sz w:val="16"/>
          <w:szCs w:val="16"/>
          <w:color w:val="auto"/>
        </w:rPr>
        <w:t>Therefore, instead of waiting,</w:t>
      </w:r>
      <w:r>
        <w:rPr>
          <w:rFonts w:ascii="Arial" w:cs="Arial" w:eastAsia="Arial" w:hAnsi="Arial"/>
          <w:sz w:val="16"/>
          <w:szCs w:val="16"/>
          <w:b w:val="1"/>
          <w:bCs w:val="1"/>
          <w:color w:val="auto"/>
        </w:rPr>
        <w:t xml:space="preserve"> </w:t>
      </w:r>
      <w:r>
        <w:rPr>
          <w:rFonts w:ascii="Arial" w:cs="Arial" w:eastAsia="Arial" w:hAnsi="Arial"/>
          <w:sz w:val="16"/>
          <w:szCs w:val="16"/>
          <w:color w:val="auto"/>
        </w:rPr>
        <w:t>we will continue to follow our own path while strongly advocating for the will of the American people that has been so disregarded.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color w:val="003F1A"/>
        </w:rPr>
        <w:t>Moving forward with eyes wide open</w:t>
      </w:r>
    </w:p>
    <w:p>
      <w:pPr>
        <w:spacing w:after="0" w:line="229"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color w:val="auto"/>
        </w:rPr>
        <w:t>We have a clear vision of where we are headed, the imagination to create it, the heart to believe it, and the resolve to execute it. We have kept our strategy simple—</w:t>
      </w:r>
      <w:r>
        <w:rPr>
          <w:rFonts w:ascii="Arial" w:cs="Arial" w:eastAsia="Arial" w:hAnsi="Arial"/>
          <w:sz w:val="16"/>
          <w:szCs w:val="16"/>
          <w:b w:val="1"/>
          <w:bCs w:val="1"/>
          <w:color w:val="auto"/>
        </w:rPr>
        <w:t>distribute authentic brands at scale with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patience and precision. </w:t>
      </w:r>
      <w:r>
        <w:rPr>
          <w:rFonts w:ascii="Arial" w:cs="Arial" w:eastAsia="Arial" w:hAnsi="Arial"/>
          <w:sz w:val="16"/>
          <w:szCs w:val="16"/>
          <w:color w:val="auto"/>
        </w:rPr>
        <w:t>This effective and proven</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model lets us tune out all the distracting noise and respond to the evolving landscape. The American consumer remains our North Star, and we will continue this path in 2025 and for the decades to come. Our success will be determined by four key priorities: (1) a relentless focus on product, (2) strengthening our competitive market positions, (3) investing capital in projects to maximize shareholder returns, and (4) continuously investing in our team, who are the foundation of our organization and central to everything we do. With these four keys in mind, our team will move forward and keep playing beautiful jazz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ON BEHALF OF THE ENTIRE</w:t>
      </w:r>
    </w:p>
    <w:p>
      <w:pPr>
        <w:spacing w:after="0" w:line="62" w:lineRule="exact"/>
        <w:rPr>
          <w:sz w:val="20"/>
          <w:szCs w:val="20"/>
          <w:color w:val="auto"/>
        </w:rPr>
      </w:pPr>
    </w:p>
    <w:p>
      <w:pPr>
        <w:spacing w:after="0" w:line="144" w:lineRule="exact"/>
        <w:rPr>
          <w:sz w:val="20"/>
          <w:szCs w:val="20"/>
          <w:color w:val="auto"/>
        </w:rPr>
      </w:pPr>
      <w:r>
        <w:rPr>
          <w:rFonts w:ascii="PMingLiU" w:cs="PMingLiU" w:eastAsia="PMingLiU" w:hAnsi="PMingLiU"/>
          <w:sz w:val="12"/>
          <w:szCs w:val="12"/>
          <w:b w:val="1"/>
          <w:bCs w:val="1"/>
          <w:color w:val="auto"/>
        </w:rPr>
        <w:t xml:space="preserve"> </w:t>
      </w:r>
    </w:p>
    <w:p>
      <w:pPr>
        <w:spacing w:after="0" w:line="215" w:lineRule="exact"/>
        <w:rPr>
          <w:sz w:val="20"/>
          <w:szCs w:val="20"/>
          <w:color w:val="auto"/>
        </w:rPr>
      </w:pPr>
    </w:p>
    <w:p>
      <w:pPr>
        <w:spacing w:after="0"/>
        <w:rPr>
          <w:sz w:val="20"/>
          <w:szCs w:val="20"/>
          <w:color w:val="auto"/>
        </w:rPr>
      </w:pPr>
      <w:r>
        <w:rPr>
          <w:rFonts w:ascii="Arial" w:cs="Arial" w:eastAsia="Arial" w:hAnsi="Arial"/>
          <w:sz w:val="28"/>
          <w:szCs w:val="28"/>
          <w:b w:val="1"/>
          <w:bCs w:val="1"/>
          <w:color w:val="003F1A"/>
        </w:rPr>
        <w:t>Thank you &amp; be well,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03F1A"/>
        </w:rPr>
        <w:t>Ben Kovler</w:t>
      </w:r>
    </w:p>
    <w:p>
      <w:pPr>
        <w:spacing w:after="0" w:line="51" w:lineRule="exact"/>
        <w:rPr>
          <w:sz w:val="20"/>
          <w:szCs w:val="20"/>
          <w:color w:val="auto"/>
        </w:rPr>
      </w:pPr>
    </w:p>
    <w:p>
      <w:pPr>
        <w:ind w:right="860"/>
        <w:spacing w:after="0" w:line="380" w:lineRule="auto"/>
        <w:rPr>
          <w:sz w:val="20"/>
          <w:szCs w:val="20"/>
          <w:color w:val="auto"/>
        </w:rPr>
      </w:pPr>
      <w:r>
        <w:rPr>
          <w:rFonts w:ascii="Arial" w:cs="Arial" w:eastAsia="Arial" w:hAnsi="Arial"/>
          <w:sz w:val="16"/>
          <w:szCs w:val="16"/>
          <w:color w:val="003F1A"/>
        </w:rPr>
        <w:t>Chairman | Chief Executive Officer | Founder April 26, 2025</w:t>
      </w:r>
    </w:p>
    <w:p>
      <w:pPr>
        <w:spacing w:after="0" w:line="163" w:lineRule="exact"/>
        <w:rPr>
          <w:sz w:val="20"/>
          <w:szCs w:val="20"/>
          <w:color w:val="auto"/>
        </w:rPr>
      </w:pPr>
    </w:p>
    <w:p>
      <w:pPr>
        <w:sectPr>
          <w:pgSz w:w="12240" w:h="15840" w:orient="portrait"/>
          <w:cols w:equalWidth="0" w:num="2">
            <w:col w:w="4820" w:space="520"/>
            <w:col w:w="4820"/>
          </w:cols>
          <w:pgMar w:left="900" w:top="846" w:right="1180" w:bottom="380" w:gutter="0" w:footer="0" w:header="0"/>
        </w:sectPr>
      </w:pPr>
    </w:p>
    <w:p>
      <w:pPr>
        <w:ind w:right="5500"/>
        <w:spacing w:after="0" w:line="361" w:lineRule="auto"/>
        <w:tabs>
          <w:tab w:leader="none" w:pos="66" w:val="left"/>
        </w:tabs>
        <w:numPr>
          <w:ilvl w:val="0"/>
          <w:numId w:val="4"/>
        </w:numPr>
        <w:rPr>
          <w:rFonts w:ascii="Arial" w:cs="Arial" w:eastAsia="Arial" w:hAnsi="Arial"/>
          <w:sz w:val="6"/>
          <w:szCs w:val="6"/>
          <w:color w:val="354D41"/>
        </w:rPr>
      </w:pPr>
      <w:r>
        <w:rPr>
          <w:rFonts w:ascii="Arial" w:cs="Arial" w:eastAsia="Arial" w:hAnsi="Arial"/>
          <w:sz w:val="10"/>
          <w:szCs w:val="10"/>
          <w:color w:val="354D41"/>
        </w:rPr>
        <w:t>Pew Research Center, Most Americans Favor Legalizing Marijuana for Medical, Recre-ational Use, March 26, 2024.</w:t>
      </w:r>
    </w:p>
    <w:p>
      <w:pPr>
        <w:sectPr>
          <w:pgSz w:w="12240" w:h="15840" w:orient="portrait"/>
          <w:cols w:equalWidth="0" w:num="1">
            <w:col w:w="10160"/>
          </w:cols>
          <w:pgMar w:left="900" w:top="846" w:right="1180" w:bottom="380" w:gutter="0" w:footer="0" w:header="0"/>
          <w:type w:val="continuous"/>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9829800" cy="7543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0" cy="75438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560"/>
        </w:trPr>
        <w:tc>
          <w:tcPr>
            <w:tcW w:w="4100" w:type="dxa"/>
            <w:vAlign w:val="bottom"/>
            <w:shd w:val="clear" w:color="auto" w:fill="E5F2B9"/>
          </w:tcPr>
          <w:p>
            <w:pPr>
              <w:ind w:left="1920"/>
              <w:spacing w:after="0"/>
              <w:rPr>
                <w:sz w:val="20"/>
                <w:szCs w:val="20"/>
                <w:color w:val="auto"/>
              </w:rPr>
            </w:pPr>
            <w:r>
              <w:rPr>
                <w:rFonts w:ascii="Arial" w:cs="Arial" w:eastAsia="Arial" w:hAnsi="Arial"/>
                <w:sz w:val="14"/>
                <w:szCs w:val="14"/>
                <w:color w:val="003F1A"/>
              </w:rPr>
              <w:t>A N N U A L R E P O R T 2 0 2 4</w:t>
            </w:r>
          </w:p>
        </w:tc>
        <w:tc>
          <w:tcPr>
            <w:tcW w:w="11380" w:type="dxa"/>
            <w:vAlign w:val="bottom"/>
            <w:shd w:val="clear" w:color="auto" w:fill="E5F2B9"/>
          </w:tcPr>
          <w:p>
            <w:pPr>
              <w:ind w:left="240"/>
              <w:spacing w:after="0"/>
              <w:rPr>
                <w:sz w:val="20"/>
                <w:szCs w:val="20"/>
                <w:color w:val="auto"/>
              </w:rPr>
            </w:pPr>
            <w:r>
              <w:rPr>
                <w:rFonts w:ascii="Arial" w:cs="Arial" w:eastAsia="Arial" w:hAnsi="Arial"/>
                <w:sz w:val="14"/>
                <w:szCs w:val="14"/>
                <w:color w:val="003F1A"/>
              </w:rPr>
              <w:t>0 0 ƶ</w:t>
            </w:r>
          </w:p>
        </w:tc>
      </w:tr>
      <w:tr>
        <w:trPr>
          <w:trHeight w:val="320"/>
        </w:trPr>
        <w:tc>
          <w:tcPr>
            <w:tcW w:w="4100" w:type="dxa"/>
            <w:vAlign w:val="bottom"/>
            <w:shd w:val="clear" w:color="auto" w:fill="E5F2B9"/>
          </w:tcPr>
          <w:p>
            <w:pPr>
              <w:spacing w:after="0"/>
              <w:rPr>
                <w:sz w:val="24"/>
                <w:szCs w:val="24"/>
                <w:color w:val="auto"/>
              </w:rPr>
            </w:pPr>
          </w:p>
        </w:tc>
        <w:tc>
          <w:tcPr>
            <w:tcW w:w="11380" w:type="dxa"/>
            <w:vAlign w:val="bottom"/>
            <w:shd w:val="clear" w:color="auto" w:fill="E5F2B9"/>
          </w:tcPr>
          <w:p>
            <w:pPr>
              <w:spacing w:after="0"/>
              <w:rPr>
                <w:sz w:val="24"/>
                <w:szCs w:val="24"/>
                <w:color w:val="auto"/>
              </w:rPr>
            </w:pPr>
          </w:p>
        </w:tc>
      </w:tr>
    </w:tbl>
    <w:p>
      <w:pPr>
        <w:sectPr>
          <w:pgSz w:w="15840" w:h="12260" w:orient="landscape"/>
          <w:cols w:equalWidth="0" w:num="1">
            <w:col w:w="15480"/>
          </w:cols>
          <w:pgMar w:left="180" w:top="180" w:right="180" w:bottom="0" w:gutter="0" w:footer="0" w:header="0"/>
        </w:sectPr>
      </w:pPr>
    </w:p>
    <w:bookmarkStart w:id="7" w:name="page8"/>
    <w:bookmarkEnd w:id="7"/>
    <w:p>
      <w:pPr>
        <w:ind w:left="6740"/>
        <w:spacing w:after="0"/>
        <w:rPr>
          <w:sz w:val="20"/>
          <w:szCs w:val="20"/>
          <w:color w:val="auto"/>
        </w:rPr>
      </w:pPr>
      <w:r>
        <w:rPr>
          <w:rFonts w:ascii="Arial" w:cs="Arial" w:eastAsia="Arial" w:hAnsi="Arial"/>
          <w:sz w:val="9"/>
          <w:szCs w:val="9"/>
          <w:color w:val="003F1A"/>
        </w:rPr>
        <w:drawing>
          <wp:anchor simplePos="0" relativeHeight="251657728" behindDoc="1" locked="0" layoutInCell="0" allowOverlap="1">
            <wp:simplePos x="0" y="0"/>
            <wp:positionH relativeFrom="page">
              <wp:posOffset>609600</wp:posOffset>
            </wp:positionH>
            <wp:positionV relativeFrom="page">
              <wp:posOffset>0</wp:posOffset>
            </wp:positionV>
            <wp:extent cx="6553200" cy="502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3200" cy="5029200"/>
                    </a:xfrm>
                    <a:prstGeom prst="rect">
                      <a:avLst/>
                    </a:prstGeom>
                    <a:noFill/>
                  </pic:spPr>
                </pic:pic>
              </a:graphicData>
            </a:graphic>
          </wp:anchor>
        </w:drawing>
        <w:t>A N N UA L R E P O R T 2 02 4      0 0Ƹ</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4827905</wp:posOffset>
            </wp:positionV>
            <wp:extent cx="6553200" cy="5028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3200" cy="5028565"/>
                    </a:xfrm>
                    <a:prstGeom prst="rect">
                      <a:avLst/>
                    </a:prstGeom>
                    <a:noFill/>
                  </pic:spPr>
                </pic:pic>
              </a:graphicData>
            </a:graphic>
          </wp:anchor>
        </w:drawing>
      </w:r>
    </w:p>
    <w:p>
      <w:pPr>
        <w:sectPr>
          <w:pgSz w:w="12240" w:h="15840" w:orient="portrait"/>
          <w:cols w:equalWidth="0" w:num="1">
            <w:col w:w="9360"/>
          </w:cols>
          <w:pgMar w:left="1440" w:top="213"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32"/>
          <w:szCs w:val="32"/>
          <w:b w:val="1"/>
          <w:bCs w:val="1"/>
          <w:color w:val="auto"/>
        </w:rPr>
        <mc:AlternateContent>
          <mc:Choice Requires="wps">
            <w:drawing>
              <wp:anchor simplePos="0" relativeHeight="251657728" behindDoc="1" locked="0" layoutInCell="0" allowOverlap="1">
                <wp:simplePos x="0" y="0"/>
                <wp:positionH relativeFrom="page">
                  <wp:posOffset>749935</wp:posOffset>
                </wp:positionH>
                <wp:positionV relativeFrom="page">
                  <wp:posOffset>607695</wp:posOffset>
                </wp:positionV>
                <wp:extent cx="65836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36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05pt,47.85pt" to="577.45pt,47.85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749935</wp:posOffset>
                </wp:positionH>
                <wp:positionV relativeFrom="page">
                  <wp:posOffset>626745</wp:posOffset>
                </wp:positionV>
                <wp:extent cx="658368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368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05pt,49.35pt" to="577.45pt,49.35pt" o:allowincell="f" strokecolor="#000000" strokeweight="0.75pt">
                <w10:wrap anchorx="page" anchory="page"/>
              </v:line>
            </w:pict>
          </mc:Fallback>
        </mc:AlternateContent>
        <w:t>UNITED STATES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102235</wp:posOffset>
                </wp:positionV>
                <wp:extent cx="140843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8.05pt" to="325.45pt,8.05pt" o:allowincell="f" strokecolor="#000000" strokeweight="1pt"/>
            </w:pict>
          </mc:Fallback>
        </mc:AlternateConten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132080</wp:posOffset>
                </wp:positionV>
                <wp:extent cx="140843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10.4pt" to="325.45pt,10.4pt" o:allowincell="f" strokecolor="#000000" strokeweight="1pt"/>
            </w:pict>
          </mc:Fallback>
        </mc:AlternateContent>
      </w:r>
    </w:p>
    <w:p>
      <w:pPr>
        <w:spacing w:after="0" w:line="304" w:lineRule="exact"/>
        <w:rPr>
          <w:sz w:val="20"/>
          <w:szCs w:val="20"/>
          <w:color w:val="auto"/>
        </w:rPr>
      </w:pPr>
    </w:p>
    <w:p>
      <w:pPr>
        <w:ind w:left="520" w:hanging="520"/>
        <w:spacing w:after="0"/>
        <w:tabs>
          <w:tab w:leader="none" w:pos="520" w:val="left"/>
        </w:tabs>
        <w:numPr>
          <w:ilvl w:val="0"/>
          <w:numId w:val="6"/>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5" w:lineRule="exact"/>
        <w:rPr>
          <w:sz w:val="20"/>
          <w:szCs w:val="20"/>
          <w:color w:val="auto"/>
        </w:rPr>
      </w:pPr>
    </w:p>
    <w:p>
      <w:pPr>
        <w:ind w:left="540" w:hanging="471"/>
        <w:spacing w:after="0"/>
        <w:tabs>
          <w:tab w:leader="none" w:pos="540" w:val="left"/>
        </w:tabs>
        <w:numPr>
          <w:ilvl w:val="0"/>
          <w:numId w:val="7"/>
        </w:numPr>
        <w:rPr>
          <w:rFonts w:ascii="Segoe UI Symbol" w:cs="Segoe UI Symbol" w:eastAsia="Segoe UI Symbol" w:hAnsi="Segoe UI Symbol"/>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1" w:lineRule="exact"/>
        <w:rPr>
          <w:sz w:val="20"/>
          <w:szCs w:val="20"/>
          <w:color w:val="auto"/>
        </w:rPr>
      </w:pPr>
    </w:p>
    <w:p>
      <w:pPr>
        <w:ind w:left="3720"/>
        <w:spacing w:after="0"/>
        <w:tabs>
          <w:tab w:leader="none" w:pos="690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829945</wp:posOffset>
            </wp:positionH>
            <wp:positionV relativeFrom="paragraph">
              <wp:posOffset>112395</wp:posOffset>
            </wp:positionV>
            <wp:extent cx="5239385" cy="669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239385" cy="66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000-56132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120015</wp:posOffset>
                </wp:positionV>
                <wp:extent cx="140843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9.45pt" to="325.45pt,9.45pt" o:allowincell="f" strokecolor="#000000" strokeweight="1pt"/>
            </w:pict>
          </mc:Fallback>
        </mc:AlternateConten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GREEN THUMB INDUSTRIES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2724785</wp:posOffset>
                </wp:positionH>
                <wp:positionV relativeFrom="paragraph">
                  <wp:posOffset>103505</wp:posOffset>
                </wp:positionV>
                <wp:extent cx="140843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84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5pt,8.15pt" to="325.45pt,8.15pt" o:allowincell="f" strokecolor="#000000" strokeweight="1pt"/>
            </w:pict>
          </mc:Fallback>
        </mc:AlternateConten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gridSpan w:val="3"/>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rPr>
              <w:t>British Columbia</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98-1437430</w:t>
            </w:r>
          </w:p>
        </w:tc>
      </w:tr>
      <w:tr>
        <w:trPr>
          <w:trHeight w:val="138"/>
        </w:trPr>
        <w:tc>
          <w:tcPr>
            <w:tcW w:w="7600" w:type="dxa"/>
            <w:vAlign w:val="bottom"/>
            <w:gridSpan w:val="3"/>
          </w:tcPr>
          <w:p>
            <w:pPr>
              <w:jc w:val="center"/>
              <w:ind w:right="218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63"/>
        </w:trPr>
        <w:tc>
          <w:tcPr>
            <w:tcW w:w="7600" w:type="dxa"/>
            <w:vAlign w:val="bottom"/>
            <w:gridSpan w:val="3"/>
          </w:tcPr>
          <w:p>
            <w:pPr>
              <w:jc w:val="center"/>
              <w:ind w:right="2200"/>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317"/>
        </w:trPr>
        <w:tc>
          <w:tcPr>
            <w:tcW w:w="7600" w:type="dxa"/>
            <w:vAlign w:val="bottom"/>
            <w:gridSpan w:val="3"/>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w w:val="99"/>
              </w:rPr>
              <w:t>325 West Huron Street,</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7600" w:type="dxa"/>
            <w:vAlign w:val="bottom"/>
            <w:gridSpan w:val="3"/>
          </w:tcPr>
          <w:p>
            <w:pPr>
              <w:jc w:val="center"/>
              <w:ind w:right="2200"/>
              <w:spacing w:after="0"/>
              <w:rPr>
                <w:sz w:val="20"/>
                <w:szCs w:val="20"/>
                <w:color w:val="auto"/>
              </w:rPr>
            </w:pPr>
            <w:r>
              <w:rPr>
                <w:rFonts w:ascii="Times New Roman" w:cs="Times New Roman" w:eastAsia="Times New Roman" w:hAnsi="Times New Roman"/>
                <w:sz w:val="16"/>
                <w:szCs w:val="16"/>
                <w:b w:val="1"/>
                <w:bCs w:val="1"/>
                <w:color w:val="auto"/>
                <w:w w:val="98"/>
              </w:rPr>
              <w:t>Suite 700 Chicago, Illinois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60654</w:t>
            </w:r>
          </w:p>
        </w:tc>
      </w:tr>
      <w:tr>
        <w:trPr>
          <w:trHeight w:val="163"/>
        </w:trPr>
        <w:tc>
          <w:tcPr>
            <w:tcW w:w="7600" w:type="dxa"/>
            <w:vAlign w:val="bottom"/>
            <w:gridSpan w:val="3"/>
          </w:tcPr>
          <w:p>
            <w:pPr>
              <w:jc w:val="center"/>
              <w:ind w:right="22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r>
        <w:trPr>
          <w:trHeight w:val="289"/>
        </w:trPr>
        <w:tc>
          <w:tcPr>
            <w:tcW w:w="8180" w:type="dxa"/>
            <w:vAlign w:val="bottom"/>
            <w:gridSpan w:val="4"/>
          </w:tcPr>
          <w:p>
            <w:pPr>
              <w:jc w:val="center"/>
              <w:ind w:left="254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 (312) 471-6720</w:t>
            </w:r>
          </w:p>
        </w:tc>
        <w:tc>
          <w:tcPr>
            <w:tcW w:w="560" w:type="dxa"/>
            <w:vAlign w:val="bottom"/>
          </w:tcPr>
          <w:p>
            <w:pPr>
              <w:spacing w:after="0"/>
              <w:rPr>
                <w:sz w:val="24"/>
                <w:szCs w:val="24"/>
                <w:color w:val="auto"/>
              </w:rPr>
            </w:pPr>
          </w:p>
        </w:tc>
      </w:tr>
      <w:tr>
        <w:trPr>
          <w:trHeight w:val="143"/>
        </w:trPr>
        <w:tc>
          <w:tcPr>
            <w:tcW w:w="4300" w:type="dxa"/>
            <w:vAlign w:val="bottom"/>
          </w:tcPr>
          <w:p>
            <w:pPr>
              <w:spacing w:after="0"/>
              <w:rPr>
                <w:sz w:val="12"/>
                <w:szCs w:val="12"/>
                <w:color w:val="auto"/>
              </w:rPr>
            </w:pPr>
          </w:p>
        </w:tc>
        <w:tc>
          <w:tcPr>
            <w:tcW w:w="220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301"/>
        </w:trPr>
        <w:tc>
          <w:tcPr>
            <w:tcW w:w="7600" w:type="dxa"/>
            <w:vAlign w:val="bottom"/>
            <w:gridSpan w:val="3"/>
          </w:tcPr>
          <w:p>
            <w:pPr>
              <w:jc w:val="center"/>
              <w:ind w:left="31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 None</w:t>
            </w: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7"/>
        </w:trPr>
        <w:tc>
          <w:tcPr>
            <w:tcW w:w="7600" w:type="dxa"/>
            <w:vAlign w:val="bottom"/>
            <w:gridSpan w:val="3"/>
          </w:tcPr>
          <w:p>
            <w:pPr>
              <w:jc w:val="center"/>
              <w:ind w:left="312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84"/>
        </w:trPr>
        <w:tc>
          <w:tcPr>
            <w:tcW w:w="4300" w:type="dxa"/>
            <w:vAlign w:val="bottom"/>
          </w:tcPr>
          <w:p>
            <w:pPr>
              <w:spacing w:after="0"/>
              <w:rPr>
                <w:sz w:val="15"/>
                <w:szCs w:val="15"/>
                <w:color w:val="auto"/>
              </w:rPr>
            </w:pPr>
          </w:p>
        </w:tc>
        <w:tc>
          <w:tcPr>
            <w:tcW w:w="3300" w:type="dxa"/>
            <w:vAlign w:val="bottom"/>
            <w:gridSpan w:val="2"/>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w w:val="99"/>
              </w:rPr>
              <w:t>Subordinate Voting Shares</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4"/>
        </w:trPr>
        <w:tc>
          <w:tcPr>
            <w:tcW w:w="4300" w:type="dxa"/>
            <w:vAlign w:val="bottom"/>
          </w:tcPr>
          <w:p>
            <w:pPr>
              <w:spacing w:after="0"/>
              <w:rPr>
                <w:sz w:val="15"/>
                <w:szCs w:val="15"/>
                <w:color w:val="auto"/>
              </w:rPr>
            </w:pPr>
          </w:p>
        </w:tc>
        <w:tc>
          <w:tcPr>
            <w:tcW w:w="3300" w:type="dxa"/>
            <w:vAlign w:val="bottom"/>
            <w:gridSpan w:val="2"/>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Multiple Voting Shares</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90"/>
        </w:trPr>
        <w:tc>
          <w:tcPr>
            <w:tcW w:w="4300" w:type="dxa"/>
            <w:vAlign w:val="bottom"/>
          </w:tcPr>
          <w:p>
            <w:pPr>
              <w:spacing w:after="0"/>
              <w:rPr>
                <w:sz w:val="16"/>
                <w:szCs w:val="16"/>
                <w:color w:val="auto"/>
              </w:rPr>
            </w:pPr>
          </w:p>
        </w:tc>
        <w:tc>
          <w:tcPr>
            <w:tcW w:w="3300" w:type="dxa"/>
            <w:vAlign w:val="bottom"/>
            <w:gridSpan w:val="2"/>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w w:val="99"/>
              </w:rPr>
              <w:t>Super Voting Shares</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3"/>
        </w:trPr>
        <w:tc>
          <w:tcPr>
            <w:tcW w:w="4300" w:type="dxa"/>
            <w:vAlign w:val="bottom"/>
          </w:tcPr>
          <w:p>
            <w:pPr>
              <w:spacing w:after="0"/>
              <w:rPr>
                <w:sz w:val="14"/>
                <w:szCs w:val="14"/>
                <w:color w:val="auto"/>
              </w:rPr>
            </w:pPr>
          </w:p>
        </w:tc>
        <w:tc>
          <w:tcPr>
            <w:tcW w:w="3300" w:type="dxa"/>
            <w:vAlign w:val="bottom"/>
            <w:gridSpan w:val="2"/>
          </w:tcPr>
          <w:p>
            <w:pPr>
              <w:jc w:val="center"/>
              <w:ind w:right="1100"/>
              <w:spacing w:after="0"/>
              <w:rPr>
                <w:sz w:val="20"/>
                <w:szCs w:val="20"/>
                <w:color w:val="auto"/>
              </w:rPr>
            </w:pPr>
            <w:r>
              <w:rPr>
                <w:rFonts w:ascii="Times New Roman" w:cs="Times New Roman" w:eastAsia="Times New Roman" w:hAnsi="Times New Roman"/>
                <w:sz w:val="12"/>
                <w:szCs w:val="12"/>
                <w:b w:val="1"/>
                <w:bCs w:val="1"/>
                <w:color w:val="auto"/>
                <w:w w:val="98"/>
              </w:rPr>
              <w:t>(Title of each Class)</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8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6"/>
                <w:szCs w:val="16"/>
                <w:color w:val="auto"/>
              </w:rPr>
              <w:t>☒</w:t>
            </w:r>
          </w:p>
        </w:tc>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r>
      <w:tr>
        <w:trPr>
          <w:trHeight w:val="313"/>
        </w:trPr>
        <w:tc>
          <w:tcPr>
            <w:tcW w:w="81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Segoe UI Symbol" w:cs="Segoe UI Symbol" w:eastAsia="Segoe UI Symbol" w:hAnsi="Segoe UI Symbol"/>
                <w:sz w:val="16"/>
                <w:szCs w:val="16"/>
                <w:color w:val="auto"/>
              </w:rPr>
              <w:t>☐</w:t>
            </w:r>
          </w:p>
        </w:tc>
        <w:tc>
          <w:tcPr>
            <w:tcW w:w="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r>
    </w:tbl>
    <w:p>
      <w:pPr>
        <w:spacing w:after="0" w:line="5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6"/>
          <w:szCs w:val="16"/>
          <w:color w:val="auto"/>
        </w:rPr>
        <w:t xml:space="preserve">day.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8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 xml:space="preserve"> No </w:t>
      </w:r>
      <w:r>
        <w:rPr>
          <w:rFonts w:ascii="Segoe UI Symbol" w:cs="Segoe UI Symbol" w:eastAsia="Segoe UI Symbol" w:hAnsi="Segoe UI Symbol"/>
          <w:sz w:val="16"/>
          <w:szCs w:val="16"/>
          <w:color w:val="auto"/>
        </w:rPr>
        <w:t>☐</w:t>
      </w:r>
    </w:p>
    <w:p>
      <w:pPr>
        <w:spacing w:after="0" w:line="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20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260" w:type="dxa"/>
            <w:vAlign w:val="bottom"/>
          </w:tcPr>
          <w:p>
            <w:pPr>
              <w:ind w:left="120"/>
              <w:spacing w:after="0"/>
              <w:rPr>
                <w:sz w:val="20"/>
                <w:szCs w:val="20"/>
                <w:color w:val="auto"/>
              </w:rPr>
            </w:pPr>
            <w:r>
              <w:rPr>
                <w:rFonts w:ascii="Segoe UI Symbol" w:cs="Segoe UI Symbol" w:eastAsia="Segoe UI Symbol" w:hAnsi="Segoe UI Symbol"/>
                <w:sz w:val="16"/>
                <w:szCs w:val="16"/>
                <w:color w:val="auto"/>
                <w:w w:val="86"/>
              </w:rPr>
              <w:t>☐</w:t>
            </w:r>
          </w:p>
        </w:tc>
      </w:tr>
      <w:tr>
        <w:trPr>
          <w:trHeight w:val="328"/>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20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60" w:type="dxa"/>
            <w:vAlign w:val="bottom"/>
          </w:tcPr>
          <w:p>
            <w:pPr>
              <w:ind w:left="120"/>
              <w:spacing w:after="0"/>
              <w:rPr>
                <w:sz w:val="20"/>
                <w:szCs w:val="20"/>
                <w:color w:val="auto"/>
              </w:rPr>
            </w:pPr>
            <w:r>
              <w:rPr>
                <w:rFonts w:ascii="Segoe UI Symbol" w:cs="Segoe UI Symbol" w:eastAsia="Segoe UI Symbol" w:hAnsi="Segoe UI Symbol"/>
                <w:sz w:val="16"/>
                <w:szCs w:val="16"/>
                <w:color w:val="auto"/>
                <w:w w:val="86"/>
              </w:rPr>
              <w:t>☐</w:t>
            </w:r>
          </w:p>
        </w:tc>
      </w:tr>
      <w:tr>
        <w:trPr>
          <w:trHeight w:val="328"/>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40" w:type="dxa"/>
            <w:vAlign w:val="bottom"/>
          </w:tcPr>
          <w:p>
            <w:pPr>
              <w:ind w:left="200"/>
              <w:spacing w:after="0"/>
              <w:rPr>
                <w:sz w:val="20"/>
                <w:szCs w:val="20"/>
                <w:color w:val="auto"/>
              </w:rPr>
            </w:pPr>
            <w:r>
              <w:rPr>
                <w:rFonts w:ascii="Segoe UI Symbol" w:cs="Segoe UI Symbol" w:eastAsia="Segoe UI Symbol" w:hAnsi="Segoe UI Symbol"/>
                <w:sz w:val="16"/>
                <w:szCs w:val="16"/>
                <w:color w:val="auto"/>
              </w:rPr>
              <w:t>☐</w:t>
            </w:r>
          </w:p>
        </w:tc>
        <w:tc>
          <w:tcPr>
            <w:tcW w:w="49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spacing w:after="0"/>
        <w:rPr>
          <w:sz w:val="20"/>
          <w:szCs w:val="20"/>
          <w:color w:val="auto"/>
        </w:rPr>
      </w:pPr>
      <w:r>
        <w:rPr>
          <w:rFonts w:ascii="Segoe UI Symbol" w:cs="Segoe UI Symbol" w:eastAsia="Segoe UI Symbol" w:hAnsi="Segoe UI Symbol"/>
          <w:sz w:val="16"/>
          <w:szCs w:val="16"/>
          <w:color w:val="auto"/>
        </w:rPr>
        <w:t>☒</w:t>
      </w:r>
    </w:p>
    <w:p>
      <w:pPr>
        <w:sectPr>
          <w:pgSz w:w="12240" w:h="15840" w:orient="portrait"/>
          <w:cols w:equalWidth="0" w:num="1">
            <w:col w:w="10800"/>
          </w:cols>
          <w:pgMar w:left="720" w:top="1091" w:right="720" w:bottom="444" w:gutter="0" w:footer="0" w:header="0"/>
        </w:sectPr>
      </w:pPr>
    </w:p>
    <w:bookmarkStart w:id="10" w:name="page11"/>
    <w:bookmarkEnd w:id="10"/>
    <w:p>
      <w:pPr>
        <w:spacing w:after="0" w:line="305"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18"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6"/>
          <w:szCs w:val="16"/>
          <w:color w:val="auto"/>
        </w:rPr>
        <w:t>☐</w:t>
      </w:r>
    </w:p>
    <w:p>
      <w:pPr>
        <w:spacing w:after="0" w:line="18" w:lineRule="exact"/>
        <w:rPr>
          <w:sz w:val="20"/>
          <w:szCs w:val="20"/>
          <w:color w:val="auto"/>
        </w:rPr>
      </w:pPr>
    </w:p>
    <w:p>
      <w:pPr>
        <w:spacing w:after="0"/>
        <w:tabs>
          <w:tab w:leader="none" w:pos="72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03"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16"/>
          <w:szCs w:val="16"/>
          <w:color w:val="auto"/>
        </w:rPr>
        <w:t>As of February 21, 2025, there were 211,465,453 shares of the registrant’s Subordinate Voting Shares, 37,623 shares of the registrant’s Multiple Voting Shares and 206,690 shares of the registrant’s Super Voting Shares outstanding.</w:t>
      </w:r>
    </w:p>
    <w:p>
      <w:pPr>
        <w:spacing w:after="0" w:line="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Subordinate Voting Shares, and Multiple Voting Shares, and Super Voting Shares (on an as converted basis, based on the closing price of these Subordinate Voting Shares on the Canadian Stock Exchange) on June 30, 2024, the last business day of the registrant’s most recently completed second fiscal quarter, held by nonaffiliates was $2,612,950 thousand.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8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6"/>
          <w:szCs w:val="16"/>
          <w:color w:val="auto"/>
        </w:rPr>
        <w:t>Part I of this Annual Report on Form 10-K incorporates certain information by reference from the Registrant’s Amendment No. 2 Registration Statement on Form S-1 (No. 333-248213) to the extent stated herein under the heading “History of the Company.”</w:t>
      </w:r>
    </w:p>
    <w:p>
      <w:pPr>
        <w:spacing w:after="0" w:line="1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Part III of this Annual Report on Form 10-K incorporates certain information by reference from the definitive proxy statement to be filed by the registrant in connection with the 2025 Annual General Meeting of Shareholders (the “2025 Proxy Statement”). The 2025 Proxy Statement will be filed by the registrant with the Securities and Exchange Commission not later than 120 days after December 31, 2024, the end of the registrant’s 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165735</wp:posOffset>
                </wp:positionV>
                <wp:extent cx="689483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3.05pt" to="541.45pt,13.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-18415</wp:posOffset>
                </wp:positionH>
                <wp:positionV relativeFrom="paragraph">
                  <wp:posOffset>146685</wp:posOffset>
                </wp:positionV>
                <wp:extent cx="689483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1.55pt" to="541.45pt,11.55pt" o:allowincell="f" strokecolor="#000000" strokeweight="0.75pt"/>
            </w:pict>
          </mc:Fallback>
        </mc:AlternateContent>
      </w:r>
    </w:p>
    <w:p>
      <w:pPr>
        <w:sectPr>
          <w:pgSz w:w="12240" w:h="15840" w:orient="portrait"/>
          <w:cols w:equalWidth="0" w:num="1">
            <w:col w:w="10780"/>
          </w:cols>
          <w:pgMar w:left="720" w:top="934" w:right="740" w:bottom="1440" w:gutter="0" w:footer="0" w:header="0"/>
        </w:sectPr>
      </w:pPr>
    </w:p>
    <w:bookmarkStart w:id="11" w:name="page12"/>
    <w:bookmarkEnd w:id="11"/>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ANNUAL REPORT ON FORM 10-K</w:t>
      </w: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2024</w:t>
      </w: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740" w:type="dxa"/>
            <w:vAlign w:val="bottom"/>
            <w:gridSpan w:val="10"/>
            <w:vMerge w:val="restart"/>
          </w:tcPr>
          <w:p>
            <w:pPr>
              <w:jc w:val="center"/>
              <w:ind w:right="960"/>
              <w:spacing w:after="0"/>
              <w:rPr>
                <w:sz w:val="20"/>
                <w:szCs w:val="20"/>
                <w:color w:val="auto"/>
              </w:rPr>
            </w:pPr>
            <w:r>
              <w:rPr>
                <w:rFonts w:ascii="Times New Roman" w:cs="Times New Roman" w:eastAsia="Times New Roman" w:hAnsi="Times New Roman"/>
                <w:sz w:val="20"/>
                <w:szCs w:val="20"/>
                <w:color w:val="auto"/>
                <w:w w:val="98"/>
              </w:rPr>
              <w:t>PART I</w:t>
            </w:r>
          </w:p>
        </w:tc>
        <w:tc>
          <w:tcPr>
            <w:tcW w:w="1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78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93"/>
        </w:trPr>
        <w:tc>
          <w:tcPr>
            <w:tcW w:w="1740" w:type="dxa"/>
            <w:vAlign w:val="bottom"/>
            <w:gridSpan w:val="10"/>
            <w:vMerge w:val="continue"/>
          </w:tcPr>
          <w:p>
            <w:pPr>
              <w:spacing w:after="0"/>
              <w:rPr>
                <w:sz w:val="16"/>
                <w:szCs w:val="16"/>
                <w:color w:val="auto"/>
              </w:rPr>
            </w:pPr>
          </w:p>
        </w:tc>
        <w:tc>
          <w:tcPr>
            <w:tcW w:w="1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001987"/>
            </w:tcBorders>
            <w:gridSpan w:val="3"/>
          </w:tcPr>
          <w:p>
            <w:pPr>
              <w:spacing w:after="0" w:line="228" w:lineRule="exact"/>
              <w:rPr>
                <w:sz w:val="20"/>
                <w:szCs w:val="20"/>
                <w:color w:val="auto"/>
              </w:rPr>
            </w:pPr>
            <w:r>
              <w:rPr>
                <w:rFonts w:ascii="Times New Roman" w:cs="Times New Roman" w:eastAsia="Times New Roman" w:hAnsi="Times New Roman"/>
                <w:sz w:val="20"/>
                <w:szCs w:val="20"/>
                <w:color w:val="001987"/>
                <w:w w:val="98"/>
              </w:rPr>
              <w:t>ITEM 1.</w:t>
            </w:r>
          </w:p>
        </w:tc>
        <w:tc>
          <w:tcPr>
            <w:tcW w:w="160" w:type="dxa"/>
            <w:vAlign w:val="bottom"/>
            <w:gridSpan w:val="5"/>
          </w:tcPr>
          <w:p>
            <w:pPr>
              <w:spacing w:after="0"/>
              <w:rPr>
                <w:sz w:val="19"/>
                <w:szCs w:val="19"/>
                <w:color w:val="auto"/>
              </w:rPr>
            </w:pP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BUSINESS</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001987"/>
            </w:tcBorders>
            <w:gridSpan w:val="8"/>
          </w:tcPr>
          <w:p>
            <w:pPr>
              <w:spacing w:after="0" w:line="210" w:lineRule="exact"/>
              <w:rPr>
                <w:sz w:val="20"/>
                <w:szCs w:val="20"/>
                <w:color w:val="auto"/>
              </w:rPr>
            </w:pPr>
            <w:r>
              <w:rPr>
                <w:rFonts w:ascii="Times New Roman" w:cs="Times New Roman" w:eastAsia="Times New Roman" w:hAnsi="Times New Roman"/>
                <w:sz w:val="20"/>
                <w:szCs w:val="20"/>
                <w:color w:val="001987"/>
              </w:rPr>
              <w:t>ITEM 1A.</w:t>
            </w: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RISK FACTORS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8"/>
          </w:tcPr>
          <w:p>
            <w:pPr>
              <w:spacing w:after="0" w:line="210" w:lineRule="exact"/>
              <w:rPr>
                <w:sz w:val="20"/>
                <w:szCs w:val="20"/>
                <w:color w:val="auto"/>
              </w:rPr>
            </w:pPr>
            <w:r>
              <w:rPr>
                <w:rFonts w:ascii="Times New Roman" w:cs="Times New Roman" w:eastAsia="Times New Roman" w:hAnsi="Times New Roman"/>
                <w:sz w:val="20"/>
                <w:szCs w:val="20"/>
                <w:color w:val="001987"/>
              </w:rPr>
              <w:t>ITEM 1B.</w:t>
            </w: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UNRESOLVED STAFF COMMENTS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001987"/>
            </w:tcBorders>
            <w:gridSpan w:val="7"/>
          </w:tcPr>
          <w:p>
            <w:pPr>
              <w:spacing w:after="0" w:line="210" w:lineRule="exact"/>
              <w:rPr>
                <w:sz w:val="20"/>
                <w:szCs w:val="20"/>
                <w:color w:val="auto"/>
              </w:rPr>
            </w:pPr>
            <w:r>
              <w:rPr>
                <w:rFonts w:ascii="Times New Roman" w:cs="Times New Roman" w:eastAsia="Times New Roman" w:hAnsi="Times New Roman"/>
                <w:sz w:val="20"/>
                <w:szCs w:val="20"/>
                <w:color w:val="001987"/>
                <w:w w:val="99"/>
              </w:rPr>
              <w:t>ITEM 1C.</w:t>
            </w:r>
          </w:p>
        </w:tc>
        <w:tc>
          <w:tcPr>
            <w:tcW w:w="20" w:type="dxa"/>
            <w:vAlign w:val="bottom"/>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CYBERSECURITY</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001987"/>
            </w:tcBorders>
            <w:gridSpan w:val="6"/>
          </w:tcPr>
          <w:p>
            <w:pPr>
              <w:spacing w:after="0" w:line="210" w:lineRule="exact"/>
              <w:rPr>
                <w:sz w:val="20"/>
                <w:szCs w:val="20"/>
                <w:color w:val="auto"/>
              </w:rPr>
            </w:pPr>
            <w:r>
              <w:rPr>
                <w:rFonts w:ascii="Times New Roman" w:cs="Times New Roman" w:eastAsia="Times New Roman" w:hAnsi="Times New Roman"/>
                <w:sz w:val="20"/>
                <w:szCs w:val="20"/>
                <w:color w:val="001987"/>
              </w:rPr>
              <w:t>ITEM 2.</w:t>
            </w:r>
          </w:p>
        </w:tc>
        <w:tc>
          <w:tcPr>
            <w:tcW w:w="40" w:type="dxa"/>
            <w:vAlign w:val="bottom"/>
            <w:gridSpan w:val="2"/>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PROPERTIES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001987"/>
              <w:bottom w:val="single" w:sz="8" w:color="001987"/>
            </w:tcBorders>
            <w:gridSpan w:val="3"/>
          </w:tcPr>
          <w:p>
            <w:pPr>
              <w:spacing w:after="0" w:line="210" w:lineRule="exact"/>
              <w:rPr>
                <w:sz w:val="20"/>
                <w:szCs w:val="20"/>
                <w:color w:val="auto"/>
              </w:rPr>
            </w:pPr>
            <w:r>
              <w:rPr>
                <w:rFonts w:ascii="Times New Roman" w:cs="Times New Roman" w:eastAsia="Times New Roman" w:hAnsi="Times New Roman"/>
                <w:sz w:val="20"/>
                <w:szCs w:val="20"/>
                <w:color w:val="001987"/>
                <w:w w:val="98"/>
              </w:rPr>
              <w:t>ITEM 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LEGAL PROCEEDINGS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bottom w:val="single" w:sz="8" w:color="001987"/>
            </w:tcBorders>
            <w:gridSpan w:val="2"/>
          </w:tcPr>
          <w:p>
            <w:pPr>
              <w:spacing w:after="0" w:line="210" w:lineRule="exact"/>
              <w:rPr>
                <w:sz w:val="20"/>
                <w:szCs w:val="20"/>
                <w:color w:val="auto"/>
              </w:rPr>
            </w:pPr>
            <w:r>
              <w:rPr>
                <w:rFonts w:ascii="Times New Roman" w:cs="Times New Roman" w:eastAsia="Times New Roman" w:hAnsi="Times New Roman"/>
                <w:sz w:val="20"/>
                <w:szCs w:val="20"/>
                <w:color w:val="001987"/>
                <w:w w:val="95"/>
              </w:rPr>
              <w:t>ITEM 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MINE SAFETY DISCLOSURES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48"/>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PART II</w:t>
            </w:r>
          </w:p>
        </w:tc>
        <w:tc>
          <w:tcPr>
            <w:tcW w:w="8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1987"/>
              </w:rPr>
              <w:t>ITEM 5.</w:t>
            </w:r>
          </w:p>
        </w:tc>
        <w:tc>
          <w:tcPr>
            <w:tcW w:w="8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0"/>
                <w:szCs w:val="20"/>
                <w:color w:val="auto"/>
              </w:rPr>
              <w:t>MARKET FOR THE REGISTRANTS’ COMMON EQUITY, RELATED STOCKHOLDER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8"/>
            <w:vMerge w:val="continue"/>
          </w:tcPr>
          <w:p>
            <w:pPr>
              <w:spacing w:after="0"/>
              <w:rPr>
                <w:sz w:val="18"/>
                <w:szCs w:val="18"/>
                <w:color w:val="auto"/>
              </w:rPr>
            </w:pPr>
          </w:p>
        </w:tc>
        <w:tc>
          <w:tcPr>
            <w:tcW w:w="826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001987"/>
            </w:tcBorders>
          </w:tcPr>
          <w:p>
            <w:pPr>
              <w:spacing w:after="0"/>
              <w:rPr>
                <w:sz w:val="16"/>
                <w:szCs w:val="16"/>
                <w:color w:val="auto"/>
              </w:rPr>
            </w:pPr>
          </w:p>
        </w:tc>
        <w:tc>
          <w:tcPr>
            <w:tcW w:w="60" w:type="dxa"/>
            <w:vAlign w:val="bottom"/>
            <w:tcBorders>
              <w:top w:val="single" w:sz="8" w:color="001987"/>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gridSpan w:val="4"/>
          </w:tcPr>
          <w:p>
            <w:pPr>
              <w:ind w:left="160"/>
              <w:spacing w:after="0" w:line="192" w:lineRule="exact"/>
              <w:rPr>
                <w:sz w:val="20"/>
                <w:szCs w:val="20"/>
                <w:color w:val="auto"/>
              </w:rPr>
            </w:pPr>
            <w:r>
              <w:rPr>
                <w:rFonts w:ascii="Times New Roman" w:cs="Times New Roman" w:eastAsia="Times New Roman" w:hAnsi="Times New Roman"/>
                <w:sz w:val="20"/>
                <w:szCs w:val="20"/>
                <w:color w:val="auto"/>
              </w:rPr>
              <w:t>MATTERS AND ISSUER PURCHASES OF EQUITY SECURITIES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001987"/>
              </w:rPr>
              <w:t>ITEM 6.</w:t>
            </w: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[RESERVED]</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001987"/>
            </w:tcBorders>
            <w:gridSpan w:val="3"/>
          </w:tcPr>
          <w:p>
            <w:pPr>
              <w:spacing w:after="0" w:line="210" w:lineRule="exact"/>
              <w:rPr>
                <w:sz w:val="20"/>
                <w:szCs w:val="20"/>
                <w:color w:val="auto"/>
              </w:rPr>
            </w:pPr>
            <w:r>
              <w:rPr>
                <w:rFonts w:ascii="Times New Roman" w:cs="Times New Roman" w:eastAsia="Times New Roman" w:hAnsi="Times New Roman"/>
                <w:sz w:val="20"/>
                <w:szCs w:val="20"/>
                <w:color w:val="001987"/>
                <w:w w:val="98"/>
              </w:rPr>
              <w:t>ITEM 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MANAGEMENT DISCUSSION AND ANALYSIS OF FINANCIAL CONDITION AND</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001987"/>
            </w:tcBorders>
          </w:tcPr>
          <w:p>
            <w:pPr>
              <w:spacing w:after="0"/>
              <w:rPr>
                <w:sz w:val="18"/>
                <w:szCs w:val="18"/>
                <w:color w:val="auto"/>
              </w:rPr>
            </w:pPr>
          </w:p>
        </w:tc>
        <w:tc>
          <w:tcPr>
            <w:tcW w:w="60" w:type="dxa"/>
            <w:vAlign w:val="bottom"/>
            <w:tcBorders>
              <w:top w:val="single" w:sz="8" w:color="001987"/>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6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20"/>
                <w:szCs w:val="20"/>
                <w:color w:val="auto"/>
              </w:rPr>
              <w:t>RESULTS OF OPERATIONS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001987"/>
            </w:tcBorders>
            <w:gridSpan w:val="8"/>
          </w:tcPr>
          <w:p>
            <w:pPr>
              <w:spacing w:after="0" w:line="228" w:lineRule="exact"/>
              <w:rPr>
                <w:sz w:val="20"/>
                <w:szCs w:val="20"/>
                <w:color w:val="auto"/>
              </w:rPr>
            </w:pPr>
            <w:r>
              <w:rPr>
                <w:rFonts w:ascii="Times New Roman" w:cs="Times New Roman" w:eastAsia="Times New Roman" w:hAnsi="Times New Roman"/>
                <w:sz w:val="20"/>
                <w:szCs w:val="20"/>
                <w:color w:val="001987"/>
              </w:rPr>
              <w:t>ITEM 7A.</w:t>
            </w: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8"/>
          </w:tcPr>
          <w:p>
            <w:pPr>
              <w:spacing w:after="0" w:line="210" w:lineRule="exact"/>
              <w:rPr>
                <w:sz w:val="20"/>
                <w:szCs w:val="20"/>
                <w:color w:val="auto"/>
              </w:rPr>
            </w:pPr>
            <w:r>
              <w:rPr>
                <w:rFonts w:ascii="Times New Roman" w:cs="Times New Roman" w:eastAsia="Times New Roman" w:hAnsi="Times New Roman"/>
                <w:sz w:val="20"/>
                <w:szCs w:val="20"/>
                <w:color w:val="001987"/>
              </w:rPr>
              <w:t>ITEM 8.</w:t>
            </w: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001987"/>
            </w:tcBorders>
            <w:gridSpan w:val="3"/>
          </w:tcPr>
          <w:p>
            <w:pPr>
              <w:spacing w:after="0" w:line="210" w:lineRule="exact"/>
              <w:rPr>
                <w:sz w:val="20"/>
                <w:szCs w:val="20"/>
                <w:color w:val="auto"/>
              </w:rPr>
            </w:pPr>
            <w:r>
              <w:rPr>
                <w:rFonts w:ascii="Times New Roman" w:cs="Times New Roman" w:eastAsia="Times New Roman" w:hAnsi="Times New Roman"/>
                <w:sz w:val="20"/>
                <w:szCs w:val="20"/>
                <w:color w:val="001987"/>
                <w:w w:val="98"/>
              </w:rPr>
              <w:t>ITEM 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CHANGES IN AND DISAGREEMENTS WITH ACCOUNTANTS ON ACCOUNTING AND</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001987"/>
            </w:tcBorders>
          </w:tcPr>
          <w:p>
            <w:pPr>
              <w:spacing w:after="0"/>
              <w:rPr>
                <w:sz w:val="18"/>
                <w:szCs w:val="18"/>
                <w:color w:val="auto"/>
              </w:rPr>
            </w:pPr>
          </w:p>
        </w:tc>
        <w:tc>
          <w:tcPr>
            <w:tcW w:w="60" w:type="dxa"/>
            <w:vAlign w:val="bottom"/>
            <w:tcBorders>
              <w:top w:val="single" w:sz="8" w:color="001987"/>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6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20"/>
                <w:szCs w:val="20"/>
                <w:color w:val="auto"/>
              </w:rPr>
              <w:t>FINANCIAL DISCLOSURE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001987"/>
            </w:tcBorders>
            <w:gridSpan w:val="8"/>
          </w:tcPr>
          <w:p>
            <w:pPr>
              <w:spacing w:after="0" w:line="228" w:lineRule="exact"/>
              <w:rPr>
                <w:sz w:val="20"/>
                <w:szCs w:val="20"/>
                <w:color w:val="auto"/>
              </w:rPr>
            </w:pPr>
            <w:r>
              <w:rPr>
                <w:rFonts w:ascii="Times New Roman" w:cs="Times New Roman" w:eastAsia="Times New Roman" w:hAnsi="Times New Roman"/>
                <w:sz w:val="20"/>
                <w:szCs w:val="20"/>
                <w:color w:val="001987"/>
              </w:rPr>
              <w:t>ITEM 9A.</w:t>
            </w: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CONTROLS AND PROCEDURES</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8"/>
          </w:tcPr>
          <w:p>
            <w:pPr>
              <w:spacing w:after="0" w:line="210" w:lineRule="exact"/>
              <w:rPr>
                <w:sz w:val="20"/>
                <w:szCs w:val="20"/>
                <w:color w:val="auto"/>
              </w:rPr>
            </w:pPr>
            <w:r>
              <w:rPr>
                <w:rFonts w:ascii="Times New Roman" w:cs="Times New Roman" w:eastAsia="Times New Roman" w:hAnsi="Times New Roman"/>
                <w:sz w:val="20"/>
                <w:szCs w:val="20"/>
                <w:color w:val="001987"/>
              </w:rPr>
              <w:t>ITEM 9B.</w:t>
            </w: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OTHER INFORMATION</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001987"/>
              <w:bottom w:val="single" w:sz="8" w:color="001987"/>
            </w:tcBorders>
            <w:gridSpan w:val="6"/>
          </w:tcPr>
          <w:p>
            <w:pPr>
              <w:spacing w:after="0" w:line="210" w:lineRule="exact"/>
              <w:rPr>
                <w:sz w:val="20"/>
                <w:szCs w:val="20"/>
                <w:color w:val="auto"/>
              </w:rPr>
            </w:pPr>
            <w:r>
              <w:rPr>
                <w:rFonts w:ascii="Times New Roman" w:cs="Times New Roman" w:eastAsia="Times New Roman" w:hAnsi="Times New Roman"/>
                <w:sz w:val="20"/>
                <w:szCs w:val="20"/>
                <w:color w:val="001987"/>
                <w:w w:val="97"/>
              </w:rPr>
              <w:t>ITEM 9C.</w:t>
            </w:r>
          </w:p>
        </w:tc>
        <w:tc>
          <w:tcPr>
            <w:tcW w:w="20" w:type="dxa"/>
            <w:vAlign w:val="bottom"/>
            <w:tcBorders>
              <w:top w:val="single" w:sz="8" w:color="001987"/>
            </w:tcBorders>
          </w:tcPr>
          <w:p>
            <w:pPr>
              <w:spacing w:after="0"/>
              <w:rPr>
                <w:sz w:val="18"/>
                <w:szCs w:val="18"/>
                <w:color w:val="auto"/>
              </w:rPr>
            </w:pPr>
          </w:p>
        </w:tc>
        <w:tc>
          <w:tcPr>
            <w:tcW w:w="20" w:type="dxa"/>
            <w:vAlign w:val="bottom"/>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48"/>
        </w:trPr>
        <w:tc>
          <w:tcPr>
            <w:tcW w:w="8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PART III</w:t>
            </w:r>
          </w:p>
        </w:tc>
        <w:tc>
          <w:tcPr>
            <w:tcW w:w="8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1987"/>
              </w:rPr>
              <w:t>ITEM 10.</w:t>
            </w:r>
          </w:p>
        </w:tc>
        <w:tc>
          <w:tcPr>
            <w:tcW w:w="8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8"/>
            <w:vMerge w:val="continue"/>
          </w:tcPr>
          <w:p>
            <w:pPr>
              <w:spacing w:after="0"/>
              <w:rPr>
                <w:sz w:val="16"/>
                <w:szCs w:val="16"/>
                <w:color w:val="auto"/>
              </w:rPr>
            </w:pPr>
          </w:p>
        </w:tc>
        <w:tc>
          <w:tcPr>
            <w:tcW w:w="826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001987"/>
              <w:bottom w:val="single" w:sz="8" w:color="001987"/>
            </w:tcBorders>
            <w:gridSpan w:val="4"/>
          </w:tcPr>
          <w:p>
            <w:pPr>
              <w:spacing w:after="0" w:line="210" w:lineRule="exact"/>
              <w:rPr>
                <w:sz w:val="20"/>
                <w:szCs w:val="20"/>
                <w:color w:val="auto"/>
              </w:rPr>
            </w:pPr>
            <w:r>
              <w:rPr>
                <w:rFonts w:ascii="Times New Roman" w:cs="Times New Roman" w:eastAsia="Times New Roman" w:hAnsi="Times New Roman"/>
                <w:sz w:val="20"/>
                <w:szCs w:val="20"/>
                <w:color w:val="001987"/>
                <w:w w:val="96"/>
              </w:rPr>
              <w:t>ITEM 11.</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EXECUTIVE COMPENSATION</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001987"/>
            </w:tcBorders>
            <w:gridSpan w:val="4"/>
          </w:tcPr>
          <w:p>
            <w:pPr>
              <w:spacing w:after="0" w:line="210" w:lineRule="exact"/>
              <w:rPr>
                <w:sz w:val="20"/>
                <w:szCs w:val="20"/>
                <w:color w:val="auto"/>
              </w:rPr>
            </w:pPr>
            <w:r>
              <w:rPr>
                <w:rFonts w:ascii="Times New Roman" w:cs="Times New Roman" w:eastAsia="Times New Roman" w:hAnsi="Times New Roman"/>
                <w:sz w:val="20"/>
                <w:szCs w:val="20"/>
                <w:color w:val="001987"/>
                <w:w w:val="96"/>
              </w:rPr>
              <w:t>ITEM 12.</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SECURITY OWNERSHIP OF CERTAIN BENEFICIAL OWNERS AND MANAGEMENT AND</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6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20"/>
                <w:szCs w:val="20"/>
                <w:color w:val="auto"/>
              </w:rPr>
              <w:t>RELATED STOCKHOLDER MATTERS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001987"/>
              </w:rPr>
              <w:t>ITEM 13.</w:t>
            </w: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CERTAIN RELATIONSHIPS AND RELATED TRANSACTIONS, AND DIRECTOR</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top w:val="single" w:sz="8" w:color="001987"/>
            </w:tcBorders>
          </w:tcPr>
          <w:p>
            <w:pPr>
              <w:spacing w:after="0"/>
              <w:rPr>
                <w:sz w:val="18"/>
                <w:szCs w:val="18"/>
                <w:color w:val="auto"/>
              </w:rPr>
            </w:pPr>
          </w:p>
        </w:tc>
        <w:tc>
          <w:tcPr>
            <w:tcW w:w="60" w:type="dxa"/>
            <w:vAlign w:val="bottom"/>
            <w:tcBorders>
              <w:top w:val="single" w:sz="8" w:color="001987"/>
            </w:tcBorders>
          </w:tcPr>
          <w:p>
            <w:pPr>
              <w:spacing w:after="0"/>
              <w:rPr>
                <w:sz w:val="18"/>
                <w:szCs w:val="18"/>
                <w:color w:val="auto"/>
              </w:rPr>
            </w:pPr>
          </w:p>
        </w:tc>
        <w:tc>
          <w:tcPr>
            <w:tcW w:w="20" w:type="dxa"/>
            <w:vAlign w:val="bottom"/>
            <w:tcBorders>
              <w:top w:val="single" w:sz="8" w:color="001987"/>
            </w:tcBorders>
          </w:tcPr>
          <w:p>
            <w:pPr>
              <w:spacing w:after="0"/>
              <w:rPr>
                <w:sz w:val="18"/>
                <w:szCs w:val="18"/>
                <w:color w:val="auto"/>
              </w:rPr>
            </w:pPr>
          </w:p>
        </w:tc>
        <w:tc>
          <w:tcPr>
            <w:tcW w:w="80" w:type="dxa"/>
            <w:vAlign w:val="bottom"/>
            <w:tcBorders>
              <w:top w:val="single" w:sz="8" w:color="001987"/>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6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20"/>
                <w:szCs w:val="20"/>
                <w:color w:val="auto"/>
              </w:rPr>
              <w:t>INDEPENDENCE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8"/>
          </w:tcPr>
          <w:p>
            <w:pPr>
              <w:spacing w:after="0" w:line="228" w:lineRule="exact"/>
              <w:rPr>
                <w:sz w:val="20"/>
                <w:szCs w:val="20"/>
                <w:color w:val="auto"/>
              </w:rPr>
            </w:pPr>
            <w:r>
              <w:rPr>
                <w:rFonts w:ascii="Times New Roman" w:cs="Times New Roman" w:eastAsia="Times New Roman" w:hAnsi="Times New Roman"/>
                <w:sz w:val="20"/>
                <w:szCs w:val="20"/>
                <w:color w:val="001987"/>
              </w:rPr>
              <w:t>ITEM 14.</w:t>
            </w:r>
          </w:p>
        </w:tc>
        <w:tc>
          <w:tcPr>
            <w:tcW w:w="8260" w:type="dxa"/>
            <w:vAlign w:val="bottom"/>
            <w:gridSpan w:val="4"/>
          </w:tcPr>
          <w:p>
            <w:pPr>
              <w:ind w:left="160"/>
              <w:spacing w:after="0" w:line="228" w:lineRule="exact"/>
              <w:rPr>
                <w:sz w:val="20"/>
                <w:szCs w:val="20"/>
                <w:color w:val="auto"/>
              </w:rPr>
            </w:pPr>
            <w:r>
              <w:rPr>
                <w:rFonts w:ascii="Times New Roman" w:cs="Times New Roman" w:eastAsia="Times New Roman" w:hAnsi="Times New Roman"/>
                <w:sz w:val="20"/>
                <w:szCs w:val="20"/>
                <w:color w:val="auto"/>
              </w:rPr>
              <w:t>PRINCIPAL ACCOUNTING FEES AND SERVICES</w:t>
            </w: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PART IV</w:t>
            </w:r>
          </w:p>
        </w:tc>
        <w:tc>
          <w:tcPr>
            <w:tcW w:w="620" w:type="dxa"/>
            <w:vAlign w:val="bottom"/>
            <w:shd w:val="clear" w:color="auto" w:fill="001987"/>
          </w:tcPr>
          <w:p>
            <w:pPr>
              <w:spacing w:after="0" w:line="20" w:lineRule="exact"/>
              <w:rPr>
                <w:sz w:val="1"/>
                <w:szCs w:val="1"/>
                <w:color w:val="auto"/>
              </w:rPr>
            </w:pPr>
          </w:p>
        </w:tc>
        <w:tc>
          <w:tcPr>
            <w:tcW w:w="160" w:type="dxa"/>
            <w:vAlign w:val="bottom"/>
            <w:gridSpan w:val="3"/>
            <w:shd w:val="clear" w:color="auto" w:fill="00198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80" w:type="dxa"/>
            <w:vAlign w:val="bottom"/>
            <w:gridSpan w:val="2"/>
            <w:vMerge w:val="continue"/>
          </w:tcPr>
          <w:p>
            <w:pPr>
              <w:spacing w:after="0"/>
              <w:rPr>
                <w:sz w:val="21"/>
                <w:szCs w:val="21"/>
                <w:color w:val="auto"/>
              </w:rPr>
            </w:pPr>
          </w:p>
        </w:tc>
        <w:tc>
          <w:tcPr>
            <w:tcW w:w="86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1987"/>
              </w:rPr>
              <w:t>ITEM 15.</w:t>
            </w:r>
          </w:p>
        </w:tc>
        <w:tc>
          <w:tcPr>
            <w:tcW w:w="8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8"/>
            <w:vMerge w:val="continue"/>
          </w:tcPr>
          <w:p>
            <w:pPr>
              <w:spacing w:after="0"/>
              <w:rPr>
                <w:sz w:val="16"/>
                <w:szCs w:val="16"/>
                <w:color w:val="auto"/>
              </w:rPr>
            </w:pPr>
          </w:p>
        </w:tc>
        <w:tc>
          <w:tcPr>
            <w:tcW w:w="8260" w:type="dxa"/>
            <w:vAlign w:val="bottom"/>
            <w:gridSpan w:val="4"/>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001987"/>
              <w:bottom w:val="single" w:sz="8" w:color="001987"/>
            </w:tcBorders>
            <w:gridSpan w:val="4"/>
          </w:tcPr>
          <w:p>
            <w:pPr>
              <w:spacing w:after="0" w:line="210" w:lineRule="exact"/>
              <w:rPr>
                <w:sz w:val="20"/>
                <w:szCs w:val="20"/>
                <w:color w:val="auto"/>
              </w:rPr>
            </w:pPr>
            <w:r>
              <w:rPr>
                <w:rFonts w:ascii="Times New Roman" w:cs="Times New Roman" w:eastAsia="Times New Roman" w:hAnsi="Times New Roman"/>
                <w:sz w:val="20"/>
                <w:szCs w:val="20"/>
                <w:color w:val="001987"/>
                <w:w w:val="96"/>
              </w:rPr>
              <w:t>ITEM 16.</w:t>
            </w: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260" w:type="dxa"/>
            <w:vAlign w:val="bottom"/>
            <w:gridSpan w:val="4"/>
          </w:tcPr>
          <w:p>
            <w:pPr>
              <w:ind w:left="160"/>
              <w:spacing w:after="0" w:line="210" w:lineRule="exact"/>
              <w:rPr>
                <w:sz w:val="20"/>
                <w:szCs w:val="20"/>
                <w:color w:val="auto"/>
              </w:rPr>
            </w:pPr>
            <w:r>
              <w:rPr>
                <w:rFonts w:ascii="Times New Roman" w:cs="Times New Roman" w:eastAsia="Times New Roman" w:hAnsi="Times New Roman"/>
                <w:sz w:val="20"/>
                <w:szCs w:val="20"/>
                <w:color w:val="auto"/>
              </w:rPr>
              <w:t>FORM 10-K SUMMARY</w:t>
            </w: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spacing w:after="0" w:line="211" w:lineRule="exact"/>
              <w:rPr>
                <w:sz w:val="20"/>
                <w:szCs w:val="20"/>
                <w:color w:val="auto"/>
              </w:rPr>
            </w:pPr>
            <w:r>
              <w:rPr>
                <w:rFonts w:ascii="Times New Roman" w:cs="Times New Roman" w:eastAsia="Times New Roman" w:hAnsi="Times New Roman"/>
                <w:sz w:val="20"/>
                <w:szCs w:val="20"/>
                <w:color w:val="001987"/>
              </w:rPr>
              <w:t>Index to</w:t>
            </w:r>
          </w:p>
        </w:tc>
        <w:tc>
          <w:tcPr>
            <w:tcW w:w="8340" w:type="dxa"/>
            <w:vAlign w:val="bottom"/>
            <w:gridSpan w:val="8"/>
          </w:tcPr>
          <w:p>
            <w:pPr>
              <w:spacing w:after="0" w:line="211" w:lineRule="exact"/>
              <w:rPr>
                <w:sz w:val="20"/>
                <w:szCs w:val="20"/>
                <w:color w:val="auto"/>
              </w:rPr>
            </w:pPr>
            <w:r>
              <w:rPr>
                <w:rFonts w:ascii="Times New Roman" w:cs="Times New Roman" w:eastAsia="Times New Roman" w:hAnsi="Times New Roman"/>
                <w:sz w:val="20"/>
                <w:szCs w:val="20"/>
                <w:color w:val="001987"/>
              </w:rPr>
              <w:t>Financial Statements</w:t>
            </w:r>
          </w:p>
        </w:tc>
        <w:tc>
          <w:tcPr>
            <w:tcW w:w="78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920" w:type="dxa"/>
            <w:vAlign w:val="bottom"/>
            <w:tcBorders>
              <w:top w:val="single" w:sz="8" w:color="001987"/>
            </w:tcBorders>
            <w:gridSpan w:val="9"/>
          </w:tcPr>
          <w:p>
            <w:pPr>
              <w:spacing w:after="0" w:line="208" w:lineRule="exact"/>
              <w:rPr>
                <w:sz w:val="20"/>
                <w:szCs w:val="20"/>
                <w:color w:val="auto"/>
              </w:rPr>
            </w:pPr>
            <w:r>
              <w:rPr>
                <w:rFonts w:ascii="Times New Roman" w:cs="Times New Roman" w:eastAsia="Times New Roman" w:hAnsi="Times New Roman"/>
                <w:sz w:val="20"/>
                <w:szCs w:val="20"/>
                <w:color w:val="001987"/>
              </w:rPr>
              <w:t>Exhibits</w:t>
            </w:r>
          </w:p>
        </w:tc>
        <w:tc>
          <w:tcPr>
            <w:tcW w:w="1480" w:type="dxa"/>
            <w:vAlign w:val="bottom"/>
            <w:tcBorders>
              <w:top w:val="single" w:sz="8" w:color="001987"/>
            </w:tcBorders>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E-1</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680" w:type="dxa"/>
            <w:vAlign w:val="bottom"/>
            <w:tcBorders>
              <w:top w:val="single" w:sz="8" w:color="001987"/>
              <w:bottom w:val="single" w:sz="8" w:color="001987"/>
            </w:tcBorders>
            <w:gridSpan w:val="2"/>
          </w:tcPr>
          <w:p>
            <w:pPr>
              <w:spacing w:after="0" w:line="210" w:lineRule="exact"/>
              <w:rPr>
                <w:sz w:val="20"/>
                <w:szCs w:val="20"/>
                <w:color w:val="auto"/>
              </w:rPr>
            </w:pPr>
            <w:r>
              <w:rPr>
                <w:rFonts w:ascii="Times New Roman" w:cs="Times New Roman" w:eastAsia="Times New Roman" w:hAnsi="Times New Roman"/>
                <w:sz w:val="20"/>
                <w:szCs w:val="20"/>
                <w:color w:val="001987"/>
                <w:w w:val="78"/>
              </w:rPr>
              <w:t>Signatures</w:t>
            </w:r>
          </w:p>
        </w:tc>
        <w:tc>
          <w:tcPr>
            <w:tcW w:w="180" w:type="dxa"/>
            <w:vAlign w:val="bottom"/>
            <w:tcBorders>
              <w:bottom w:val="single" w:sz="8" w:color="001987"/>
            </w:tcBorders>
            <w:gridSpan w:val="4"/>
          </w:tcPr>
          <w:p>
            <w:pPr>
              <w:spacing w:after="0"/>
              <w:rPr>
                <w:sz w:val="18"/>
                <w:szCs w:val="18"/>
                <w:color w:val="auto"/>
              </w:rPr>
            </w:pPr>
          </w:p>
        </w:tc>
        <w:tc>
          <w:tcPr>
            <w:tcW w:w="60" w:type="dxa"/>
            <w:vAlign w:val="bottom"/>
            <w:gridSpan w:val="3"/>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S-1</w:t>
            </w:r>
          </w:p>
        </w:tc>
        <w:tc>
          <w:tcPr>
            <w:tcW w:w="0" w:type="dxa"/>
            <w:vAlign w:val="bottom"/>
          </w:tcPr>
          <w:p>
            <w:pPr>
              <w:spacing w:after="0"/>
              <w:rPr>
                <w:sz w:val="1"/>
                <w:szCs w:val="1"/>
                <w:color w:val="auto"/>
              </w:rPr>
            </w:pPr>
          </w:p>
        </w:tc>
      </w:tr>
      <w:tr>
        <w:trPr>
          <w:trHeight w:val="211"/>
        </w:trPr>
        <w:tc>
          <w:tcPr>
            <w:tcW w:w="820" w:type="dxa"/>
            <w:vAlign w:val="bottom"/>
          </w:tcPr>
          <w:p>
            <w:pPr>
              <w:spacing w:after="0"/>
              <w:rPr>
                <w:sz w:val="18"/>
                <w:szCs w:val="18"/>
                <w:color w:val="auto"/>
              </w:rPr>
            </w:pPr>
          </w:p>
        </w:tc>
        <w:tc>
          <w:tcPr>
            <w:tcW w:w="860" w:type="dxa"/>
            <w:vAlign w:val="bottom"/>
            <w:tcBorders>
              <w:bottom w:val="single" w:sz="8" w:color="001987"/>
            </w:tcBorders>
            <w:gridSpan w:val="6"/>
          </w:tcPr>
          <w:p>
            <w:pPr>
              <w:spacing w:after="0" w:line="210" w:lineRule="exact"/>
              <w:rPr>
                <w:sz w:val="20"/>
                <w:szCs w:val="20"/>
                <w:color w:val="auto"/>
              </w:rPr>
            </w:pPr>
            <w:r>
              <w:rPr>
                <w:rFonts w:ascii="Times New Roman" w:cs="Times New Roman" w:eastAsia="Times New Roman" w:hAnsi="Times New Roman"/>
                <w:sz w:val="20"/>
                <w:szCs w:val="20"/>
                <w:color w:val="001987"/>
                <w:w w:val="79"/>
              </w:rPr>
              <w:t>Consolidated</w:t>
            </w:r>
          </w:p>
        </w:tc>
        <w:tc>
          <w:tcPr>
            <w:tcW w:w="2780" w:type="dxa"/>
            <w:vAlign w:val="bottom"/>
            <w:tcBorders>
              <w:bottom w:val="single" w:sz="8" w:color="001987"/>
            </w:tcBorders>
            <w:gridSpan w:val="5"/>
          </w:tcPr>
          <w:p>
            <w:pPr>
              <w:ind w:left="260"/>
              <w:spacing w:after="0" w:line="210" w:lineRule="exact"/>
              <w:rPr>
                <w:sz w:val="20"/>
                <w:szCs w:val="20"/>
                <w:color w:val="auto"/>
              </w:rPr>
            </w:pPr>
            <w:r>
              <w:rPr>
                <w:rFonts w:ascii="Times New Roman" w:cs="Times New Roman" w:eastAsia="Times New Roman" w:hAnsi="Times New Roman"/>
                <w:sz w:val="20"/>
                <w:szCs w:val="20"/>
                <w:color w:val="001987"/>
                <w:w w:val="98"/>
              </w:rPr>
              <w:t>Financial Statements and Notes</w:t>
            </w:r>
          </w:p>
        </w:tc>
        <w:tc>
          <w:tcPr>
            <w:tcW w:w="5540" w:type="dxa"/>
            <w:vAlign w:val="bottom"/>
            <w:gridSpan w:val="2"/>
          </w:tcPr>
          <w:p>
            <w:pPr>
              <w:spacing w:after="0"/>
              <w:rPr>
                <w:sz w:val="18"/>
                <w:szCs w:val="18"/>
                <w:color w:val="auto"/>
              </w:rPr>
            </w:pP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4700" w:type="dxa"/>
            <w:vAlign w:val="bottom"/>
            <w:tcBorders>
              <w:bottom w:val="single" w:sz="8" w:color="001987"/>
            </w:tcBorders>
            <w:gridSpan w:val="12"/>
          </w:tcPr>
          <w:p>
            <w:pPr>
              <w:spacing w:after="0" w:line="210" w:lineRule="exact"/>
              <w:rPr>
                <w:sz w:val="20"/>
                <w:szCs w:val="20"/>
                <w:color w:val="auto"/>
              </w:rPr>
            </w:pPr>
            <w:r>
              <w:rPr>
                <w:rFonts w:ascii="Times New Roman" w:cs="Times New Roman" w:eastAsia="Times New Roman" w:hAnsi="Times New Roman"/>
                <w:sz w:val="20"/>
                <w:szCs w:val="20"/>
                <w:color w:val="001987"/>
                <w:w w:val="99"/>
              </w:rPr>
              <w:t>Report of Independent Registered Public Accounting Firm</w:t>
            </w:r>
          </w:p>
        </w:tc>
        <w:tc>
          <w:tcPr>
            <w:tcW w:w="4480" w:type="dxa"/>
            <w:vAlign w:val="bottom"/>
          </w:tcPr>
          <w:p>
            <w:pPr>
              <w:spacing w:after="0"/>
              <w:rPr>
                <w:sz w:val="18"/>
                <w:szCs w:val="18"/>
                <w:color w:val="auto"/>
              </w:rPr>
            </w:pPr>
          </w:p>
        </w:tc>
        <w:tc>
          <w:tcPr>
            <w:tcW w:w="78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F-45</w:t>
            </w:r>
          </w:p>
        </w:tc>
        <w:tc>
          <w:tcPr>
            <w:tcW w:w="0" w:type="dxa"/>
            <w:vAlign w:val="bottom"/>
          </w:tcPr>
          <w:p>
            <w:pPr>
              <w:spacing w:after="0"/>
              <w:rPr>
                <w:sz w:val="1"/>
                <w:szCs w:val="1"/>
                <w:color w:val="auto"/>
              </w:rPr>
            </w:pPr>
          </w:p>
        </w:tc>
      </w:tr>
    </w:tbl>
    <w:p>
      <w:pPr>
        <w:sectPr>
          <w:pgSz w:w="12240" w:h="15840" w:orient="portrait"/>
          <w:cols w:equalWidth="0" w:num="1">
            <w:col w:w="10780"/>
          </w:cols>
          <w:pgMar w:left="760" w:top="926" w:right="70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Use of Names</w:t>
      </w:r>
    </w:p>
    <w:p>
      <w:pPr>
        <w:spacing w:after="0" w:line="124"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In this Annual Report on Form 10-K, unless the context otherwise requires, the terms “we,” “us,” “our,” “Company,” “Corporation” or “Green Thumb” refer to Green Thumb Industries Inc. together with its wholly-owned subsidiaries.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Currency</w:t>
      </w:r>
    </w:p>
    <w:p>
      <w:pPr>
        <w:spacing w:after="0" w:line="124" w:lineRule="exact"/>
        <w:rPr>
          <w:sz w:val="20"/>
          <w:szCs w:val="20"/>
          <w:color w:val="auto"/>
        </w:rPr>
      </w:pPr>
    </w:p>
    <w:p>
      <w:pPr>
        <w:ind w:right="40" w:firstLine="720"/>
        <w:spacing w:after="0" w:line="277" w:lineRule="auto"/>
        <w:rPr>
          <w:sz w:val="20"/>
          <w:szCs w:val="20"/>
          <w:color w:val="auto"/>
        </w:rPr>
      </w:pPr>
      <w:r>
        <w:rPr>
          <w:rFonts w:ascii="Times New Roman" w:cs="Times New Roman" w:eastAsia="Times New Roman" w:hAnsi="Times New Roman"/>
          <w:sz w:val="20"/>
          <w:szCs w:val="20"/>
          <w:color w:val="auto"/>
        </w:rPr>
        <w:t>Unless otherwise indicated, all references to “$” or “US$” in this document refer to United States dollars, and all references to “C$” refer to Canadian dollars.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Regarding Forward-Looking Statements</w:t>
      </w:r>
    </w:p>
    <w:p>
      <w:pPr>
        <w:spacing w:after="0" w:line="126"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i w:val="1"/>
          <w:iCs w:val="1"/>
          <w:color w:val="auto"/>
        </w:rPr>
        <w:t>This Annual Report on Form 10-K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“potential,” “anticipate,” “risk,”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ectPr>
          <w:pgSz w:w="12240" w:h="15840" w:orient="portrait"/>
          <w:cols w:equalWidth="0" w:num="1">
            <w:col w:w="10660"/>
          </w:cols>
          <w:pgMar w:left="720" w:top="926" w:right="8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660"/>
          </w:cols>
          <w:pgMar w:left="720" w:top="926" w:right="860" w:bottom="175"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w:t>
        <w:tab/>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w:t>
      </w:r>
    </w:p>
    <w:p>
      <w:pPr>
        <w:spacing w:after="0" w:line="234" w:lineRule="exact"/>
        <w:rPr>
          <w:sz w:val="20"/>
          <w:szCs w:val="20"/>
          <w:color w:val="auto"/>
        </w:rPr>
      </w:pPr>
    </w:p>
    <w:p>
      <w:pPr>
        <w:ind w:right="280" w:firstLine="720"/>
        <w:spacing w:after="0" w:line="252" w:lineRule="auto"/>
        <w:rPr>
          <w:sz w:val="20"/>
          <w:szCs w:val="20"/>
          <w:color w:val="auto"/>
        </w:rPr>
      </w:pPr>
      <w:r>
        <w:rPr>
          <w:rFonts w:ascii="Times New Roman" w:cs="Times New Roman" w:eastAsia="Times New Roman" w:hAnsi="Times New Roman"/>
          <w:sz w:val="20"/>
          <w:szCs w:val="20"/>
          <w:color w:val="auto"/>
        </w:rPr>
        <w:t>Green Thumb Industries Inc. is a reporting issuer in the United States and Canada and the Company’s Subordinate Voting Shares (as hereinafter defined) are listed for trading on the Canadian Securities Exchange (“CSE”) under the symbol “GTII.” The Company’s Subordinate Voting Shares are also traded in the United States on the OTCQX Best Market (the “OTCQX”) under the symbol “GTBIF.”</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Originally founded in 2014, Green Thumb began operations in 2015 upon the award of a medical marijuana license for cultivation/processing and retail sale of cannabis in Illinois. The Company has since expanded its operational footprint to fourteen U.S. markets, including California, Connecticut, Florida, Illinois, Maryland, Massachusetts, Minnesota, Nevada, New Jersey, New York, Ohio, Pennsylvania, Rhode Island and Virginia. Currently, Green Thumb owns, manufactures, and distributes a portfolio of cannabis consumer packaged goods brands (which we refer to as our Consumer Packaged Goods business), including &amp;Shine, Beboe, Dogwalkers, Doctor Solomon’s, Good Green, incredibles and RYTHM, to third-party retail stores across the United States as well as to Green Thumb owned retail stores. The Company also owns and operates retail cannabis stores that include a national chain called RISE Dispensaries, as well as retail stores operating under other names (which we refer to as our Retail business). Our retail stores sell a combination of our products and third-party products.</w:t>
      </w:r>
    </w:p>
    <w:p>
      <w:pPr>
        <w:spacing w:after="0" w:line="195" w:lineRule="exact"/>
        <w:rPr>
          <w:sz w:val="20"/>
          <w:szCs w:val="20"/>
          <w:color w:val="auto"/>
        </w:rPr>
      </w:pPr>
    </w:p>
    <w:p>
      <w:pPr>
        <w:ind w:right="160" w:firstLine="720"/>
        <w:spacing w:after="0" w:line="247" w:lineRule="auto"/>
        <w:rPr>
          <w:sz w:val="20"/>
          <w:szCs w:val="20"/>
          <w:color w:val="auto"/>
        </w:rPr>
      </w:pPr>
      <w:r>
        <w:rPr>
          <w:rFonts w:ascii="Times New Roman" w:cs="Times New Roman" w:eastAsia="Times New Roman" w:hAnsi="Times New Roman"/>
          <w:sz w:val="20"/>
          <w:szCs w:val="20"/>
          <w:color w:val="auto"/>
        </w:rPr>
        <w:t>The Company, through its subsidiaries, owns state-licensed medical and/or adult-use cannabis businesses in California, Connecticut, Florida, Illinois, Maryland, Massachusetts, Minnesota, Nevada, New Jersey, New York, Ohio, Pennsylvania, Rhode Island and Virginia. The following organizational chart describes the organizational structure of the Company as of December 31, 2024. See Exhibit 21.1 to this document for a list of significant subsidiaries of the Company. All lines represent 100% ownership of outstanding securities of the applicable subsidiary unless otherwise noted in Exhibit 21.1. In part, the complexity of our organization structure is due to state licensing requirements that mandate that we maintain the corporate identity of our operating license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858000" cy="385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820"/>
        <w:spacing w:after="0" w:line="225" w:lineRule="auto"/>
        <w:rPr>
          <w:sz w:val="20"/>
          <w:szCs w:val="20"/>
          <w:color w:val="auto"/>
        </w:rPr>
      </w:pPr>
      <w:r>
        <w:rPr>
          <w:rFonts w:ascii="Times New Roman" w:cs="Times New Roman" w:eastAsia="Times New Roman" w:hAnsi="Times New Roman"/>
          <w:sz w:val="20"/>
          <w:szCs w:val="20"/>
          <w:color w:val="auto"/>
        </w:rPr>
        <w:t>The registered office of the Company is located at 250 Howe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Vancouver, British Columbia V6C 3R8. The headquarters is located at 325 W. Huron Street, Suite 700, Chicago, Illinois 60654.</w:t>
      </w:r>
    </w:p>
    <w:p>
      <w:pPr>
        <w:sectPr>
          <w:pgSz w:w="12240" w:h="15840" w:orient="portrait"/>
          <w:cols w:equalWidth="0" w:num="1">
            <w:col w:w="10780"/>
          </w:cols>
          <w:pgMar w:left="720" w:top="949"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780"/>
          </w:cols>
          <w:pgMar w:left="720" w:top="949" w:right="740" w:bottom="175"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History of the Company</w:t>
      </w:r>
    </w:p>
    <w:p>
      <w:pPr>
        <w:spacing w:after="0" w:line="234"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For information on the history of the Company and the development of the business prior to June 13, 2018, the day our Subordinate Voting Shares began trading on the CSE, see the information set forth under the headings “Business – Our History” and “Business – General Development of the Business” in Amendment No. 2 to our Registration Statement on Form S-1 that was filed with the SEC on February 2, 2021 with Registration No. 333-248213.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 Senior Secured Notes</w:t>
      </w:r>
    </w:p>
    <w:p>
      <w:pPr>
        <w:spacing w:after="0" w:line="230"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19"/>
          <w:szCs w:val="19"/>
          <w:color w:val="auto"/>
        </w:rPr>
        <w:t>On April 30, 2021, the Company closed a $216,734 thousand senior secured non-brokered private placement financing through the issuance of senior secured notes (the “April 30, 2021 Notes”) pursuant to the Second Amendment to the Note Purchase Agreement (the “Note Purchase Agreement”). The Company used the proceeds to retire the Company’s existing $105,466 thousand, senior secured notes due May 22, 2023 (the “May 22, 2019 Notes”) and the remaining proceeds for general working capital purposes as well as various growth initiatives. The April 30, 2021 Notes originally had a maturity date of April 30, 2024 and bear interest from the date of issue of 7% per annum, payable quarterly, with an option, at the discretion of the Company, to extend for an additional twelve months. The financing permitted the Company to borrow an additional $33,266 thousand over the next twelve months. The purchasers of the April 30, 2021 Notes also received 1,459,044 warrants (the “Warrants”), which allow the holder to purchase one Subordinate Voting Share of the Company at an exercise price of $32.68 per share, for a period of 60 months from the date of issue.</w:t>
      </w:r>
    </w:p>
    <w:p>
      <w:pPr>
        <w:spacing w:after="0" w:line="178" w:lineRule="exact"/>
        <w:rPr>
          <w:sz w:val="20"/>
          <w:szCs w:val="20"/>
          <w:color w:val="auto"/>
        </w:rPr>
      </w:pPr>
    </w:p>
    <w:p>
      <w:pPr>
        <w:ind w:right="200" w:firstLine="720"/>
        <w:spacing w:after="0" w:line="247" w:lineRule="auto"/>
        <w:rPr>
          <w:sz w:val="20"/>
          <w:szCs w:val="20"/>
          <w:color w:val="auto"/>
        </w:rPr>
      </w:pPr>
      <w:r>
        <w:rPr>
          <w:rFonts w:ascii="Times New Roman" w:cs="Times New Roman" w:eastAsia="Times New Roman" w:hAnsi="Times New Roman"/>
          <w:sz w:val="20"/>
          <w:szCs w:val="20"/>
          <w:color w:val="auto"/>
        </w:rPr>
        <w:t>On October 15, 2021, the Company amended its existing Note Purchase Agreement with the Second Amended Note Purchase Agreement dated April 30, 2021 (the “April 30, 2021 Note Purchase Agreement”), for the purposes of borrowing an additional $33,200 thousand, as permitted under the April 30, 2021 Notes Purchase Agreement (the “Amended Notes”). The additional borrowings have terms consistent with the April 30, 2021 Notes and increased the total amount borrowed to $249,934 thousand. The purchasers of the Amended Notes received an additional 243,303 warrants which allow the holder to purchase one Subordinate Voting Share of the Company at an exercise price of $30.02 per share, for a period of 60 months from the date of issue.</w:t>
      </w:r>
    </w:p>
    <w:p>
      <w:pPr>
        <w:spacing w:after="0" w:line="190" w:lineRule="exact"/>
        <w:rPr>
          <w:sz w:val="20"/>
          <w:szCs w:val="20"/>
          <w:color w:val="auto"/>
        </w:rPr>
      </w:pPr>
    </w:p>
    <w:p>
      <w:pPr>
        <w:ind w:right="220" w:firstLine="720"/>
        <w:spacing w:after="0" w:line="258" w:lineRule="auto"/>
        <w:rPr>
          <w:sz w:val="20"/>
          <w:szCs w:val="20"/>
          <w:color w:val="auto"/>
        </w:rPr>
      </w:pPr>
      <w:r>
        <w:rPr>
          <w:rFonts w:ascii="Times New Roman" w:cs="Times New Roman" w:eastAsia="Times New Roman" w:hAnsi="Times New Roman"/>
          <w:sz w:val="20"/>
          <w:szCs w:val="20"/>
          <w:color w:val="auto"/>
        </w:rPr>
        <w:t>On July 14, 2022, Green Thumb announced it exercised its right to extend the maturity date of the April 30, 2021 Notes by one year from April 30, 2024 to April 30, 2025. The extended maturity date did not involve any amendments to the April 30, 2021 Notes or any additional consideration to the existing lenders.</w:t>
      </w:r>
    </w:p>
    <w:p>
      <w:pPr>
        <w:spacing w:after="0" w:line="178"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From October 19, 2023 through November 30, 2023, the Company repurchased $25,500 thousand of the April 30, 2021 Notes held by unrelated third-party lenders at 95% of their original value. In connection with the repurchase, the Company also wrote off $350 thousand of the associated unamortized debt discount. The April 30, 2021 Notes had an outstanding principal balance of $224,435 thousand and were recorded net of debt discount, the carrying value of which was $2,755 thousand as of December 31, 2023. The April 30, 2021 Notes were retired as of September 11, 2024.</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(ii) Syndicated Credit Facility</w:t>
      </w:r>
    </w:p>
    <w:p>
      <w:pPr>
        <w:spacing w:after="0" w:line="230" w:lineRule="exact"/>
        <w:rPr>
          <w:sz w:val="20"/>
          <w:szCs w:val="20"/>
          <w:color w:val="auto"/>
        </w:rPr>
      </w:pPr>
    </w:p>
    <w:p>
      <w:pPr>
        <w:ind w:right="20" w:firstLine="720"/>
        <w:spacing w:after="0" w:line="268" w:lineRule="auto"/>
        <w:rPr>
          <w:sz w:val="20"/>
          <w:szCs w:val="20"/>
          <w:color w:val="auto"/>
        </w:rPr>
      </w:pPr>
      <w:r>
        <w:rPr>
          <w:rFonts w:ascii="Times New Roman" w:cs="Times New Roman" w:eastAsia="Times New Roman" w:hAnsi="Times New Roman"/>
          <w:sz w:val="19"/>
          <w:szCs w:val="19"/>
          <w:color w:val="auto"/>
        </w:rPr>
        <w:t>On September 11, 2024, the Company entered into a $150,000 thousand syndicated credit facility (the “Credit Facility”) led by Valley National Bank. The Credit Facility has a maturity date of September 11, 2029 and bears interest from the date of issuance at</w:t>
      </w:r>
    </w:p>
    <w:p>
      <w:pPr>
        <w:spacing w:after="0" w:line="2"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the Secured Overnight Financing Rate (“SOFR”</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xml:space="preserve"> plus 500 basis points, payable monthly. The interest rate on the closing date was 10.10% per annum. The floating interest rate as of December 31, 2024 was 9.45% per annum.</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(iii) Mortgage Financing Arrangement</w:t>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Low Moor, Virginia Mortgage Note</w:t>
      </w:r>
    </w:p>
    <w:p>
      <w:pPr>
        <w:spacing w:after="0" w:line="228" w:lineRule="exact"/>
        <w:rPr>
          <w:sz w:val="20"/>
          <w:szCs w:val="20"/>
          <w:color w:val="auto"/>
        </w:rPr>
      </w:pPr>
    </w:p>
    <w:p>
      <w:pPr>
        <w:ind w:firstLine="720"/>
        <w:spacing w:after="0" w:line="305" w:lineRule="auto"/>
        <w:rPr>
          <w:sz w:val="20"/>
          <w:szCs w:val="20"/>
          <w:color w:val="auto"/>
        </w:rPr>
      </w:pPr>
      <w:r>
        <w:rPr>
          <w:rFonts w:ascii="Times New Roman" w:cs="Times New Roman" w:eastAsia="Times New Roman" w:hAnsi="Times New Roman"/>
          <w:sz w:val="19"/>
          <w:szCs w:val="19"/>
          <w:color w:val="auto"/>
        </w:rPr>
        <w:t>On October 12, 2022, the Company entered into a construction-to-permanent financing arrangement (the “Construction Loan”) which provided funding for the construction of a CPG facility at Low Moor, Virginia in the amount of up to $31,000 thousand.</w:t>
      </w:r>
    </w:p>
    <w:p>
      <w:pPr>
        <w:spacing w:after="0" w:line="135"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On October 23, 2023, the Construction Loan converted into a $30,998 thousand mortgage note bearing interest of 7.75% per annum, with a maturity date of October 1, 2034.</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Ocala, Florida Mortgage Note</w:t>
      </w:r>
    </w:p>
    <w:p>
      <w:pPr>
        <w:spacing w:after="0" w:line="228" w:lineRule="exact"/>
        <w:rPr>
          <w:sz w:val="20"/>
          <w:szCs w:val="20"/>
          <w:color w:val="auto"/>
        </w:rPr>
      </w:pPr>
    </w:p>
    <w:p>
      <w:pPr>
        <w:ind w:right="160" w:firstLine="720"/>
        <w:spacing w:after="0" w:line="277" w:lineRule="auto"/>
        <w:rPr>
          <w:sz w:val="20"/>
          <w:szCs w:val="20"/>
          <w:color w:val="auto"/>
        </w:rPr>
      </w:pPr>
      <w:r>
        <w:rPr>
          <w:rFonts w:ascii="Times New Roman" w:cs="Times New Roman" w:eastAsia="Times New Roman" w:hAnsi="Times New Roman"/>
          <w:sz w:val="20"/>
          <w:szCs w:val="20"/>
          <w:color w:val="auto"/>
        </w:rPr>
        <w:t>On December 7, 2023, the Company entered into a $15,000 thousand mortgage note associated with its Ocala, Florida CPG facility bearing an interest rate of 7.45% per annum, with a maturity date of December 31, 2028.</w:t>
      </w:r>
    </w:p>
    <w:p>
      <w:pPr>
        <w:sectPr>
          <w:pgSz w:w="12240" w:h="15840" w:orient="portrait"/>
          <w:cols w:equalWidth="0" w:num="1">
            <w:col w:w="10780"/>
          </w:cols>
          <w:pgMar w:left="720" w:top="926" w:right="740" w:bottom="175" w:gutter="0" w:footer="0" w:header="0"/>
        </w:sect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780"/>
          </w:cols>
          <w:pgMar w:left="720" w:top="926" w:right="740" w:bottom="175" w:gutter="0" w:footer="0" w:header="0"/>
          <w:type w:val="continuous"/>
        </w:sectPr>
      </w:pPr>
    </w:p>
    <w:bookmarkStart w:id="15" w:name="page16"/>
    <w:bookmarkEnd w:id="15"/>
    <w:p>
      <w:pPr>
        <w:ind w:left="720"/>
        <w:spacing w:after="0"/>
        <w:rPr>
          <w:sz w:val="20"/>
          <w:szCs w:val="20"/>
          <w:color w:val="auto"/>
        </w:rPr>
      </w:pPr>
      <w:r>
        <w:rPr>
          <w:rFonts w:ascii="Times New Roman" w:cs="Times New Roman" w:eastAsia="Times New Roman" w:hAnsi="Times New Roman"/>
          <w:sz w:val="20"/>
          <w:szCs w:val="20"/>
          <w:i w:val="1"/>
          <w:iCs w:val="1"/>
          <w:color w:val="auto"/>
        </w:rPr>
        <w:t>Cottage Grove, Minnesota Mortgage Note</w:t>
      </w:r>
    </w:p>
    <w:p>
      <w:pPr>
        <w:spacing w:after="0" w:line="228"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On December 14, 2023, the Company entered into a $17,000 thousand mortgage note associated with its Cottage Grove CPG facility bearing an interest rate of 7.75% per annum, with a maturity date of January 1, 2029.</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Warwick, New York Mortgage Note</w:t>
      </w:r>
    </w:p>
    <w:p>
      <w:pPr>
        <w:spacing w:after="0" w:line="228"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On September 4, 2024, the Company entered into a $23,500 thousand mortgage note associated with its Warwick, New York CPG facility bearing an interest rate of 7.75% per annum, with a maturity date of September 4, 2029.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 Notes Payable for details.</w:t>
      </w:r>
    </w:p>
    <w:p>
      <w:pPr>
        <w:sectPr>
          <w:pgSz w:w="12240" w:h="15840" w:orient="portrait"/>
          <w:cols w:equalWidth="0" w:num="1">
            <w:col w:w="10740"/>
          </w:cols>
          <w:pgMar w:left="720" w:top="932"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740"/>
          </w:cols>
          <w:pgMar w:left="720" w:top="932" w:right="780" w:bottom="175"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Description of the Business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Overview of the Company</w:t>
      </w:r>
    </w:p>
    <w:p>
      <w:pPr>
        <w:spacing w:after="0" w:line="230" w:lineRule="exact"/>
        <w:rPr>
          <w:sz w:val="20"/>
          <w:szCs w:val="20"/>
          <w:color w:val="auto"/>
        </w:rPr>
      </w:pPr>
    </w:p>
    <w:p>
      <w:pPr>
        <w:ind w:right="400" w:firstLine="720"/>
        <w:spacing w:after="0" w:line="258" w:lineRule="auto"/>
        <w:rPr>
          <w:sz w:val="20"/>
          <w:szCs w:val="20"/>
          <w:color w:val="auto"/>
        </w:rPr>
      </w:pPr>
      <w:r>
        <w:rPr>
          <w:rFonts w:ascii="Times New Roman" w:cs="Times New Roman" w:eastAsia="Times New Roman" w:hAnsi="Times New Roman"/>
          <w:sz w:val="20"/>
          <w:szCs w:val="20"/>
          <w:color w:val="auto"/>
        </w:rPr>
        <w:t>Established in 2014 and headquartered in Chicago, Illinois, Green Thumb promotes well-being through the power of cannabis, while giving back to the communities in which it serves. As of December 31, 2024, Green Thumb has operations across fourteen U.S. markets, employs approximately 4,800 people and serves millions of patients and customers annually.</w:t>
      </w:r>
    </w:p>
    <w:p>
      <w:pPr>
        <w:spacing w:after="0" w:line="17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Green Thumb’s core business is manufacturing, distributing and marketing a portfolio of owned cannabis consumer packaged goods brands (which we refer to as our Consumer Packaged Goods business), including &amp;Shine, Beboe, Dogwalkers, Doctor Solomon’s, Good Green, incredibles and RYTHM. The Company distributes and markets these products to third-party licensed retail cannabis stores across the United States as well as to Green Thumb</w:t>
      </w:r>
      <w:r>
        <w:rPr>
          <w:rFonts w:ascii="Times New Roman" w:cs="Times New Roman" w:eastAsia="Times New Roman" w:hAnsi="Times New Roman"/>
          <w:sz w:val="22"/>
          <w:szCs w:val="22"/>
          <w:color w:val="auto"/>
        </w:rPr>
        <w:t>’s</w:t>
      </w:r>
      <w:r>
        <w:rPr>
          <w:rFonts w:ascii="Times New Roman" w:cs="Times New Roman" w:eastAsia="Times New Roman" w:hAnsi="Times New Roman"/>
          <w:sz w:val="20"/>
          <w:szCs w:val="20"/>
          <w:color w:val="auto"/>
        </w:rPr>
        <w:t xml:space="preserve"> own retail stores (which we refer to as our Retail business).</w:t>
      </w:r>
    </w:p>
    <w:p>
      <w:pPr>
        <w:spacing w:after="0" w:line="183"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The Company’s Consumer Packaged Goods portfolio is primarily generated from plant material that Green Thumb grows and processes and then uses to produce our consumer packaged goods in twenty owned and operated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 These Consumer Packaged Goods products are sold in retail locations throughout the fourteen U.S. markets Green Thumb operates in including Green Thumb’s own RISE Dispensaries and other retail dispensaries. In addition, an immaterial portion of our business in the last fiscal year involved products containing consumable hemp-derived tetrahydrocannabinol (“THC”) variants such as Delta-8 THC and, Delta-9 THC (“psychoactive hemp-based products”).</w:t>
      </w:r>
    </w:p>
    <w:p>
      <w:pPr>
        <w:spacing w:after="0" w:line="192"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Green Thumb owns and operates a national cannabis retail chain called RISE Dispensaries that aims to bring patients and customers high-quality products that they value while providing superior customer service. In addition, we own and operate stores under other names subject to licensing or similar restrictions. The income from Green Thumb’s retail stores is derived primarily from the sale of cannabis-related products, which includes the sale of Green Thumb produced products as well as those produced by third parties, with an immaterial (less than 10%) portion of this income resulting from the sale of other merchandise (such as t-shirts and accessories for cannabis use). RISE Dispensaries currently are located in fourteen of the states in which we operate. As of December 31, 2024, the Company had 101 open and operating retail locations. The Company’s new store opening plans will remain fluid depending on market conditions, our ability to obtain local licensing, construction and other permissions and subject to the Company’s capital allocation plans.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Financial Highlights and Revenue Streams</w:t>
      </w:r>
    </w:p>
    <w:p>
      <w:pPr>
        <w:spacing w:after="0" w:line="230" w:lineRule="exact"/>
        <w:rPr>
          <w:sz w:val="20"/>
          <w:szCs w:val="20"/>
          <w:color w:val="auto"/>
        </w:rPr>
      </w:pPr>
    </w:p>
    <w:p>
      <w:pPr>
        <w:ind w:right="20" w:firstLine="720"/>
        <w:spacing w:after="0" w:line="305" w:lineRule="auto"/>
        <w:rPr>
          <w:sz w:val="20"/>
          <w:szCs w:val="20"/>
          <w:color w:val="auto"/>
        </w:rPr>
      </w:pPr>
      <w:r>
        <w:rPr>
          <w:rFonts w:ascii="Times New Roman" w:cs="Times New Roman" w:eastAsia="Times New Roman" w:hAnsi="Times New Roman"/>
          <w:sz w:val="19"/>
          <w:szCs w:val="19"/>
          <w:color w:val="auto"/>
        </w:rPr>
        <w:t>The Company has generated revenues through its operating businesses from the manufacture, sale and distribution of branded cannabis products to third-party licensed retail customers as well as the sale of finished products to consumers in its retail stores.</w:t>
      </w:r>
    </w:p>
    <w:p>
      <w:pPr>
        <w:spacing w:after="0" w:line="135"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percentage of total revenue contributed by the Retail segment was 73%, 75% and 75% for the years ended December 31, 2024, 2023 and 2022, respectively. The percentage of total revenue contributed by operations of the Consumer Packaged Goods segment was 27%, 25% and 25% for the years ended December 31, 2024, 2023 and 2022 respectively. See Item 7—“Management Discussion and Analysis of Financial Conditions and Results of Operations” for details on key financial highlights.</w:t>
      </w:r>
    </w:p>
    <w:p>
      <w:pPr>
        <w:spacing w:after="0" w:line="184"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As of the year ended December 31, 2024, Green Thumb has operating revenue in fourteen markets (California, Connecticut, Florida, Illinois, Maryland, Massachusetts, Minnesota, Nevada, New Jersey, New York, Ohio, Pennsylvania, Rhode Island and Virginia).</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800"/>
          </w:cols>
          <w:pgMar w:left="720" w:top="926" w:right="720" w:bottom="175" w:gutter="0" w:footer="0" w:header="0"/>
          <w:type w:val="continuous"/>
        </w:sectPr>
      </w:pPr>
    </w:p>
    <w:bookmarkStart w:id="17" w:name="page18"/>
    <w:bookmarkEnd w:id="17"/>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Geographic Information</w:t>
      </w:r>
    </w:p>
    <w:p>
      <w:pPr>
        <w:spacing w:after="0" w:line="230" w:lineRule="exact"/>
        <w:rPr>
          <w:sz w:val="20"/>
          <w:szCs w:val="20"/>
          <w:color w:val="auto"/>
        </w:rPr>
      </w:pPr>
    </w:p>
    <w:p>
      <w:pPr>
        <w:ind w:right="820" w:firstLine="720"/>
        <w:spacing w:after="0" w:line="277" w:lineRule="auto"/>
        <w:rPr>
          <w:sz w:val="20"/>
          <w:szCs w:val="20"/>
          <w:color w:val="auto"/>
        </w:rPr>
      </w:pPr>
      <w:r>
        <w:rPr>
          <w:rFonts w:ascii="Times New Roman" w:cs="Times New Roman" w:eastAsia="Times New Roman" w:hAnsi="Times New Roman"/>
          <w:sz w:val="20"/>
          <w:szCs w:val="20"/>
          <w:color w:val="auto"/>
        </w:rPr>
        <w:t>Green Thumb operates in fourteen U.S. states: California, Connecticut, Florida, Illinois, Maryland, Massachusetts, Minnesota, Nevada, New Jersey, New York, Ohio, Pennsylvania, Rhode Island and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128270</wp:posOffset>
            </wp:positionV>
            <wp:extent cx="5852160" cy="3291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85216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Product Research, Design and Development</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Company’s branded products portfolio includes SKUs across a range of product categories, including flower, pre-rolls, concentrates, vape, tinctures, edibles, topicals and other cannabis-related products. Green Thumb engages in research and development activities focused on developing new extracted or infused cannabis consumer packaged products.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Manufacturing</w:t>
      </w:r>
    </w:p>
    <w:p>
      <w:pPr>
        <w:spacing w:after="0" w:line="230" w:lineRule="exact"/>
        <w:rPr>
          <w:sz w:val="20"/>
          <w:szCs w:val="20"/>
          <w:color w:val="auto"/>
        </w:rPr>
      </w:pPr>
    </w:p>
    <w:p>
      <w:pPr>
        <w:jc w:val="both"/>
        <w:ind w:right="60" w:firstLine="720"/>
        <w:spacing w:after="0" w:line="305" w:lineRule="auto"/>
        <w:rPr>
          <w:sz w:val="20"/>
          <w:szCs w:val="20"/>
          <w:color w:val="auto"/>
        </w:rPr>
      </w:pPr>
      <w:r>
        <w:rPr>
          <w:rFonts w:ascii="Times New Roman" w:cs="Times New Roman" w:eastAsia="Times New Roman" w:hAnsi="Times New Roman"/>
          <w:sz w:val="19"/>
          <w:szCs w:val="19"/>
          <w:color w:val="auto"/>
        </w:rPr>
        <w:t>Our branded products are produced in manufacturing facilities across thirteen U.S. states where we cultivate, process and manufacture cannabis consumer packaged goods. Our finished goods production is manufactured by our owned production facilities.</w:t>
      </w:r>
    </w:p>
    <w:p>
      <w:pPr>
        <w:spacing w:after="0" w:line="135"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Sources and Availability of Materials</w:t>
      </w:r>
    </w:p>
    <w:p>
      <w:pPr>
        <w:spacing w:after="0" w:line="230"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color w:val="auto"/>
        </w:rPr>
        <w:t>Almost all of the raw material input, except packaging materials, used by the Company to produce finished cannabis consumer packaged goods are cultivated or processed internally for further use in the manufacturing process.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Significant Customers</w:t>
      </w:r>
    </w:p>
    <w:p>
      <w:pPr>
        <w:spacing w:after="0" w:line="230" w:lineRule="exact"/>
        <w:rPr>
          <w:sz w:val="20"/>
          <w:szCs w:val="20"/>
          <w:color w:val="auto"/>
        </w:rPr>
      </w:pPr>
    </w:p>
    <w:p>
      <w:pPr>
        <w:jc w:val="both"/>
        <w:ind w:right="40" w:firstLine="720"/>
        <w:spacing w:after="0" w:line="252" w:lineRule="auto"/>
        <w:rPr>
          <w:sz w:val="20"/>
          <w:szCs w:val="20"/>
          <w:color w:val="auto"/>
        </w:rPr>
      </w:pPr>
      <w:r>
        <w:rPr>
          <w:rFonts w:ascii="Times New Roman" w:cs="Times New Roman" w:eastAsia="Times New Roman" w:hAnsi="Times New Roman"/>
          <w:sz w:val="20"/>
          <w:szCs w:val="20"/>
          <w:color w:val="auto"/>
        </w:rPr>
        <w:t>Customers of our Consumer Packaged Goods business include legal state-licensed cannabis stores within each U.S. state in which we operate. Green Thumb is not dependent upon a single customer, or a few customers, and the loss of any one or more of our customers would not have a material adverse effect on the business. No customer accounted for 10% or more of our consolidated net revenue during the fiscal years ended December 31, 2024, 2023 or 2022, respectively.</w:t>
      </w:r>
    </w:p>
    <w:p>
      <w:pPr>
        <w:sectPr>
          <w:pgSz w:w="12240" w:h="15840" w:orient="portrait"/>
          <w:cols w:equalWidth="0" w:num="1">
            <w:col w:w="10700"/>
          </w:cols>
          <w:pgMar w:left="720" w:top="930"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700"/>
          </w:cols>
          <w:pgMar w:left="720" w:top="930" w:right="820" w:bottom="175" w:gutter="0" w:footer="0" w:header="0"/>
          <w:type w:val="continuous"/>
        </w:sectPr>
      </w:pPr>
    </w:p>
    <w:bookmarkStart w:id="18" w:name="page19"/>
    <w:bookmarkEnd w:id="18"/>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Merchandise</w:t>
      </w:r>
    </w:p>
    <w:p>
      <w:pPr>
        <w:spacing w:after="0" w:line="230" w:lineRule="exact"/>
        <w:rPr>
          <w:sz w:val="20"/>
          <w:szCs w:val="20"/>
          <w:color w:val="auto"/>
        </w:rPr>
      </w:pPr>
    </w:p>
    <w:p>
      <w:pPr>
        <w:ind w:right="380" w:firstLine="720"/>
        <w:spacing w:after="0" w:line="258" w:lineRule="auto"/>
        <w:rPr>
          <w:sz w:val="20"/>
          <w:szCs w:val="20"/>
          <w:color w:val="auto"/>
        </w:rPr>
      </w:pPr>
      <w:r>
        <w:rPr>
          <w:rFonts w:ascii="Times New Roman" w:cs="Times New Roman" w:eastAsia="Times New Roman" w:hAnsi="Times New Roman"/>
          <w:sz w:val="20"/>
          <w:szCs w:val="20"/>
          <w:color w:val="auto"/>
        </w:rPr>
        <w:t>To meet the array of unique patient and customer needs, we offer a variety of cannabis products at each of our RISE and other retail dispensaries, totaling thousands of SKUs in managed inventory, covering a comprehensive list of packaged product categories including flower, concentrates, topicals and edibles.</w:t>
      </w:r>
    </w:p>
    <w:p>
      <w:pPr>
        <w:spacing w:after="0" w:line="178"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color w:val="auto"/>
        </w:rPr>
        <w:t>We leverage our own retail channel, RISE, and our other stores to distribute our branded product portfolio, such as &amp;Shine, Beboe, Dogwalkers, Doctor Solomon’s, Good Green, incredibles, and RYTHM.</w:t>
      </w:r>
    </w:p>
    <w:p>
      <w:pPr>
        <w:spacing w:after="0" w:line="159"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All cannabis products we sell have passed state-mandated third party testing as required by applicable law to help assure that they do not contain impermissible levels of toxins, microbials or other harmful substances, and that they meet the Company’s vendor requirements for quality assurance and reliability. Cannabis products are inventoried in a comprehensive seed-to-sale tracking software to minimize product slippage and inventory deviation.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Omnichannel Distribution</w:t>
      </w:r>
    </w:p>
    <w:p>
      <w:pPr>
        <w:spacing w:after="0" w:line="230"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Our primary retail presence is traditional brick and mortar. However, as regulations allow, we expect to continue to expand our e-commerce, in-store guest pick-up and direct to consumer delivery capabilities as part of our commitment to providing a consistent retail brand experience no matter where the consumer might be.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 Patents and Trademarks</w:t>
      </w:r>
    </w:p>
    <w:p>
      <w:pPr>
        <w:spacing w:after="0" w:line="23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believe that brand protection is critical to our business strategy. We regularly seek to protect our intellectual property rights in connection with our operating names (e.g., Green Thumb and RISE), our consumer packaged goods (e.g., &amp;Shine, Beboe, Dogwalkers, Dr. Solomon’s, Good Green, incredibles (including Snoozzzeberry) &amp; RYTHM) and certain patentable goods and services. The U.S. trademark statute, The Lanham Act, allows for the protection of trademarks and service marks on products and services used, or intended for use, lawfully. Because cannabis-related products and services remain illegal at the federal level under the Controlled Substances Act (21 U.S.C. § 811), we are not able to protect all our intellectual property at the federal level. Instead, we seek federal trademark protections in some cases and state trademark protections in others. Nonetheless, our success depends upon other areas of our business such as product development and design, production and marketing and not exclusively upon trademarks, patents and trade secrets. The Company also licenses certain intellectual property to and from third parties for the manufacture and sale of consumer products.</w:t>
      </w:r>
    </w:p>
    <w:p>
      <w:pPr>
        <w:spacing w:after="0" w:line="192"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As the Company became licensed to cultivate cannabis, we have developed proprietary cultivation techniques. The Company has also developed certain proprietary intellectual property for operating hydrocarbon extraction, carbon dioxide extraction, ethanol extraction and solventless extraction, including production best practices, procedures and methods. This requires specialized skills in cultivation, extraction and refining.</w:t>
      </w:r>
    </w:p>
    <w:p>
      <w:pPr>
        <w:spacing w:after="0" w:line="184"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auto"/>
        </w:rPr>
        <w:t>The Company relies on its code of conduct agreements to protect its intellectual property rights. To the extent that the Company describes or discloses its proprietary cultivation or extraction techniques in its applications for cultivation or processing licenses, the Company redacts or requests redaction of such information prior to public disclosure.</w:t>
      </w:r>
    </w:p>
    <w:p>
      <w:pPr>
        <w:spacing w:after="0" w:line="178"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Where commercially reasonable, we will seek further U.S. patent protection on other eligible products and services. The Company owns several website domains, including www.gtigrows.com, numerous social media accounts across major platforms, and various phone and web application platforms.</w:t>
      </w:r>
    </w:p>
    <w:p>
      <w:pPr>
        <w:spacing w:after="0" w:line="17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Company has successfully registered over 150 trademarks across the United States as well as internationally and has additional trademark applications pending. The Company anticipates feedback on outstanding submitted applications on a rolling basis. As such, the Company will continue to rely on common law protection for these brands during the trademark registration process. Moreover, the Company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ectPr>
          <w:pgSz w:w="12240" w:h="15840" w:orient="portrait"/>
          <w:cols w:equalWidth="0" w:num="1">
            <w:col w:w="10740"/>
          </w:cols>
          <w:pgMar w:left="720" w:top="930"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740"/>
          </w:cols>
          <w:pgMar w:left="720" w:top="930" w:right="780" w:bottom="175" w:gutter="0" w:footer="0" w:header="0"/>
          <w:type w:val="continuous"/>
        </w:sectPr>
      </w:pPr>
    </w:p>
    <w:bookmarkStart w:id="19" w:name="page20"/>
    <w:bookmarkEnd w:id="19"/>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Joint Ventures</w:t>
      </w:r>
    </w:p>
    <w:p>
      <w:pPr>
        <w:spacing w:after="0" w:line="230"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19"/>
          <w:szCs w:val="19"/>
          <w:color w:val="auto"/>
        </w:rPr>
        <w:t>We utilize joint ventures and make equity investments in non-affiliated third parties to both comply with state regulatory requirements in certain states and advance our mission to promote a more equitable, diverse cannabis industry. Partnering with one or more non-affiliated third parties provides the Company with the opportunity to mitigate certain operational and financial risks while ensuring continued compliance with the applicable regulatory guidelines. As of December 31, 2024, the Company holds minority interests in several non-affiliated third parties for the operation of dispensaries in Connecticut and Massachusetts, as well as the production, distribution and development of various products. None of these investments or ventures are material to the Company.</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Working Capital</w:t>
      </w:r>
    </w:p>
    <w:p>
      <w:pPr>
        <w:spacing w:after="0" w:line="23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Effective inventory management is critical to the Company’s ongoing success and the Company uses a variety of demand and supply forecasting, planning and replenishment techniques. The Company strives to maintain sufficient levels of inventory of core product categories, maintain positive vendor and customer relationships and carefully plan to minimize markdowns and inventory write-offs.</w:t>
      </w:r>
    </w:p>
    <w:p>
      <w:pPr>
        <w:spacing w:after="0" w:line="184" w:lineRule="exact"/>
        <w:rPr>
          <w:sz w:val="20"/>
          <w:szCs w:val="20"/>
          <w:color w:val="auto"/>
        </w:rPr>
      </w:pPr>
    </w:p>
    <w:p>
      <w:pPr>
        <w:ind w:right="140" w:firstLine="720"/>
        <w:spacing w:after="0" w:line="277" w:lineRule="auto"/>
        <w:rPr>
          <w:sz w:val="20"/>
          <w:szCs w:val="20"/>
          <w:color w:val="auto"/>
        </w:rPr>
      </w:pPr>
      <w:r>
        <w:rPr>
          <w:rFonts w:ascii="Times New Roman" w:cs="Times New Roman" w:eastAsia="Times New Roman" w:hAnsi="Times New Roman"/>
          <w:sz w:val="20"/>
          <w:szCs w:val="20"/>
          <w:color w:val="auto"/>
        </w:rPr>
        <w:t>For additional details on liquidity and Capital Resources, see Item 7—“Management’s Discussion and Analysis of Financial Condition and Results of Operations.”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Human Capital Management</w:t>
      </w:r>
    </w:p>
    <w:p>
      <w:pPr>
        <w:spacing w:after="0" w:line="23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As of December 31, 2024, Green Thumb employs approximately 4,800 team members including corporate, retail and cultivation and processing, both full- and part-time employees, and including but not limited to: finance and accounting, legal and compliance, supply chain and operations, sales and marketing, commercial and cannabis agriculture, chemists, customer service, construction and project management, real estate, information technology and human resources. We offer a comprehensive package of company-sponsored benefits to our team. Eligibility depends on the full-time or part-time status, employee location and other factors, and benefits include participation in a 401(k) retirement savings plan, medical and dental plans, disability insurance, employee assistance programs and life insurance. Additionally, we believe in aligned incentives and use our employee stock and incentive plan for a competitive total rewards program.</w:t>
      </w:r>
    </w:p>
    <w:p>
      <w:pPr>
        <w:spacing w:after="0" w:line="215" w:lineRule="exact"/>
        <w:rPr>
          <w:sz w:val="20"/>
          <w:szCs w:val="20"/>
          <w:color w:val="auto"/>
        </w:rPr>
      </w:pPr>
    </w:p>
    <w:tbl>
      <w:tblPr>
        <w:tblLayout w:type="fixed"/>
        <w:tblInd w:w="720" w:type="dxa"/>
        <w:tblCellMar>
          <w:top w:w="0" w:type="dxa"/>
          <w:left w:w="0" w:type="dxa"/>
          <w:bottom w:w="0" w:type="dxa"/>
          <w:right w:w="0" w:type="dxa"/>
        </w:tblCellMar>
      </w:tblPr>
      <w:tr>
        <w:trPr>
          <w:trHeight w:val="266"/>
        </w:trPr>
        <w:tc>
          <w:tcPr>
            <w:tcW w:w="6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Our employees are split across the Company approximately as follows:</w:t>
            </w:r>
          </w:p>
        </w:tc>
        <w:tc>
          <w:tcPr>
            <w:tcW w:w="1500" w:type="dxa"/>
            <w:vAlign w:val="bottom"/>
          </w:tcPr>
          <w:p>
            <w:pPr>
              <w:spacing w:after="0"/>
              <w:rPr>
                <w:sz w:val="23"/>
                <w:szCs w:val="23"/>
                <w:color w:val="auto"/>
              </w:rPr>
            </w:pPr>
          </w:p>
        </w:tc>
      </w:tr>
      <w:tr>
        <w:trPr>
          <w:trHeight w:val="213"/>
        </w:trPr>
        <w:tc>
          <w:tcPr>
            <w:tcW w:w="1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1120" w:type="dxa"/>
            <w:vAlign w:val="bottom"/>
          </w:tcPr>
          <w:p>
            <w:pPr>
              <w:spacing w:after="0"/>
              <w:rPr>
                <w:sz w:val="19"/>
                <w:szCs w:val="19"/>
                <w:color w:val="auto"/>
              </w:rPr>
            </w:pPr>
          </w:p>
        </w:tc>
        <w:tc>
          <w:tcPr>
            <w:tcW w:w="56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Corporate:</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450</w:t>
            </w:r>
          </w:p>
        </w:tc>
      </w:tr>
      <w:tr>
        <w:trPr>
          <w:trHeight w:val="230"/>
        </w:trPr>
        <w:tc>
          <w:tcPr>
            <w:tcW w:w="11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2,400</w:t>
            </w:r>
          </w:p>
        </w:tc>
      </w:tr>
      <w:tr>
        <w:trPr>
          <w:trHeight w:val="230"/>
        </w:trPr>
        <w:tc>
          <w:tcPr>
            <w:tcW w:w="1120" w:type="dxa"/>
            <w:vAlign w:val="bottom"/>
          </w:tcPr>
          <w:p>
            <w:pPr>
              <w:spacing w:after="0"/>
              <w:rPr>
                <w:sz w:val="19"/>
                <w:szCs w:val="19"/>
                <w:color w:val="auto"/>
              </w:rPr>
            </w:pPr>
          </w:p>
        </w:tc>
        <w:tc>
          <w:tcPr>
            <w:tcW w:w="56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Cultivation and Processing:</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1,950</w:t>
            </w:r>
          </w:p>
        </w:tc>
      </w:tr>
      <w:tr>
        <w:trPr>
          <w:trHeight w:val="274"/>
        </w:trPr>
        <w:tc>
          <w:tcPr>
            <w:tcW w:w="112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4,800</w:t>
            </w:r>
          </w:p>
        </w:tc>
      </w:tr>
    </w:tbl>
    <w:p>
      <w:pPr>
        <w:spacing w:after="0" w:line="166" w:lineRule="exact"/>
        <w:rPr>
          <w:sz w:val="20"/>
          <w:szCs w:val="20"/>
          <w:color w:val="auto"/>
        </w:rPr>
      </w:pPr>
    </w:p>
    <w:p>
      <w:pPr>
        <w:ind w:right="200" w:firstLine="720"/>
        <w:spacing w:after="0" w:line="277" w:lineRule="auto"/>
        <w:rPr>
          <w:sz w:val="20"/>
          <w:szCs w:val="20"/>
          <w:color w:val="auto"/>
        </w:rPr>
      </w:pPr>
      <w:r>
        <w:rPr>
          <w:rFonts w:ascii="Times New Roman" w:cs="Times New Roman" w:eastAsia="Times New Roman" w:hAnsi="Times New Roman"/>
          <w:sz w:val="20"/>
          <w:szCs w:val="20"/>
          <w:color w:val="auto"/>
        </w:rPr>
        <w:t>As of December 31, 2024, approximately 850 of our employees at various cultivation and retail facilities have elected to be represented by a labor organization for purposes of collective bargaining.</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Environmental Compliance</w:t>
      </w:r>
    </w:p>
    <w:p>
      <w:pPr>
        <w:spacing w:after="0" w:line="23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Expenditures for compliance with federal, state and local environmental laws and regulations are consistent from year to year and are not material to the Company’s financials. The Company is compliant with all applicable regulations and does not use materials that would pose any known risk under normal conditions.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930" w:right="720" w:bottom="175"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Competitive Conditions and the Company’s Position in the Industry</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Competition</w:t>
      </w:r>
    </w:p>
    <w:p>
      <w:pPr>
        <w:spacing w:after="0" w:line="230"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20"/>
          <w:szCs w:val="20"/>
          <w:color w:val="auto"/>
        </w:rPr>
        <w:t>The markets in which the Company distributes its products and operates retail stores are highly competitive. Some of those markets have relatively high barriers to entry due to the licensing requirements. The Company competes directly with other cannabis producers and retailers, some of which operate only in a specific market and some of which operate across several U.S. markets. More broadly, Green Thumb views manufacturers of other consumer products, such as those in the pharmaceuticals; alcohol; tobacco; consumable hemp, including consumable hemp-derived THC variants such as Delta-8 THC and, Delta-9 THC (“psychoactive hemp-based products”); health and beauty; and functional wellness industries, as potential competitors. Product quality, performance, new product innovation and development, packaging, customer experience and consumer price/value are important differentiating factors.</w:t>
      </w:r>
    </w:p>
    <w:p>
      <w:pPr>
        <w:spacing w:after="0" w:line="206"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The Company faces competition from other companies that may have a longer operating history, a higher capitalization, additional financial resources, more manufacturing and marketing experience, greater access to public equity and debt markets and more experienced management than the Company. Increased competition by larger and better financed competitors could materially affect the business, financial condition and results of operations of the Company. Some of the manufacturing and retail competitors in our markets consist of localized businesses (i.e. doing business in only a single state market). There are also multistate operators with whom the Company competes directly in several of the Company’s operating markets. Aside from this direct competition, out-of-state operators that are capitalized well enough to enter these markets through acquisitions are also part of the competitive landscape. Similarly, as the Company executes its national U.S. growth strategy, operators in any state markets we may enter in the future will inevitably become direct competitors.</w:t>
      </w:r>
    </w:p>
    <w:p>
      <w:pPr>
        <w:spacing w:after="0" w:line="212"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20"/>
          <w:szCs w:val="20"/>
          <w:color w:val="auto"/>
        </w:rPr>
        <w:t>Because of the early stage of the industry in which the Company operates, the Company faces additional competition from new entrants. If the number of consumers of medical and adult-use cannabis in the states in which the Company operates its business increases, the demand for products will increase and the Company expects that competition will become more intense, as current and future competitors begin to offer an increasing quantity and variety of diversified products. To remain competitive, the Company will require a continued high level of investment in research and development, marketing, sales and customer support. The Company may not have sufficient resources to maintain research and development, marketing, sales and customer support efforts on a competitive basis, which could materially and adversely affect the business, financial condition and results of its operations.</w:t>
      </w:r>
    </w:p>
    <w:p>
      <w:pPr>
        <w:spacing w:after="0" w:line="206"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In addition, the Company experiences significant competition for its products from illicit operators who are not licensed pursuant to their state’s cannabis laws and regulations. Moreover, markets across the United States have seen the widespread proliferation of psychoactive hemp-based products. Most psychoactive hemp-based products on the market are derived from the chemical conversion of hemp-derived CBD. These products are marketed in a legal gray area due to ambiguities created in the Agriculture Improvement Act of 2018 (the “Farm Bill”) that effectively legalized hemp (cannabis containing less than 0.3% percent THC) on a national level (“Farm Bill compliant hemp products”). These psychoactive hemp-based products, including Farm Bill compliant hemp products, are frequently not manufactured and distributed in the U.S. by state-licensed cannabis processors and dispensaries. Instead, they are being manufactured and distributed by, for example, convenience stores, gas stations, smoke shops, head shops, and the Internet. These products do not appear to be subject to the testing, packaging, labeling, licensing and other requirements applicable to the Company’s products such as seed-to-sale tracking (which makes product recalls possible) and are being sold without state-mandated cannabis excise taxes applied, thus leading to significant price differentials with the Company’s products. While an immaterial portion of the Company’s business in the last fiscal year involved products containing Farm Bill compliant hemp products, such products do not comprise a significant portion of our business.</w:t>
      </w:r>
    </w:p>
    <w:p>
      <w:pPr>
        <w:spacing w:after="0" w:line="209" w:lineRule="exact"/>
        <w:rPr>
          <w:sz w:val="20"/>
          <w:szCs w:val="20"/>
          <w:color w:val="auto"/>
        </w:rPr>
      </w:pPr>
    </w:p>
    <w:p>
      <w:pPr>
        <w:ind w:right="40" w:firstLine="720"/>
        <w:spacing w:after="0" w:line="263" w:lineRule="auto"/>
        <w:rPr>
          <w:sz w:val="20"/>
          <w:szCs w:val="20"/>
          <w:color w:val="auto"/>
        </w:rPr>
      </w:pPr>
      <w:r>
        <w:rPr>
          <w:rFonts w:ascii="Times New Roman" w:cs="Times New Roman" w:eastAsia="Times New Roman" w:hAnsi="Times New Roman"/>
          <w:sz w:val="20"/>
          <w:szCs w:val="20"/>
          <w:color w:val="auto"/>
        </w:rPr>
        <w:t>Given the pricing differential, the absence of the application of Section 280E of the U.S. Internal Revenue Code, as amended (“Section 280E”) and state cannabis excise taxes, the continued proliferation of unregulated psychoactive hemp-based products through unlicensed distribution points could ultimately alter certain elements of the current U.S. cannabis market. Recently, however, several states have begun to promulgate new regulations and interpretations of existing regulations that effectively prohibit the sale and/or production of these products. If this trend continues, the potential impact of psychoactive hemp-based products on the cannabis market could be blunted. Proposed federal legislation, if passed, could also severely limit or prevent altogether the proliferation of psychoactive hemp-based products.</w:t>
      </w:r>
    </w:p>
    <w:p>
      <w:pPr>
        <w:spacing w:after="0" w:line="20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See Item 1A—“Risk Factors” for more information with respect to competition.</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780"/>
          </w:cols>
          <w:pgMar w:left="720" w:top="926" w:right="740" w:bottom="17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Federal and State Regulation of Cannabis</w:t>
      </w:r>
    </w:p>
    <w:p>
      <w:pPr>
        <w:spacing w:after="0" w:line="234"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Below is a discussion of the federal and state-level regulatory regimes in the jurisdictions where the Company is currently operating through its subsidiaries.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Federal illegality of Cannabis</w:t>
      </w:r>
    </w:p>
    <w:p>
      <w:pPr>
        <w:spacing w:after="0" w:line="23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U.S. federal government regulates drugs through the Controlled Substances Act (21 U.S.C. § 811), which places controlled substances, including cannabis, in a schedule. Cannabis is currently classified as a Schedule I controlled substance. A Schedule I controlled substance is defined as a substance that has no currently accepted medical use in the United States, a lack of safety for use under medical supervision and a high potential for abuse. Schedule I controlled substances are federally illegal and the manufacturing, sale and use of cannabis is a violation of federal law.</w:t>
      </w:r>
    </w:p>
    <w:p>
      <w:pPr>
        <w:spacing w:after="0" w:line="187"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the Cole Memorandum that Deputy Attorney General James Cole sent to all U.S. Attorneys in August 2013.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prosecution or enforcement priority for the Department of Justice.</w:t>
      </w:r>
    </w:p>
    <w:p>
      <w:pPr>
        <w:spacing w:after="0" w:line="19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On January 4, 2018, then U.S. Attorney General Jeff Sessions rescinded the Cole Memorandum. Despite its rescission, federal prosecutors appear to continue to use the Cole Memorandum’s priorities as an enforcement guide. In October 2022, President Joseph R. Biden, announced that cannabis scheduling under federal law would be reviewed, noting that cannabis is scheduled as more dangerous than fentanyl and methamphetamine, two substances that are driving an overdose epidemic in the country. In October 2022, President Biden also announced a mass pardon of persons who had been convicted of simple marijuana possession under federal law. In December 2022, President Biden signed the Medical Marijuana and Cannabidiol Research Expansion Act into law, which provides for significantly broader opportunities to study cannabis. In December 2023, President Biden built on his previous mass pardon by issuing a presidential proclamation, broadening it to cover convictions for attempted possession of cannabis as well as convictions under the Code of the District of Columbia and violations of the Code of Federal Regulations. On January 17, 2025, in one of his final acts as president, President Biden issued one of the largest single-day acts of clemency in modern U.S. history, commuting the sentences of nearly 2,500 individuals convicted of nonviolent drug offenses.</w:t>
      </w:r>
    </w:p>
    <w:p>
      <w:pPr>
        <w:spacing w:after="0" w:line="198"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On August 29, 2023, and in response to President Biden’s directive to review cannabis’s scheduling, the Department of Health and Human Services (“HHS”) formally presented its recommendation to the Drug Enforcement Administration (“DEA”) that cannabis be rescheduled to Schedule III from Schedule I. Section 280E does not apply to those trafficking in Schedule III controlled substances. The DEA, which has final jurisdiction over scheduling decisions, has yet to accept HHS’s recommendation, but it has started the review process. On May 16, 2024, then-U.S. Attorney General Merrick Garland submitted to the Federal Register a notice of proposed rulemaking to consider moving marijuana from a Schedule I to a Schedule III drug under the Controlled Substances Act. The notice initiated a 60-day comment period for members of the public to submit comments regarding the rule where more than 43,000 comments were received. After reviewing the public comments, the DEA determined that a hearing was necessary and selected Administrative Law Judge John J. Mulrooney to oversee it. Expert testimony is expected to begin in early 2025. However, with the recent re-election of President Donald J. Trump, the future of the rescheduling process is uncertain.</w:t>
      </w:r>
    </w:p>
    <w:p>
      <w:pPr>
        <w:spacing w:after="0" w:line="192" w:lineRule="exact"/>
        <w:rPr>
          <w:sz w:val="20"/>
          <w:szCs w:val="20"/>
          <w:color w:val="auto"/>
        </w:rPr>
      </w:pPr>
    </w:p>
    <w:p>
      <w:pPr>
        <w:ind w:right="760" w:firstLine="720"/>
        <w:spacing w:after="0" w:line="277" w:lineRule="auto"/>
        <w:rPr>
          <w:sz w:val="20"/>
          <w:szCs w:val="20"/>
          <w:color w:val="auto"/>
        </w:rPr>
      </w:pPr>
      <w:r>
        <w:rPr>
          <w:rFonts w:ascii="Times New Roman" w:cs="Times New Roman" w:eastAsia="Times New Roman" w:hAnsi="Times New Roman"/>
          <w:sz w:val="20"/>
          <w:szCs w:val="20"/>
          <w:color w:val="auto"/>
        </w:rPr>
        <w:t>As an industry best practice, the Company continues to employ the following policies to ensure compliance with the guidance provided by the Cole Memorandum:</w:t>
      </w:r>
    </w:p>
    <w:p>
      <w:pPr>
        <w:spacing w:after="0" w:line="293" w:lineRule="exact"/>
        <w:rPr>
          <w:sz w:val="20"/>
          <w:szCs w:val="20"/>
          <w:color w:val="auto"/>
        </w:rPr>
      </w:pPr>
    </w:p>
    <w:p>
      <w:pPr>
        <w:ind w:left="980" w:right="40" w:hanging="491"/>
        <w:spacing w:after="0" w:line="252"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operations and our subsidiaries’ operations are believed to be compliant with all licensing requirements as established by the applicable state, county, municipality, town, township, borough and other political/administrative divisions; to this end, we retain appropriately experienced legal counsel to help ensure compliance of such operations with all applicable licensing requirements;</w:t>
      </w:r>
    </w:p>
    <w:p>
      <w:pPr>
        <w:spacing w:after="0" w:line="317" w:lineRule="exact"/>
        <w:rPr>
          <w:rFonts w:ascii="Arial" w:cs="Arial" w:eastAsia="Arial" w:hAnsi="Arial"/>
          <w:sz w:val="20"/>
          <w:szCs w:val="20"/>
          <w:color w:val="auto"/>
        </w:rPr>
      </w:pPr>
    </w:p>
    <w:p>
      <w:pPr>
        <w:ind w:left="980" w:right="260" w:hanging="491"/>
        <w:spacing w:after="0" w:line="252" w:lineRule="auto"/>
        <w:tabs>
          <w:tab w:leader="none" w:pos="9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cannabis-related activities adhere to the scope of the licensing obtained - for example, in states where only medical cannabis is permitted, the products are only sold to patients who hold the appropriate medical licensing to permit the possession of the cannabis; in states where cannabis is permitted for adult-use, the products are only sold to individuals who meet the requisite age requirements;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926" w:right="720" w:bottom="175" w:gutter="0" w:footer="0" w:header="0"/>
          <w:type w:val="continuous"/>
        </w:sectPr>
      </w:pPr>
    </w:p>
    <w:bookmarkStart w:id="22" w:name="page23"/>
    <w:bookmarkEnd w:id="22"/>
    <w:p>
      <w:pPr>
        <w:ind w:left="98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operating subsidiaries must pass a range of requirements, adhere to strict business practice standards and be subject to strict regulatory oversight to ensure that no revenue is distributed to criminal enterprises, gangs or cartels;</w:t>
      </w:r>
    </w:p>
    <w:p>
      <w:pPr>
        <w:spacing w:after="0" w:line="294" w:lineRule="exact"/>
        <w:rPr>
          <w:rFonts w:ascii="Arial" w:cs="Arial" w:eastAsia="Arial" w:hAnsi="Arial"/>
          <w:sz w:val="20"/>
          <w:szCs w:val="20"/>
          <w:color w:val="auto"/>
        </w:rPr>
      </w:pPr>
    </w:p>
    <w:p>
      <w:pPr>
        <w:ind w:left="980" w:right="20" w:hanging="491"/>
        <w:spacing w:after="0" w:line="258"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have implemented an inventory tracking system and necessary procedures to help ensure that such compliance system is effective in tracking inventory and preventing diversion of cannabis or cannabis products, and we employ strict customer identification protocols to prevent sales to minors;</w:t>
      </w:r>
    </w:p>
    <w:p>
      <w:pPr>
        <w:spacing w:after="0" w:line="311" w:lineRule="exact"/>
        <w:rPr>
          <w:rFonts w:ascii="Arial" w:cs="Arial" w:eastAsia="Arial" w:hAnsi="Arial"/>
          <w:sz w:val="20"/>
          <w:szCs w:val="20"/>
          <w:color w:val="auto"/>
        </w:rPr>
      </w:pPr>
    </w:p>
    <w:p>
      <w:pPr>
        <w:ind w:left="980" w:right="6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state-authorized cannabis business activity is not used as a cover or pretense for trafficking of other illegal drugs, and we are not engaged in any other illegal activity; and</w:t>
      </w:r>
    </w:p>
    <w:p>
      <w:pPr>
        <w:spacing w:after="0" w:line="294" w:lineRule="exact"/>
        <w:rPr>
          <w:rFonts w:ascii="Arial" w:cs="Arial" w:eastAsia="Arial" w:hAnsi="Arial"/>
          <w:sz w:val="20"/>
          <w:szCs w:val="20"/>
          <w:color w:val="auto"/>
        </w:rPr>
      </w:pPr>
    </w:p>
    <w:p>
      <w:pPr>
        <w:ind w:left="980" w:right="140" w:hanging="491"/>
        <w:spacing w:after="0" w:line="276" w:lineRule="auto"/>
        <w:tabs>
          <w:tab w:leader="none" w:pos="98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conduct reviews of products and product packaging to ensure that such products and product packaging comply with applicable regulations and contain necessary disclaimers about the contents of the products.</w:t>
      </w:r>
    </w:p>
    <w:p>
      <w:pPr>
        <w:spacing w:after="0" w:line="16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There have been efforts at reforming federal cannabis law. As of December 31, 2024, there were more than a dozen proposed congressional bills addressing a myriad of issues regarding the cannabis industry, from banking and tax reform to full legalization. However, none have passed into law.</w:t>
      </w:r>
    </w:p>
    <w:p>
      <w:pPr>
        <w:spacing w:after="0" w:line="178"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There does exist a legislative safeguard for the medical cannabis industry, appended to the federal budget bill. For each year since 2015, Congress has adopted a so-called “rider” provision to the Consolidated Appropriations Acts (formerly referred to as the Rohrabacher-Farr Amendment and currently referred to as the Rohrabacher-Blumenauer Amendment) to prevent the federal government from using congressionally appropriated funds to enforce federal law against regulated medical cannabis actors operating in compliance with state and local law. On March 9, 2023, the amendment was renewed as part of the Consolidated Appropriations Acts of 2024, H.R. 4366, which was effective through September 30, 2024. The amendment has since been extended by Continuing Resolution, H.R. 10455, until March 14, 2025.</w:t>
      </w:r>
    </w:p>
    <w:p>
      <w:pPr>
        <w:spacing w:after="0" w:line="19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The sheer size of the cannabis industry, in addition to participation by state and local governments and investors, suggests that a large-scale federal enforcement operation would more than likely create unwanted political backlash for the Department of Justice and the current administration. Regardless, cannabis remains illegal at the federal level. The U.S. federal government has always reserved the right to enforce federal law over the sale and disbursement of medical or adult-use cannabis, even if state law authorizes such sale and disbursement. There is no guarantee that state laws legalizing and regulating the sale and use of cannabis will remain in place or that local governmental authorities will not limit the applicability of state laws within their respective jurisdictions. Unless cannabis is removed from Schedule I of the Controlled Substances Act, there is a risk that federal authorities may enforce current U.S. federal law criminalizing cannabis.</w:t>
      </w:r>
    </w:p>
    <w:p>
      <w:pPr>
        <w:spacing w:after="0" w:line="192"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We will continue to monitor compliance on an ongoing basis in accordance with our compliance program and standard operating procedures. While our operations are in compliance with all applicable state laws, regulations and licensing requirements, such activities remain illegal under federal law. For the reasons described above and the risks further described in the section entitled “Risk Factors,” there are significant risks associated with our business. Readers of this Form are strongly encouraged to carefully read all of the risk factors contained in Item 1A—“Risk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Federal Law and Ability to Access Public and Private Capital</w:t>
      </w:r>
    </w:p>
    <w:p>
      <w:pPr>
        <w:spacing w:after="0" w:line="234"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Due to the present state of the laws and regulations governing financial institutions in the U.S., banks often refuse to provide services to businesses involved in the cannabis industry and U.S. multistate operators are currently not permitted to list securities on the U.S. securities exchanges. Consequently, it may be difficult for us to obtain financing from large U.S. financial institutions.</w:t>
      </w:r>
    </w:p>
    <w:p>
      <w:pPr>
        <w:spacing w:after="0" w:line="178" w:lineRule="exact"/>
        <w:rPr>
          <w:sz w:val="20"/>
          <w:szCs w:val="20"/>
          <w:color w:val="auto"/>
        </w:rPr>
      </w:pPr>
    </w:p>
    <w:p>
      <w:pPr>
        <w:jc w:val="both"/>
        <w:ind w:right="340" w:firstLine="720"/>
        <w:spacing w:after="0" w:line="258" w:lineRule="auto"/>
        <w:rPr>
          <w:sz w:val="20"/>
          <w:szCs w:val="20"/>
          <w:color w:val="auto"/>
        </w:rPr>
      </w:pPr>
      <w:r>
        <w:rPr>
          <w:rFonts w:ascii="Times New Roman" w:cs="Times New Roman" w:eastAsia="Times New Roman" w:hAnsi="Times New Roman"/>
          <w:sz w:val="20"/>
          <w:szCs w:val="20"/>
          <w:color w:val="auto"/>
        </w:rPr>
        <w:t>We have historically, and continue to have, access to equity and debt financing from non-public (i.e., private placement) markets and state-chartered financial institutions. Our executive team and members of our Board of Directors (our or the “Board”) also have extensive relationships with sources of capital (such as funds and high net worth individuals).</w:t>
      </w:r>
    </w:p>
    <w:p>
      <w:pPr>
        <w:spacing w:after="0" w:line="178" w:lineRule="exact"/>
        <w:rPr>
          <w:sz w:val="20"/>
          <w:szCs w:val="20"/>
          <w:color w:val="auto"/>
        </w:rPr>
      </w:pPr>
    </w:p>
    <w:p>
      <w:pPr>
        <w:ind w:right="760" w:firstLine="720"/>
        <w:spacing w:after="0" w:line="258" w:lineRule="auto"/>
        <w:rPr>
          <w:sz w:val="20"/>
          <w:szCs w:val="20"/>
          <w:color w:val="auto"/>
        </w:rPr>
      </w:pPr>
      <w:r>
        <w:rPr>
          <w:rFonts w:ascii="Times New Roman" w:cs="Times New Roman" w:eastAsia="Times New Roman" w:hAnsi="Times New Roman"/>
          <w:sz w:val="20"/>
          <w:szCs w:val="20"/>
          <w:color w:val="auto"/>
        </w:rPr>
        <w:t>In addition to our working capital, we continue to generate adequate cash to fund our operations from capital raising transactions. Our business plan continues to include growth, in the form of acquisitions and through facility expansion and improvements.</w:t>
      </w:r>
    </w:p>
    <w:p>
      <w:pPr>
        <w:spacing w:after="0" w:line="178"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color w:val="auto"/>
        </w:rPr>
        <w:t>However, there can be no assurance that additional financing will be available to us when needed or on terms that are acceptable.</w:t>
      </w:r>
    </w:p>
    <w:p>
      <w:pPr>
        <w:sectPr>
          <w:pgSz w:w="12240" w:h="15840" w:orient="portrait"/>
          <w:cols w:equalWidth="0" w:num="1">
            <w:col w:w="10780"/>
          </w:cols>
          <w:pgMar w:left="720" w:top="944" w:right="740" w:bottom="175"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780"/>
          </w:cols>
          <w:pgMar w:left="720" w:top="944" w:right="740" w:bottom="17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Restricted Access to Banking and Other Financial Services</w:t>
      </w:r>
    </w:p>
    <w:p>
      <w:pPr>
        <w:spacing w:after="0" w:line="234"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 United States Department of the Treasury’s Financial Crimes Enforcement Networks, which we refer to as “FinCEN”, issued the FinCEN Memorandum on February 14, 2014, outlining the pathways for financial institutions to back cannabis businesses in compliance with federal enforcement priorities. These guidelines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in connection with all cannabis-related banking activities by any client of such financial institution, in accordance with federal money laundering laws.</w:t>
      </w:r>
    </w:p>
    <w:p>
      <w:pPr>
        <w:spacing w:after="0" w:line="196"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However, the FinCEN Memorandum does not provide any safe harbors or legal defenses from examination or regulatory or criminal enforcement actions by the Department of Justice, FinCEN or other federal regulators for banks and other financial institutions and can be amended or revoked at any time. Thus, most banks and other financial institutions in the United States do not appear comfortable relying on this guidance to provide banking services to the cannabis industry. Banks and/or card networks may also refuse to process debit card payments and credit card companies generally refuse to process credit card payments for cannabis-related businesses. In addition, federal money laundering statutes and regulations under the Bank Secrecy Act, as amended by Title III of the Uniting and Strengthening America by Providing Appropriate Tools Required to Intercept and Obstruct Terrorism Act of 2001, discourage financial institutions from working with any organization that sells a controlled substance, regardless of whether the state in which it operates permits cannabis sales. The inability or limitation on our ability to open or maintain bank accounts, obtain other banking services and/or accept credit card and debit card payments may make it difficult for us to operate and conduct our business as planned or to operate efficiently.</w:t>
      </w:r>
    </w:p>
    <w:p>
      <w:pPr>
        <w:spacing w:after="0" w:line="198"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On March 7, 2019, Democratic U.S. representative Ed Perlmutter of Colorado introduced the SAFE Banking Act, which would protect banks and their employees from punishment for providing services to cannabis businesses that are legal on a state level. The bill passed with strong bipartisan support in the House of Representatives on September 25, 2019. The House passed the SAFE Banking Act numerous times since then, but it has not passed in the U.S. Senate. On September 27, 2023, the Senate Banking Committee did pass the SAFER Banking Act on a bipartisan vote of 14-9. While the bill has yet to be brought to the Senate floor, the committee vote represents the first occasion a Senate Committee has successfully passed cannabis banking legislation. The bill faces an uncertain future in the current U.S. House of Representatives. The future passage of the bill is further complicated by the change in party control of, and the narrow majorities in both chambers of, the U.S. Congress. There can be no assurance that the SAFE Banking Act, the SAFER Banking Act, or any similar legislation will be passed as previously proposed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 Cannabis Law</w:t>
      </w:r>
    </w:p>
    <w:p>
      <w:pPr>
        <w:spacing w:after="0" w:line="234"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State laws that permit and regulate the production, distribution and use of cannabis for adult-use or medical purposes are in direct conflict with federal law. Although certain states and territories of the U.S. authorize medical and/or adult-use cannabis production and distribution by licensed or registered entities, under U.S. federal law, the possession, use, cultivation and transfer of cannabis and any related drug paraphernalia are criminal acts under the Controlled Substances Act. Although the Company’s activities are believed to be compliant with applicable state and local laws, strict compliance with state and local laws with respect to cannabis may neither absolve the Company of liability under U.S. federal law, nor may it provide a defense to any federal proceeding that may be brought against the Company.</w:t>
      </w:r>
    </w:p>
    <w:p>
      <w:pPr>
        <w:spacing w:after="0" w:line="190" w:lineRule="exact"/>
        <w:rPr>
          <w:sz w:val="20"/>
          <w:szCs w:val="20"/>
          <w:color w:val="auto"/>
        </w:rPr>
      </w:pPr>
    </w:p>
    <w:p>
      <w:pPr>
        <w:ind w:right="120" w:firstLine="720"/>
        <w:spacing w:after="0" w:line="269" w:lineRule="auto"/>
        <w:rPr>
          <w:sz w:val="20"/>
          <w:szCs w:val="20"/>
          <w:color w:val="auto"/>
        </w:rPr>
      </w:pPr>
      <w:r>
        <w:rPr>
          <w:rFonts w:ascii="Times New Roman" w:cs="Times New Roman" w:eastAsia="Times New Roman" w:hAnsi="Times New Roman"/>
          <w:sz w:val="20"/>
          <w:szCs w:val="20"/>
          <w:color w:val="auto"/>
        </w:rPr>
        <w:t>As of December 31, 2024,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Company’s Medical-Only Markets</w:t>
      </w:r>
    </w:p>
    <w:p>
      <w:pPr>
        <w:spacing w:after="0" w:line="23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All of the medical-only markets in which the Company does business (Florida and Pennsylvania, and until its adult-use programs launch, Minnesota) has written regulations that impose limitations on the number of cannabis business licenses that can be awarded by the state. In each of these markets, we have a proven track record of: (i) entering the market through state-granted awards based on the merit of our application and business plans; and/or (ii) expanding market reach through accretive mergers, acquisitions, and partnership ventures. Each medical use market that also has a legal adult-use market (including Illinois, California, Connecticut, Maryland, Massachusetts, Nevada, New Jersey, New York, Ohio and Rhode Island) has regulations specifying which medical conditions qualify a patient for a license to purchase cannabis, and generally require the approval from a physician. Minnesota has also legalized adult-use cannabis, but has not fully launched its adult-use program. Minnesota adult-use sales are expected to begin in 2025.</w:t>
      </w:r>
    </w:p>
    <w:p>
      <w:pPr>
        <w:sectPr>
          <w:pgSz w:w="12240" w:h="15840" w:orient="portrait"/>
          <w:cols w:equalWidth="0" w:num="1">
            <w:col w:w="10800"/>
          </w:cols>
          <w:pgMar w:left="720" w:top="926" w:right="720" w:bottom="175" w:gutter="0" w:footer="0" w:header="0"/>
        </w:sectPr>
      </w:pP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926" w:right="720" w:bottom="175" w:gutter="0" w:footer="0" w:header="0"/>
          <w:type w:val="continuous"/>
        </w:sectPr>
      </w:pPr>
    </w:p>
    <w:bookmarkStart w:id="24" w:name="page25"/>
    <w:bookmarkEnd w:id="24"/>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Company’s Adult-Use Markets</w:t>
      </w:r>
    </w:p>
    <w:p>
      <w:pPr>
        <w:spacing w:after="0" w:line="23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Company has adult-use operations in California, Connecticut, Illinois, Maryland, Massachusetts, Nevada, New Jersey, New York, Ohio and Rhode Island. Many of the adult-use markets in which the Company operates have fewer barriers to entry and more closely reflect free market dynamics typically seen in mature retail and manufacturing industries. The growth of these markets poses a risk of increased competition. However, management views the Company’s market share as less at risk than operators without a current operating footprint due to our established brand recognition and supply and distribution chains. Purchasers of adult-use cannabis generally are subject to higher sales taxes than those that apply to purchasers who are authorized for medical purposes. However, anecdotal evidence suggests that some consumers who meet the criteria to apply for medical licenses make adult-use purchases and avoid pursuing a state’s medical registration/qualification process.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Regulatory Environment in States Where We Operate</w:t>
      </w:r>
    </w:p>
    <w:p>
      <w:pPr>
        <w:spacing w:after="0" w:line="230" w:lineRule="exact"/>
        <w:rPr>
          <w:sz w:val="20"/>
          <w:szCs w:val="20"/>
          <w:color w:val="auto"/>
        </w:rPr>
      </w:pPr>
    </w:p>
    <w:p>
      <w:pPr>
        <w:ind w:right="300" w:firstLine="720"/>
        <w:spacing w:after="0" w:line="277" w:lineRule="auto"/>
        <w:rPr>
          <w:sz w:val="20"/>
          <w:szCs w:val="20"/>
          <w:color w:val="auto"/>
        </w:rPr>
      </w:pPr>
      <w:r>
        <w:rPr>
          <w:rFonts w:ascii="Times New Roman" w:cs="Times New Roman" w:eastAsia="Times New Roman" w:hAnsi="Times New Roman"/>
          <w:sz w:val="20"/>
          <w:szCs w:val="20"/>
          <w:color w:val="auto"/>
        </w:rPr>
        <w:t>The risk of federal enforcement and other risks associated with the Company’s business are described in Item 1A—“Risk Factors.”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Regulation of the Cannabis Market at State and Local Level</w:t>
      </w:r>
    </w:p>
    <w:p>
      <w:pPr>
        <w:spacing w:after="0" w:line="230"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color w:val="auto"/>
        </w:rPr>
        <w:t>Following the thesis that distributing brands at scale will win, we enter markets where we believe that we can profitably and sustainably operate and command significant market share, and thus maximize consumer and brand awareness.</w:t>
      </w:r>
    </w:p>
    <w:p>
      <w:pPr>
        <w:spacing w:after="0" w:line="159" w:lineRule="exact"/>
        <w:rPr>
          <w:sz w:val="20"/>
          <w:szCs w:val="20"/>
          <w:color w:val="auto"/>
        </w:rPr>
      </w:pPr>
    </w:p>
    <w:p>
      <w:pPr>
        <w:ind w:firstLine="720"/>
        <w:spacing w:after="0" w:line="262" w:lineRule="auto"/>
        <w:rPr>
          <w:sz w:val="20"/>
          <w:szCs w:val="20"/>
          <w:color w:val="auto"/>
        </w:rPr>
      </w:pPr>
      <w:r>
        <w:rPr>
          <w:rFonts w:ascii="Times New Roman" w:cs="Times New Roman" w:eastAsia="Times New Roman" w:hAnsi="Times New Roman"/>
          <w:sz w:val="20"/>
          <w:szCs w:val="20"/>
          <w:color w:val="auto"/>
        </w:rPr>
        <w:t>Each state in which we operate specifies the types of cannabis licenses that are required for the various activities in which we engage. There are three primary types of licenses: cultivation, processing, and retail/dispensary. Cultivation licenses generally permit the holder to acquire and cultivate cannabis and sell that cannabis to dispensaries or processors. Some states allow cultivation license holders to process cannabis into cannabis-infused products as well, while other states require a separate processing license for this activity. Retail dispensary licenses permit the holder to purchase cannabis from cultivation or processing facilities and sell those products to individuals approved under their state’s medical cannabis program or, where adult-use is permitted, to adults over the age of 21. Some states require a separate license for each activity, while others issue a single vertically integrated license that allows the holder to cultivate, process, and sell cannabis.</w:t>
      </w:r>
    </w:p>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Below is a summary overview of the regulatory and competitive frameworks in each of our operating markets.</w:t>
      </w:r>
    </w:p>
    <w:p>
      <w:pPr>
        <w:spacing w:after="0" w:line="2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California</w:t>
      </w:r>
    </w:p>
    <w:p>
      <w:pPr>
        <w:spacing w:after="0" w:line="2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California was the first state to legalize medical cannabis through Proposition 215, the Compassionate Use Act of 1996.</w:t>
      </w:r>
    </w:p>
    <w:p>
      <w:pPr>
        <w:spacing w:after="0" w:line="263" w:lineRule="exact"/>
        <w:rPr>
          <w:sz w:val="20"/>
          <w:szCs w:val="20"/>
          <w:color w:val="auto"/>
        </w:rPr>
      </w:pPr>
    </w:p>
    <w:p>
      <w:pPr>
        <w:jc w:val="both"/>
        <w:ind w:right="40" w:firstLine="720"/>
        <w:spacing w:after="0" w:line="269" w:lineRule="auto"/>
        <w:rPr>
          <w:sz w:val="20"/>
          <w:szCs w:val="20"/>
          <w:color w:val="auto"/>
        </w:rPr>
      </w:pPr>
      <w:r>
        <w:rPr>
          <w:rFonts w:ascii="Times New Roman" w:cs="Times New Roman" w:eastAsia="Times New Roman" w:hAnsi="Times New Roman"/>
          <w:sz w:val="20"/>
          <w:szCs w:val="20"/>
          <w:color w:val="auto"/>
        </w:rPr>
        <w:t>In September 2015, the California legislature passed three bills collectively known as the Medical Cannabis Regulation and Safety Act. In November 2016, voters in California overwhelmingly passed Proposition 64, the Adult-Use of Marijuana Act creating an adult-use cannabis program for adults 21 years of age or older. The Medicinal and Adult-Use Cannabis Regulation and Safety Act, which provides for a single set of regulations to govern a medical and adult-use licensing went into effect on January 1, 2018.</w:t>
      </w:r>
    </w:p>
    <w:p>
      <w:pPr>
        <w:spacing w:after="0" w:line="200" w:lineRule="exact"/>
        <w:rPr>
          <w:sz w:val="20"/>
          <w:szCs w:val="20"/>
          <w:color w:val="auto"/>
        </w:rPr>
      </w:pPr>
    </w:p>
    <w:p>
      <w:pPr>
        <w:ind w:firstLine="720"/>
        <w:spacing w:after="0" w:line="287" w:lineRule="auto"/>
        <w:rPr>
          <w:sz w:val="20"/>
          <w:szCs w:val="20"/>
          <w:color w:val="auto"/>
        </w:rPr>
      </w:pPr>
      <w:r>
        <w:rPr>
          <w:rFonts w:ascii="Times New Roman" w:cs="Times New Roman" w:eastAsia="Times New Roman" w:hAnsi="Times New Roman"/>
          <w:sz w:val="19"/>
          <w:szCs w:val="19"/>
          <w:color w:val="auto"/>
        </w:rPr>
        <w:t>The three agencies that regulate cannabis at the state level are: (a) the California Department of Food and Agriculture, via CalCannabis, which issues licenses to cannabis cultivators; (b) the California Department of 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California License and Regulations</w:t>
      </w:r>
    </w:p>
    <w:p>
      <w:pPr>
        <w:spacing w:after="0" w:line="261" w:lineRule="exact"/>
        <w:rPr>
          <w:sz w:val="20"/>
          <w:szCs w:val="20"/>
          <w:color w:val="auto"/>
        </w:rPr>
      </w:pPr>
    </w:p>
    <w:p>
      <w:pPr>
        <w:ind w:right="160" w:firstLine="720"/>
        <w:spacing w:after="0" w:line="275" w:lineRule="auto"/>
        <w:rPr>
          <w:sz w:val="20"/>
          <w:szCs w:val="20"/>
          <w:color w:val="auto"/>
        </w:rPr>
      </w:pPr>
      <w:r>
        <w:rPr>
          <w:rFonts w:ascii="Times New Roman" w:cs="Times New Roman" w:eastAsia="Times New Roman" w:hAnsi="Times New Roman"/>
          <w:sz w:val="20"/>
          <w:szCs w:val="20"/>
          <w:color w:val="auto"/>
        </w:rPr>
        <w:t>In order to legally operate a medical or adult-use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194" w:lineRule="exact"/>
        <w:rPr>
          <w:sz w:val="20"/>
          <w:szCs w:val="20"/>
          <w:color w:val="auto"/>
        </w:rPr>
      </w:pPr>
    </w:p>
    <w:p>
      <w:pPr>
        <w:ind w:right="340" w:firstLine="720"/>
        <w:spacing w:after="0" w:line="275" w:lineRule="auto"/>
        <w:rPr>
          <w:sz w:val="20"/>
          <w:szCs w:val="20"/>
          <w:color w:val="auto"/>
        </w:rPr>
      </w:pPr>
      <w:r>
        <w:rPr>
          <w:rFonts w:ascii="Times New Roman" w:cs="Times New Roman" w:eastAsia="Times New Roman" w:hAnsi="Times New Roman"/>
          <w:sz w:val="20"/>
          <w:szCs w:val="20"/>
          <w:color w:val="auto"/>
        </w:rPr>
        <w:t>In 2021, we opened our first California retail operation in Pasadena. We follow all regulatory requirements regarding the reporting of inventory movement and sale, as well as all other data reporting and record retention requirements mandated by California.</w:t>
      </w:r>
    </w:p>
    <w:p>
      <w:pPr>
        <w:sectPr>
          <w:pgSz w:w="12240" w:h="15840" w:orient="portrait"/>
          <w:cols w:equalWidth="0" w:num="1">
            <w:col w:w="10740"/>
          </w:cols>
          <w:pgMar w:left="720" w:top="1160" w:right="780" w:bottom="175"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740"/>
          </w:cols>
          <w:pgMar w:left="720" w:top="1160" w:right="780" w:bottom="175" w:gutter="0" w:footer="0" w:header="0"/>
          <w:type w:val="continuous"/>
        </w:sectPr>
      </w:pPr>
    </w:p>
    <w:bookmarkStart w:id="25" w:name="page26"/>
    <w:bookmarkEnd w:id="25"/>
    <w:p>
      <w:pPr>
        <w:ind w:left="720"/>
        <w:spacing w:after="0"/>
        <w:rPr>
          <w:sz w:val="20"/>
          <w:szCs w:val="20"/>
          <w:color w:val="auto"/>
        </w:rPr>
      </w:pPr>
      <w:r>
        <w:rPr>
          <w:rFonts w:ascii="Times New Roman" w:cs="Times New Roman" w:eastAsia="Times New Roman" w:hAnsi="Times New Roman"/>
          <w:sz w:val="20"/>
          <w:szCs w:val="20"/>
          <w:u w:val="single" w:color="auto"/>
          <w:color w:val="auto"/>
        </w:rPr>
        <w:t>Connecticut</w:t>
      </w:r>
    </w:p>
    <w:p>
      <w:pPr>
        <w:spacing w:after="0" w:line="263"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Connecticut’s medical cannabis program was introduced in May 2012 when the General Assembly passed legislation PA 12-55 “An Act Concerning the Palliative Use of Marijuana,” providing for the use of cannabis in the state by approved patients with written consent from a physician or advanced practice nurse. In June 2021, PA 21-1 was signed into law, legalizing adult-use cannabis as of July 1, 2021. On July 1, 2021, PA 21-1 went into effect, allowing for the purchase and use of cannabis by any adult over the age of 21. The first adult-use sales in the state began in January 2023.</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Connecticut Licenses and Regulations</w:t>
      </w:r>
    </w:p>
    <w:p>
      <w:pPr>
        <w:spacing w:after="0" w:line="261" w:lineRule="exact"/>
        <w:rPr>
          <w:sz w:val="20"/>
          <w:szCs w:val="20"/>
          <w:color w:val="auto"/>
        </w:rPr>
      </w:pPr>
    </w:p>
    <w:p>
      <w:pPr>
        <w:ind w:right="100" w:firstLine="720"/>
        <w:spacing w:after="0" w:line="294" w:lineRule="auto"/>
        <w:rPr>
          <w:sz w:val="20"/>
          <w:szCs w:val="20"/>
          <w:color w:val="auto"/>
        </w:rPr>
      </w:pPr>
      <w:r>
        <w:rPr>
          <w:rFonts w:ascii="Times New Roman" w:cs="Times New Roman" w:eastAsia="Times New Roman" w:hAnsi="Times New Roman"/>
          <w:sz w:val="20"/>
          <w:szCs w:val="20"/>
          <w:color w:val="auto"/>
        </w:rPr>
        <w:t>The Connecticut Department of Consumer Protection has issued regulations regarding the Medical Marijuana and Adult-use Programs in Connecticut.</w:t>
      </w:r>
    </w:p>
    <w:p>
      <w:pPr>
        <w:spacing w:after="0" w:line="175"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There are two principal medical cannabis license categories in Connecticut: (1) cultivation/processing and (2) dispensary. We are licensed to operate one hybrid adult-use/medical cannabis cultivation/processing facility, one medical cannabis dispensary and two hybrid adult-use/medical cannabis dispensaries. All licenses are, as of the date hereof, active with the State of Connecticut. Each facility licensee is independently issued.</w:t>
      </w:r>
    </w:p>
    <w:p>
      <w:pPr>
        <w:spacing w:after="0" w:line="200"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Connecticut.</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Florida</w:t>
      </w:r>
    </w:p>
    <w:p>
      <w:pPr>
        <w:spacing w:after="0" w:line="263" w:lineRule="exact"/>
        <w:rPr>
          <w:sz w:val="20"/>
          <w:szCs w:val="20"/>
          <w:color w:val="auto"/>
        </w:rPr>
      </w:pPr>
    </w:p>
    <w:p>
      <w:pPr>
        <w:ind w:right="520" w:firstLine="720"/>
        <w:spacing w:after="0" w:line="275" w:lineRule="auto"/>
        <w:rPr>
          <w:sz w:val="20"/>
          <w:szCs w:val="20"/>
          <w:color w:val="auto"/>
        </w:rPr>
      </w:pPr>
      <w:r>
        <w:rPr>
          <w:rFonts w:ascii="Times New Roman" w:cs="Times New Roman" w:eastAsia="Times New Roman" w:hAnsi="Times New Roman"/>
          <w:sz w:val="20"/>
          <w:szCs w:val="20"/>
          <w:color w:val="auto"/>
        </w:rPr>
        <w:t>In 2016, the Florida Medical Marijuana Legalization Initiative was introduced by citizen referendum and passed on November 8, 2016. This language, known as “Amendment 2,” amended the state constitution and mandated an expansion of the state’s medical cannabis program, which was previously limited to patients suffering from a diagnosed terminal condition.</w:t>
      </w:r>
    </w:p>
    <w:p>
      <w:pPr>
        <w:spacing w:after="0" w:line="194" w:lineRule="exact"/>
        <w:rPr>
          <w:sz w:val="20"/>
          <w:szCs w:val="20"/>
          <w:color w:val="auto"/>
        </w:rPr>
      </w:pPr>
    </w:p>
    <w:p>
      <w:pPr>
        <w:jc w:val="both"/>
        <w:ind w:right="180" w:firstLine="720"/>
        <w:spacing w:after="0" w:line="275" w:lineRule="auto"/>
        <w:rPr>
          <w:sz w:val="20"/>
          <w:szCs w:val="20"/>
          <w:color w:val="auto"/>
        </w:rPr>
      </w:pPr>
      <w:r>
        <w:rPr>
          <w:rFonts w:ascii="Times New Roman" w:cs="Times New Roman" w:eastAsia="Times New Roman" w:hAnsi="Times New Roman"/>
          <w:sz w:val="20"/>
          <w:szCs w:val="20"/>
          <w:color w:val="auto"/>
        </w:rPr>
        <w:t>Amendment 2, and the resulting expansion of qualifying medical conditions, became effective on January 3, 2017. On June 9, 2017, the Florida House of Representatives and Florida Senate passed respective legislation to implement the expanded program, which officially became law on June 23, 2017.</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Florida Licenses and Regulations</w:t>
      </w:r>
    </w:p>
    <w:p>
      <w:pPr>
        <w:spacing w:after="0" w:line="261"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There is one principal license category in Florida: the vertically-integrated Medical Marijuana Treatment Centers (“MMTC”) license. Licenses are issued by the Florida Department of Health, Office of Medical Marijuana Use, and license holders can only own one license. There is no limit on the number of facilities that can be operated under an MMTC license. We currently are approved to operate two medical cannabis cultivation/processing facilities and twenty-one medical cannabis dispensaries under our single MMTC license. All operating facilities are, as of the date hereof, active with the State of Florida.</w:t>
      </w:r>
    </w:p>
    <w:p>
      <w:pPr>
        <w:spacing w:after="0" w:line="203" w:lineRule="exact"/>
        <w:rPr>
          <w:sz w:val="20"/>
          <w:szCs w:val="20"/>
          <w:color w:val="auto"/>
        </w:rPr>
      </w:pPr>
    </w:p>
    <w:p>
      <w:pPr>
        <w:ind w:right="180" w:firstLine="720"/>
        <w:spacing w:after="0" w:line="294" w:lineRule="auto"/>
        <w:rPr>
          <w:sz w:val="20"/>
          <w:szCs w:val="20"/>
          <w:color w:val="auto"/>
        </w:rPr>
      </w:pPr>
      <w:r>
        <w:rPr>
          <w:rFonts w:ascii="Times New Roman" w:cs="Times New Roman" w:eastAsia="Times New Roman" w:hAnsi="Times New Roman"/>
          <w:sz w:val="20"/>
          <w:szCs w:val="20"/>
          <w:color w:val="auto"/>
        </w:rPr>
        <w:t>As our operations in Florida are vertically integrated, we are able to cultivate, harvest, process and sell/dispense/deliver our own medical cannabis products.</w:t>
      </w:r>
    </w:p>
    <w:p>
      <w:pPr>
        <w:spacing w:after="0" w:line="175"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Florida.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Illinois</w:t>
      </w:r>
    </w:p>
    <w:p>
      <w:pPr>
        <w:spacing w:after="0" w:line="263" w:lineRule="exact"/>
        <w:rPr>
          <w:sz w:val="20"/>
          <w:szCs w:val="20"/>
          <w:color w:val="auto"/>
        </w:rPr>
      </w:pPr>
    </w:p>
    <w:p>
      <w:pPr>
        <w:ind w:right="180" w:firstLine="720"/>
        <w:spacing w:after="0" w:line="269" w:lineRule="auto"/>
        <w:rPr>
          <w:sz w:val="20"/>
          <w:szCs w:val="20"/>
          <w:color w:val="auto"/>
        </w:rPr>
      </w:pPr>
      <w:r>
        <w:rPr>
          <w:rFonts w:ascii="Times New Roman" w:cs="Times New Roman" w:eastAsia="Times New Roman" w:hAnsi="Times New Roman"/>
          <w:sz w:val="20"/>
          <w:szCs w:val="20"/>
          <w:color w:val="auto"/>
        </w:rPr>
        <w:t>In 2013, the Illinois General Assembly passed the Compassionate Use of Medical Cannabis Pilot Program Act, which went into effect on January 1, 2014, allowing the use of cannabis in the state by approved patients with written medical consent. In June 2019, the Governor signed the Cannabis Regulation and Tax Act, legalizing cannabis for adult-use, and the law went into effect on June 25, 2019. Adult-use sales of cannabis began in the state on January 1, 2020.</w:t>
      </w:r>
    </w:p>
    <w:p>
      <w:pPr>
        <w:sectPr>
          <w:pgSz w:w="12240" w:h="15840" w:orient="portrait"/>
          <w:cols w:equalWidth="0" w:num="1">
            <w:col w:w="10780"/>
          </w:cols>
          <w:pgMar w:left="720" w:top="117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780"/>
          </w:cols>
          <w:pgMar w:left="720" w:top="1176" w:right="740" w:bottom="175" w:gutter="0" w:footer="0" w:header="0"/>
          <w:type w:val="continuous"/>
        </w:sectPr>
      </w:pPr>
    </w:p>
    <w:bookmarkStart w:id="26" w:name="page27"/>
    <w:bookmarkEnd w:id="26"/>
    <w:p>
      <w:pPr>
        <w:ind w:left="720"/>
        <w:spacing w:after="0"/>
        <w:rPr>
          <w:sz w:val="20"/>
          <w:szCs w:val="20"/>
          <w:color w:val="auto"/>
        </w:rPr>
      </w:pPr>
      <w:r>
        <w:rPr>
          <w:rFonts w:ascii="Times New Roman" w:cs="Times New Roman" w:eastAsia="Times New Roman" w:hAnsi="Times New Roman"/>
          <w:sz w:val="20"/>
          <w:szCs w:val="20"/>
          <w:i w:val="1"/>
          <w:iCs w:val="1"/>
          <w:color w:val="auto"/>
        </w:rPr>
        <w:t>Illinois Licenses and Regulations</w:t>
      </w:r>
    </w:p>
    <w:p>
      <w:pPr>
        <w:spacing w:after="0" w:line="261" w:lineRule="exact"/>
        <w:rPr>
          <w:sz w:val="20"/>
          <w:szCs w:val="20"/>
          <w:color w:val="auto"/>
        </w:rPr>
      </w:pPr>
    </w:p>
    <w:p>
      <w:pPr>
        <w:ind w:right="80" w:firstLine="720"/>
        <w:spacing w:after="0" w:line="264" w:lineRule="auto"/>
        <w:rPr>
          <w:sz w:val="20"/>
          <w:szCs w:val="20"/>
          <w:color w:val="auto"/>
        </w:rPr>
      </w:pPr>
      <w:r>
        <w:rPr>
          <w:rFonts w:ascii="Times New Roman" w:cs="Times New Roman" w:eastAsia="Times New Roman" w:hAnsi="Times New Roman"/>
          <w:sz w:val="20"/>
          <w:szCs w:val="20"/>
          <w:color w:val="auto"/>
        </w:rPr>
        <w:t>There are four principal license categories in Illinois: (1) cultivation (which includes processing); (2) infusing; (3) transportation; and (4) dispensary. Dispensaries are regulated by the Illinois Department of Financial and Professional Regulation; the remainder are regulated by the Illinois Department of Agriculture. Licenses are independently issued for each approved activity for use at our facilities in Illinois. We have two cultivation facilities operating under two cultivation licenses. We have 10 operating dispensaries, which is the statutory cap, operating under 15 total licenses (10 adult-use dispensary licenses and 5 medical dispensary licenses). By applicable law, we are not permitted to add medical dispensary licenses to the 5 locations that only have adult-use sales.</w:t>
      </w:r>
    </w:p>
    <w:p>
      <w:pPr>
        <w:spacing w:after="0" w:line="206" w:lineRule="exact"/>
        <w:rPr>
          <w:sz w:val="20"/>
          <w:szCs w:val="20"/>
          <w:color w:val="auto"/>
        </w:rPr>
      </w:pPr>
    </w:p>
    <w:p>
      <w:pPr>
        <w:ind w:right="52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Illinois.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Maryland</w:t>
      </w:r>
    </w:p>
    <w:p>
      <w:pPr>
        <w:spacing w:after="0" w:line="263" w:lineRule="exact"/>
        <w:rPr>
          <w:sz w:val="20"/>
          <w:szCs w:val="20"/>
          <w:color w:val="auto"/>
        </w:rPr>
      </w:pPr>
    </w:p>
    <w:p>
      <w:pPr>
        <w:ind w:right="240" w:firstLine="720"/>
        <w:spacing w:after="0" w:line="294" w:lineRule="auto"/>
        <w:rPr>
          <w:sz w:val="20"/>
          <w:szCs w:val="20"/>
          <w:color w:val="auto"/>
        </w:rPr>
      </w:pPr>
      <w:r>
        <w:rPr>
          <w:rFonts w:ascii="Times New Roman" w:cs="Times New Roman" w:eastAsia="Times New Roman" w:hAnsi="Times New Roman"/>
          <w:sz w:val="20"/>
          <w:szCs w:val="20"/>
          <w:color w:val="auto"/>
        </w:rPr>
        <w:t>In 2014, the Maryland legislature passed HB 881/SB 923, establishing a comprehensive medical cannabis program and the program became operational on December 1, 2017.</w:t>
      </w:r>
    </w:p>
    <w:p>
      <w:pPr>
        <w:spacing w:after="0" w:line="175"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In 2023, the Cannabis Reform Act, which authorized the production and sale of adult-use cannabis was signed into law and adult-use sales in Maryland began on July 1, 2023. The Cannabis Reform Act also established the Maryland Cannabis Administration to oversee and regulate Maryland’s cannabis program and to issue additional grower, processor, and dispensary licenses, and newly created micro-grower, micro-processor, micro-dispensary, incubator, and on-site consumption licenses over two licensing application rounds.</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Maryland Licenses and Regulations</w:t>
      </w:r>
    </w:p>
    <w:p>
      <w:pPr>
        <w:spacing w:after="0" w:line="261"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There are three principal license categories in Maryland: (1) cultivation; (2) processing; and (3) dispensary. There is generally no distinction between medical and adult-use licenses. We own one cultivation license, one processing license and four retail dispensary licenses. All licenses are, as of the date hereof, active with the State of Maryland. The licenses are independently issued for each approved activity.</w:t>
      </w:r>
    </w:p>
    <w:p>
      <w:pPr>
        <w:spacing w:after="0" w:line="184" w:lineRule="exact"/>
        <w:rPr>
          <w:sz w:val="20"/>
          <w:szCs w:val="20"/>
          <w:color w:val="auto"/>
        </w:rPr>
      </w:pPr>
    </w:p>
    <w:p>
      <w:pPr>
        <w:ind w:right="520" w:firstLine="720"/>
        <w:spacing w:after="0" w:line="277"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Maryland.</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Massachusetts</w:t>
      </w:r>
    </w:p>
    <w:p>
      <w:pPr>
        <w:spacing w:after="0" w:line="263" w:lineRule="exact"/>
        <w:rPr>
          <w:sz w:val="20"/>
          <w:szCs w:val="20"/>
          <w:color w:val="auto"/>
        </w:rPr>
      </w:pPr>
    </w:p>
    <w:p>
      <w:pPr>
        <w:jc w:val="both"/>
        <w:ind w:right="280" w:firstLine="720"/>
        <w:spacing w:after="0" w:line="275" w:lineRule="auto"/>
        <w:rPr>
          <w:sz w:val="20"/>
          <w:szCs w:val="20"/>
          <w:color w:val="auto"/>
        </w:rPr>
      </w:pPr>
      <w:r>
        <w:rPr>
          <w:rFonts w:ascii="Times New Roman" w:cs="Times New Roman" w:eastAsia="Times New Roman" w:hAnsi="Times New Roman"/>
          <w:sz w:val="20"/>
          <w:szCs w:val="20"/>
          <w:color w:val="auto"/>
        </w:rPr>
        <w:t>Massachusetts legalized medical cannabis when voters passed a ballot initiative in 2012. The law took effect on January 1, 2013. Adult-use cannabis became legal in Massachusetts as of December 15, 2016, following a ballot initiative in November 2016. The Cannabis Control Commission regulates medical and adult-use of cannabis in the state.</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Massachusetts Licenses and Regulations</w:t>
      </w:r>
    </w:p>
    <w:p>
      <w:pPr>
        <w:spacing w:after="0" w:line="261" w:lineRule="exact"/>
        <w:rPr>
          <w:sz w:val="20"/>
          <w:szCs w:val="20"/>
          <w:color w:val="auto"/>
        </w:rPr>
      </w:pPr>
    </w:p>
    <w:p>
      <w:pPr>
        <w:ind w:right="500" w:firstLine="720"/>
        <w:spacing w:after="0" w:line="275" w:lineRule="auto"/>
        <w:rPr>
          <w:sz w:val="20"/>
          <w:szCs w:val="20"/>
          <w:color w:val="auto"/>
        </w:rPr>
      </w:pPr>
      <w:r>
        <w:rPr>
          <w:rFonts w:ascii="Times New Roman" w:cs="Times New Roman" w:eastAsia="Times New Roman" w:hAnsi="Times New Roman"/>
          <w:sz w:val="20"/>
          <w:szCs w:val="20"/>
          <w:color w:val="auto"/>
        </w:rPr>
        <w:t>There is one principal medical cannabis license category in Massachusetts: a vertically integrated Medical Marijuana Treatment Center (“MTC”) license. MTCs grow, process and dispense their own cannabis. On the adult-use side, there are many license categories, but the two principal ones are Marijuana Cultivator and Marijuana Establishment (dispensary).</w:t>
      </w:r>
    </w:p>
    <w:p>
      <w:pPr>
        <w:spacing w:after="0" w:line="194" w:lineRule="exact"/>
        <w:rPr>
          <w:sz w:val="20"/>
          <w:szCs w:val="20"/>
          <w:color w:val="auto"/>
        </w:rPr>
      </w:pPr>
    </w:p>
    <w:p>
      <w:pPr>
        <w:ind w:right="800" w:firstLine="720"/>
        <w:spacing w:after="0" w:line="294" w:lineRule="auto"/>
        <w:rPr>
          <w:sz w:val="20"/>
          <w:szCs w:val="20"/>
          <w:color w:val="auto"/>
        </w:rPr>
      </w:pPr>
      <w:r>
        <w:rPr>
          <w:rFonts w:ascii="Times New Roman" w:cs="Times New Roman" w:eastAsia="Times New Roman" w:hAnsi="Times New Roman"/>
          <w:sz w:val="20"/>
          <w:szCs w:val="20"/>
          <w:color w:val="auto"/>
        </w:rPr>
        <w:t>The Cannabis Control Commission oversees the medical and adult-use programs, including licensing of cultivation, processing and dispensary facilities. Licensed medical dispensaries are given priority status in adult-use licensing.</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two MTCs in Massachusetts, which include two medical cultivation facilities and two medical retail dispensaries.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three adult-use dispensaries and one adult-use cultivation center.</w:t>
      </w:r>
    </w:p>
    <w:p>
      <w:pPr>
        <w:spacing w:after="0" w:line="243" w:lineRule="exact"/>
        <w:rPr>
          <w:sz w:val="20"/>
          <w:szCs w:val="20"/>
          <w:color w:val="auto"/>
        </w:rPr>
      </w:pPr>
    </w:p>
    <w:p>
      <w:pPr>
        <w:ind w:right="52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Massachusetts.</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932" w:right="720" w:bottom="175" w:gutter="0" w:footer="0" w:header="0"/>
          <w:type w:val="continuous"/>
        </w:sectPr>
      </w:pPr>
    </w:p>
    <w:bookmarkStart w:id="27" w:name="page28"/>
    <w:bookmarkEnd w:id="27"/>
    <w:p>
      <w:pPr>
        <w:ind w:left="720"/>
        <w:spacing w:after="0"/>
        <w:rPr>
          <w:sz w:val="20"/>
          <w:szCs w:val="20"/>
          <w:color w:val="auto"/>
        </w:rPr>
      </w:pPr>
      <w:r>
        <w:rPr>
          <w:rFonts w:ascii="Times New Roman" w:cs="Times New Roman" w:eastAsia="Times New Roman" w:hAnsi="Times New Roman"/>
          <w:sz w:val="20"/>
          <w:szCs w:val="20"/>
          <w:u w:val="single" w:color="auto"/>
          <w:color w:val="auto"/>
        </w:rPr>
        <w:t>Minnesota</w:t>
      </w:r>
    </w:p>
    <w:p>
      <w:pPr>
        <w:spacing w:after="0" w:line="263" w:lineRule="exact"/>
        <w:rPr>
          <w:sz w:val="20"/>
          <w:szCs w:val="20"/>
          <w:color w:val="auto"/>
        </w:rPr>
      </w:pPr>
    </w:p>
    <w:p>
      <w:pPr>
        <w:ind w:right="480" w:firstLine="720"/>
        <w:spacing w:after="0" w:line="294" w:lineRule="auto"/>
        <w:rPr>
          <w:sz w:val="20"/>
          <w:szCs w:val="20"/>
          <w:color w:val="auto"/>
        </w:rPr>
      </w:pPr>
      <w:r>
        <w:rPr>
          <w:rFonts w:ascii="Times New Roman" w:cs="Times New Roman" w:eastAsia="Times New Roman" w:hAnsi="Times New Roman"/>
          <w:sz w:val="20"/>
          <w:szCs w:val="20"/>
          <w:color w:val="auto"/>
        </w:rPr>
        <w:t>In 2014, Minnesota created a medical cannabis program for patients with qualifying medical conditions upon physician, physician assistant or nurse practitioner recommendation.</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Minnesota License and Regulations</w:t>
      </w:r>
    </w:p>
    <w:p>
      <w:pPr>
        <w:spacing w:after="0" w:line="261" w:lineRule="exact"/>
        <w:rPr>
          <w:sz w:val="20"/>
          <w:szCs w:val="20"/>
          <w:color w:val="auto"/>
        </w:rPr>
      </w:pPr>
    </w:p>
    <w:p>
      <w:pPr>
        <w:ind w:right="280" w:firstLine="720"/>
        <w:spacing w:after="0" w:line="294" w:lineRule="auto"/>
        <w:rPr>
          <w:sz w:val="20"/>
          <w:szCs w:val="20"/>
          <w:color w:val="auto"/>
        </w:rPr>
      </w:pPr>
      <w:r>
        <w:rPr>
          <w:rFonts w:ascii="Times New Roman" w:cs="Times New Roman" w:eastAsia="Times New Roman" w:hAnsi="Times New Roman"/>
          <w:sz w:val="20"/>
          <w:szCs w:val="20"/>
          <w:color w:val="auto"/>
        </w:rPr>
        <w:t>There are four principal categories of medical cannabis licenses in Minnesota: (1) medical cannabis cultivator; (2) medical cannabis processor; (3) medical cannabis retailer; and (4) medical cannabis combination business license.</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main regulatory body for medical cannabis is the Office of Cannabis Management, Division of Medical Cannabis.</w:t>
      </w:r>
    </w:p>
    <w:p>
      <w:pPr>
        <w:spacing w:after="0" w:line="263" w:lineRule="exact"/>
        <w:rPr>
          <w:sz w:val="20"/>
          <w:szCs w:val="20"/>
          <w:color w:val="auto"/>
        </w:rPr>
      </w:pPr>
    </w:p>
    <w:p>
      <w:pPr>
        <w:ind w:right="640" w:firstLine="720"/>
        <w:spacing w:after="0" w:line="294" w:lineRule="auto"/>
        <w:rPr>
          <w:sz w:val="20"/>
          <w:szCs w:val="20"/>
          <w:color w:val="auto"/>
        </w:rPr>
      </w:pPr>
      <w:r>
        <w:rPr>
          <w:rFonts w:ascii="Times New Roman" w:cs="Times New Roman" w:eastAsia="Times New Roman" w:hAnsi="Times New Roman"/>
          <w:sz w:val="20"/>
          <w:szCs w:val="20"/>
          <w:color w:val="auto"/>
        </w:rPr>
        <w:t>As of December 31, 2024, we have one cultivation and processing facility and eight operating medical dispensaries in Minnesota.</w:t>
      </w:r>
    </w:p>
    <w:p>
      <w:pPr>
        <w:spacing w:after="0" w:line="175"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In 2022, Minnesota made changes to a hemp statute (Minn. Stat. 151.72), permitting the sale of “low-dose” hemp derived THC products (psychoactive hemp-based products), including edibles, beverages, and topicals, in retail outlets like grocery and convenience stores upon licensure from the State. On June 6, 2023, Minnesota Governor Tim Walz signed the Minnesota Adult Use Cannabis Act creating a framework for adult-use legalization and establishing the Office of Cannabis Management (OCM), which is responsible for regulating cannabis and hemp. Retail sales of Cannabis under the adult-use statute are expected to begin in 2025.</w:t>
      </w:r>
    </w:p>
    <w:p>
      <w:pPr>
        <w:spacing w:after="0" w:line="203" w:lineRule="exact"/>
        <w:rPr>
          <w:sz w:val="20"/>
          <w:szCs w:val="20"/>
          <w:color w:val="auto"/>
        </w:rPr>
      </w:pPr>
    </w:p>
    <w:p>
      <w:pPr>
        <w:ind w:right="52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Minnesota.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Nevada</w:t>
      </w:r>
    </w:p>
    <w:p>
      <w:pPr>
        <w:spacing w:after="0" w:line="263" w:lineRule="exact"/>
        <w:rPr>
          <w:sz w:val="20"/>
          <w:szCs w:val="20"/>
          <w:color w:val="auto"/>
        </w:rPr>
      </w:pPr>
    </w:p>
    <w:p>
      <w:pPr>
        <w:jc w:val="both"/>
        <w:ind w:right="40" w:firstLine="720"/>
        <w:spacing w:after="0" w:line="266" w:lineRule="auto"/>
        <w:rPr>
          <w:sz w:val="20"/>
          <w:szCs w:val="20"/>
          <w:color w:val="auto"/>
        </w:rPr>
      </w:pPr>
      <w:r>
        <w:rPr>
          <w:rFonts w:ascii="Times New Roman" w:cs="Times New Roman" w:eastAsia="Times New Roman" w:hAnsi="Times New Roman"/>
          <w:sz w:val="20"/>
          <w:szCs w:val="20"/>
          <w:color w:val="auto"/>
        </w:rPr>
        <w:t>Nevada became a medical cannabis state in 2001. In 2013, the Nevada legislature passed SB374, providing for state licensing of medical cannabis establishments. On November 8, 2016, Nevada voters passed NRS 435D by ballot initiative allowing for the sale of cannabis for adult-use starting on July 1, 2017. On June 12, 2019, the laws were revised, creating the Nevada Cannabis Compliance Board to oversee administration of the program. These laws also provided that each cannabis establishment must obtain a license from its local jurisdiction as well as the state.</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Nevada Licenses and Regulations</w:t>
      </w:r>
    </w:p>
    <w:p>
      <w:pPr>
        <w:spacing w:after="0" w:line="261"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There are three principal license categories in Nevada: (1) cultivation; (2) processing; and (3) dispensary. We are licensed to operate two medical and adult-use cultivation facilities, three medical and adult-use processing facilities, five medical dispensaries and up to thirteen adult-use retail locations of which 11 are active. All licenses are, as of the date hereof, active with the State of Nevada. The licenses are independently issued for each approved activity for use at our facilities in Nevada.</w:t>
      </w:r>
    </w:p>
    <w:p>
      <w:pPr>
        <w:spacing w:after="0" w:line="200" w:lineRule="exact"/>
        <w:rPr>
          <w:sz w:val="20"/>
          <w:szCs w:val="20"/>
          <w:color w:val="auto"/>
        </w:rPr>
      </w:pPr>
    </w:p>
    <w:p>
      <w:pPr>
        <w:ind w:right="52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Nevada.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New Jersey</w:t>
      </w:r>
    </w:p>
    <w:p>
      <w:pPr>
        <w:spacing w:after="0" w:line="263" w:lineRule="exact"/>
        <w:rPr>
          <w:sz w:val="20"/>
          <w:szCs w:val="20"/>
          <w:color w:val="auto"/>
        </w:rPr>
      </w:pPr>
    </w:p>
    <w:p>
      <w:pPr>
        <w:ind w:right="380" w:firstLine="720"/>
        <w:spacing w:after="0" w:line="294" w:lineRule="auto"/>
        <w:rPr>
          <w:sz w:val="20"/>
          <w:szCs w:val="20"/>
          <w:color w:val="auto"/>
        </w:rPr>
      </w:pPr>
      <w:r>
        <w:rPr>
          <w:rFonts w:ascii="Times New Roman" w:cs="Times New Roman" w:eastAsia="Times New Roman" w:hAnsi="Times New Roman"/>
          <w:sz w:val="20"/>
          <w:szCs w:val="20"/>
          <w:color w:val="auto"/>
        </w:rPr>
        <w:t>On January 18, 2010, the governor of New Jersey signed into law S.119, the Compassionate Use Medical Marijuana Act, providing for permitting the use of medical cannabis with physician approval.</w:t>
      </w:r>
    </w:p>
    <w:p>
      <w:pPr>
        <w:spacing w:after="0" w:line="175" w:lineRule="exact"/>
        <w:rPr>
          <w:sz w:val="20"/>
          <w:szCs w:val="20"/>
          <w:color w:val="auto"/>
        </w:rPr>
      </w:pPr>
    </w:p>
    <w:p>
      <w:pPr>
        <w:ind w:right="440" w:firstLine="720"/>
        <w:spacing w:after="0" w:line="294" w:lineRule="auto"/>
        <w:rPr>
          <w:sz w:val="20"/>
          <w:szCs w:val="20"/>
          <w:color w:val="auto"/>
        </w:rPr>
      </w:pPr>
      <w:r>
        <w:rPr>
          <w:rFonts w:ascii="Times New Roman" w:cs="Times New Roman" w:eastAsia="Times New Roman" w:hAnsi="Times New Roman"/>
          <w:sz w:val="20"/>
          <w:szCs w:val="20"/>
          <w:color w:val="auto"/>
        </w:rPr>
        <w:t>On July 2, 2019, the governor of New Jersey signed the Jake Honig Compassionate Use Medical Cannabis Act into law, which amended the Compassionate Use Medical Marijuana Act to allow for more license types.</w:t>
      </w:r>
    </w:p>
    <w:p>
      <w:pPr>
        <w:spacing w:after="0" w:line="175" w:lineRule="exact"/>
        <w:rPr>
          <w:sz w:val="20"/>
          <w:szCs w:val="20"/>
          <w:color w:val="auto"/>
        </w:rPr>
      </w:pPr>
    </w:p>
    <w:p>
      <w:pPr>
        <w:ind w:right="340" w:firstLine="720"/>
        <w:spacing w:after="0" w:line="322" w:lineRule="auto"/>
        <w:rPr>
          <w:sz w:val="20"/>
          <w:szCs w:val="20"/>
          <w:color w:val="auto"/>
        </w:rPr>
      </w:pPr>
      <w:r>
        <w:rPr>
          <w:rFonts w:ascii="Times New Roman" w:cs="Times New Roman" w:eastAsia="Times New Roman" w:hAnsi="Times New Roman"/>
          <w:sz w:val="19"/>
          <w:szCs w:val="19"/>
          <w:color w:val="auto"/>
        </w:rPr>
        <w:t>After voters approved a ballot measure in November 2019, the governor of New Jersey signed three bills into law in 2021 that establish an adult-use program for adults who are at least 21 years old. New Jersey began adult-use sales on April 1, 2022.</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930" w:right="720" w:bottom="175" w:gutter="0" w:footer="0" w:header="0"/>
          <w:type w:val="continuous"/>
        </w:sectPr>
      </w:pPr>
    </w:p>
    <w:bookmarkStart w:id="28" w:name="page29"/>
    <w:bookmarkEnd w:id="28"/>
    <w:p>
      <w:pPr>
        <w:ind w:left="720"/>
        <w:spacing w:after="0"/>
        <w:rPr>
          <w:sz w:val="20"/>
          <w:szCs w:val="20"/>
          <w:color w:val="auto"/>
        </w:rPr>
      </w:pPr>
      <w:r>
        <w:rPr>
          <w:rFonts w:ascii="Times New Roman" w:cs="Times New Roman" w:eastAsia="Times New Roman" w:hAnsi="Times New Roman"/>
          <w:sz w:val="20"/>
          <w:szCs w:val="20"/>
          <w:i w:val="1"/>
          <w:iCs w:val="1"/>
          <w:color w:val="auto"/>
        </w:rPr>
        <w:t>New Jersey Licenses and Regulations</w:t>
      </w:r>
    </w:p>
    <w:p>
      <w:pPr>
        <w:spacing w:after="0" w:line="261" w:lineRule="exact"/>
        <w:rPr>
          <w:sz w:val="20"/>
          <w:szCs w:val="20"/>
          <w:color w:val="auto"/>
        </w:rPr>
      </w:pPr>
    </w:p>
    <w:p>
      <w:pPr>
        <w:ind w:right="200" w:firstLine="720"/>
        <w:spacing w:after="0" w:line="275" w:lineRule="auto"/>
        <w:rPr>
          <w:sz w:val="20"/>
          <w:szCs w:val="20"/>
          <w:color w:val="auto"/>
        </w:rPr>
      </w:pPr>
      <w:r>
        <w:rPr>
          <w:rFonts w:ascii="Times New Roman" w:cs="Times New Roman" w:eastAsia="Times New Roman" w:hAnsi="Times New Roman"/>
          <w:sz w:val="20"/>
          <w:szCs w:val="20"/>
          <w:color w:val="auto"/>
        </w:rPr>
        <w:t>The New Jersey Cannabis Regulatory Commission is responsible for regulating cannabis in New Jersey. License types in New Jersey include vertically integrated medical Alternative Treatment Centers and medical or adult-use cultivator, dispensary, and manufacturer licenses.</w:t>
      </w:r>
    </w:p>
    <w:p>
      <w:pPr>
        <w:spacing w:after="0" w:line="194" w:lineRule="exact"/>
        <w:rPr>
          <w:sz w:val="20"/>
          <w:szCs w:val="20"/>
          <w:color w:val="auto"/>
        </w:rPr>
      </w:pPr>
    </w:p>
    <w:p>
      <w:pPr>
        <w:jc w:val="both"/>
        <w:ind w:right="120" w:firstLine="720"/>
        <w:spacing w:after="0" w:line="269" w:lineRule="auto"/>
        <w:rPr>
          <w:sz w:val="20"/>
          <w:szCs w:val="20"/>
          <w:color w:val="auto"/>
        </w:rPr>
      </w:pPr>
      <w:r>
        <w:rPr>
          <w:rFonts w:ascii="Times New Roman" w:cs="Times New Roman" w:eastAsia="Times New Roman" w:hAnsi="Times New Roman"/>
          <w:sz w:val="20"/>
          <w:szCs w:val="20"/>
          <w:color w:val="auto"/>
        </w:rPr>
        <w:t>We are licensed to operate two adult-use/medical cultivation facilities, one of which is co-located with a processing facility, one retail medical cannabis dispensary and two retail adult-use/medical dispensaries in the state of New Jersey. All licenses are, as of the date hereof, active with the State of New Jersey. The licenses are independently issued for each approved activity at our facilities in New Jersey.</w:t>
      </w:r>
    </w:p>
    <w:p>
      <w:pPr>
        <w:spacing w:after="0" w:line="200"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New Jersey.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New York</w:t>
      </w:r>
    </w:p>
    <w:p>
      <w:pPr>
        <w:spacing w:after="0" w:line="263" w:lineRule="exact"/>
        <w:rPr>
          <w:sz w:val="20"/>
          <w:szCs w:val="20"/>
          <w:color w:val="auto"/>
        </w:rPr>
      </w:pPr>
    </w:p>
    <w:p>
      <w:pPr>
        <w:ind w:right="40" w:firstLine="720"/>
        <w:spacing w:after="0" w:line="275" w:lineRule="auto"/>
        <w:rPr>
          <w:sz w:val="20"/>
          <w:szCs w:val="20"/>
          <w:color w:val="auto"/>
        </w:rPr>
      </w:pPr>
      <w:r>
        <w:rPr>
          <w:rFonts w:ascii="Times New Roman" w:cs="Times New Roman" w:eastAsia="Times New Roman" w:hAnsi="Times New Roman"/>
          <w:sz w:val="20"/>
          <w:szCs w:val="20"/>
          <w:color w:val="auto"/>
        </w:rPr>
        <w:t>In July 2014, the New York Legislature and Governor enacted the Compassionate Care Act to provide a comprehensive, safe and effective medical cannabis program. The Compassionate Care Act provides access to the program for those who suffer from qualifying conditions and have a physician’s recommendation.</w:t>
      </w:r>
    </w:p>
    <w:p>
      <w:pPr>
        <w:spacing w:after="0" w:line="194"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In 2021, the Marijuana Regulation and Tax Act (“MRTA”) was signed into law. The MRTA legalized adult-use cannabis and established the New York Office of Cannabis Management, which continues to promulgate rules and regulations.</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New York Licenses and Regulations</w:t>
      </w:r>
    </w:p>
    <w:p>
      <w:pPr>
        <w:spacing w:after="0" w:line="261" w:lineRule="exact"/>
        <w:rPr>
          <w:sz w:val="20"/>
          <w:szCs w:val="20"/>
          <w:color w:val="auto"/>
        </w:rPr>
      </w:pPr>
    </w:p>
    <w:p>
      <w:pPr>
        <w:jc w:val="both"/>
        <w:ind w:right="240" w:firstLine="720"/>
        <w:spacing w:after="0" w:line="275" w:lineRule="auto"/>
        <w:rPr>
          <w:sz w:val="20"/>
          <w:szCs w:val="20"/>
          <w:color w:val="auto"/>
        </w:rPr>
      </w:pPr>
      <w:r>
        <w:rPr>
          <w:rFonts w:ascii="Times New Roman" w:cs="Times New Roman" w:eastAsia="Times New Roman" w:hAnsi="Times New Roman"/>
          <w:sz w:val="20"/>
          <w:szCs w:val="20"/>
          <w:color w:val="auto"/>
        </w:rPr>
        <w:t>The Office of Cannabis Management is the regulatory agency that oversees the adult-use and medical cannabis program in New York. There is currently one principal medical license category in New York: Registered Organization (a vertically integrated license).</w:t>
      </w:r>
    </w:p>
    <w:p>
      <w:pPr>
        <w:spacing w:after="0" w:line="194" w:lineRule="exact"/>
        <w:rPr>
          <w:sz w:val="20"/>
          <w:szCs w:val="20"/>
          <w:color w:val="auto"/>
        </w:rPr>
      </w:pPr>
    </w:p>
    <w:p>
      <w:pPr>
        <w:ind w:firstLine="720"/>
        <w:spacing w:after="0" w:line="269" w:lineRule="auto"/>
        <w:rPr>
          <w:sz w:val="20"/>
          <w:szCs w:val="20"/>
          <w:color w:val="auto"/>
        </w:rPr>
      </w:pPr>
      <w:r>
        <w:rPr>
          <w:rFonts w:ascii="Times New Roman" w:cs="Times New Roman" w:eastAsia="Times New Roman" w:hAnsi="Times New Roman"/>
          <w:sz w:val="20"/>
          <w:szCs w:val="20"/>
          <w:color w:val="auto"/>
        </w:rPr>
        <w:t>We hold a Registered Organization Adult-use Cultivator Processor Distributor Retail Dispensary (“ROD”) license. Under our ROD license, we operate one cultivation/manufacturing facility and five medical cannabis dispensaries. Three of our medical dispensaries have co-located adult-use sales. Under the MRTA we may open an additional four medical dispensaries. All operating facilities are, as of the date hereof, active with the State of New York.</w:t>
      </w:r>
    </w:p>
    <w:p>
      <w:pPr>
        <w:spacing w:after="0" w:line="200" w:lineRule="exact"/>
        <w:rPr>
          <w:sz w:val="20"/>
          <w:szCs w:val="20"/>
          <w:color w:val="auto"/>
        </w:rPr>
      </w:pPr>
    </w:p>
    <w:p>
      <w:pPr>
        <w:ind w:right="50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New York.</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Ohio</w:t>
      </w:r>
    </w:p>
    <w:p>
      <w:pPr>
        <w:spacing w:after="0" w:line="263"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color w:val="auto"/>
        </w:rPr>
        <w:t>House Bill 523, effective on September 8, 2016, legalized medical cannabis in Ohio. The Ohio Medical Marijuana Control Program allows people with certain medical conditions, upon the recommendation of an Ohio-licensed physician certified by the State Medical Board, to purchase and use medical cannabis.</w:t>
      </w:r>
    </w:p>
    <w:p>
      <w:pPr>
        <w:spacing w:after="0" w:line="194" w:lineRule="exact"/>
        <w:rPr>
          <w:sz w:val="20"/>
          <w:szCs w:val="20"/>
          <w:color w:val="auto"/>
        </w:rPr>
      </w:pPr>
    </w:p>
    <w:p>
      <w:pPr>
        <w:ind w:right="220" w:firstLine="720"/>
        <w:spacing w:after="0" w:line="269" w:lineRule="auto"/>
        <w:rPr>
          <w:sz w:val="20"/>
          <w:szCs w:val="20"/>
          <w:color w:val="auto"/>
        </w:rPr>
      </w:pPr>
      <w:r>
        <w:rPr>
          <w:rFonts w:ascii="Times New Roman" w:cs="Times New Roman" w:eastAsia="Times New Roman" w:hAnsi="Times New Roman"/>
          <w:sz w:val="20"/>
          <w:szCs w:val="20"/>
          <w:color w:val="auto"/>
        </w:rPr>
        <w:t>On November 7, 2023, Ohio voters legalized adult-use cannabis by ballot measure. The law established the Division of Cannabis Control within the Department of Commerce to oversee and regulate the adult-use market and required state officials to promulgate rules creating new cannabis business applications within six months and to license existing medical cannabis businesses within nine months of enactment.</w:t>
      </w:r>
    </w:p>
    <w:p>
      <w:pPr>
        <w:sectPr>
          <w:pgSz w:w="12240" w:h="15840" w:orient="portrait"/>
          <w:cols w:equalWidth="0" w:num="1">
            <w:col w:w="10780"/>
          </w:cols>
          <w:pgMar w:left="720" w:top="932"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780"/>
          </w:cols>
          <w:pgMar w:left="720" w:top="932" w:right="740" w:bottom="175" w:gutter="0" w:footer="0" w:header="0"/>
          <w:type w:val="continuous"/>
        </w:sectPr>
      </w:pPr>
    </w:p>
    <w:bookmarkStart w:id="29" w:name="page30"/>
    <w:bookmarkEnd w:id="29"/>
    <w:p>
      <w:pPr>
        <w:ind w:left="720"/>
        <w:spacing w:after="0"/>
        <w:rPr>
          <w:sz w:val="20"/>
          <w:szCs w:val="20"/>
          <w:color w:val="auto"/>
        </w:rPr>
      </w:pPr>
      <w:r>
        <w:rPr>
          <w:rFonts w:ascii="Times New Roman" w:cs="Times New Roman" w:eastAsia="Times New Roman" w:hAnsi="Times New Roman"/>
          <w:sz w:val="20"/>
          <w:szCs w:val="20"/>
          <w:i w:val="1"/>
          <w:iCs w:val="1"/>
          <w:color w:val="auto"/>
        </w:rPr>
        <w:t>Ohio License and Regulations</w:t>
      </w:r>
    </w:p>
    <w:p>
      <w:pPr>
        <w:spacing w:after="0" w:line="261" w:lineRule="exact"/>
        <w:rPr>
          <w:sz w:val="20"/>
          <w:szCs w:val="20"/>
          <w:color w:val="auto"/>
        </w:rPr>
      </w:pPr>
    </w:p>
    <w:p>
      <w:pPr>
        <w:ind w:right="20" w:firstLine="720"/>
        <w:spacing w:after="0" w:line="287" w:lineRule="auto"/>
        <w:rPr>
          <w:sz w:val="20"/>
          <w:szCs w:val="20"/>
          <w:color w:val="auto"/>
        </w:rPr>
      </w:pPr>
      <w:r>
        <w:rPr>
          <w:rFonts w:ascii="Times New Roman" w:cs="Times New Roman" w:eastAsia="Times New Roman" w:hAnsi="Times New Roman"/>
          <w:sz w:val="19"/>
          <w:szCs w:val="19"/>
          <w:color w:val="auto"/>
        </w:rPr>
        <w:t>There are three principal license categories in Ohio: (1) cultivation; (2) processing; and (3) dispensary. We are licensed to operate one medical cannabis cultivation facility, one medical cannabis processing facility and five dual medical/adult-use cannabis dispensaries, with the ability to open three more adult-use dispensaries, which is the statutory limit. All licenses are, as of the date hereof, active with the State of Ohio. The licenses are independently issued for each approved activity for use at our facilities in Ohio.</w:t>
      </w:r>
    </w:p>
    <w:p>
      <w:pPr>
        <w:spacing w:after="0" w:line="186" w:lineRule="exact"/>
        <w:rPr>
          <w:sz w:val="20"/>
          <w:szCs w:val="20"/>
          <w:color w:val="auto"/>
        </w:rPr>
      </w:pPr>
    </w:p>
    <w:p>
      <w:pPr>
        <w:ind w:right="80" w:firstLine="720"/>
        <w:spacing w:after="0" w:line="263" w:lineRule="auto"/>
        <w:rPr>
          <w:sz w:val="20"/>
          <w:szCs w:val="20"/>
          <w:color w:val="auto"/>
        </w:rPr>
      </w:pPr>
      <w:r>
        <w:rPr>
          <w:rFonts w:ascii="Times New Roman" w:cs="Times New Roman" w:eastAsia="Times New Roman" w:hAnsi="Times New Roman"/>
          <w:sz w:val="20"/>
          <w:szCs w:val="20"/>
          <w:color w:val="auto"/>
        </w:rPr>
        <w:t>The three following state government agencies are responsible for the operation of Ohio’s Medical Marijuana Control Program: (1) the Ohio Department of Commerce oversees medical cannabis cultivators, processors and testing laboratories; (2) the State of Ohio Board of Pharmacy oversees medical cannabis retail dispensaries, the registration of medical cannabis patients and caregivers, the approval of new forms of medical cannabis and coordinating the Medical Marijuana Advisory Committee; and (3) the State Medical Board of Ohio certifies physicians to recommend medical cannabis and may add to the list of qualifying conditions for which medical cannabis can be recommended. The Department of Commerce’s Division of Cannabis Control oversees and regulates the adult-use market.</w:t>
      </w:r>
    </w:p>
    <w:p>
      <w:pPr>
        <w:spacing w:after="0" w:line="206"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Ohio.</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Pennsylvania</w:t>
      </w:r>
    </w:p>
    <w:p>
      <w:pPr>
        <w:spacing w:after="0" w:line="263" w:lineRule="exact"/>
        <w:rPr>
          <w:sz w:val="20"/>
          <w:szCs w:val="20"/>
          <w:color w:val="auto"/>
        </w:rPr>
      </w:pPr>
    </w:p>
    <w:p>
      <w:pPr>
        <w:ind w:right="320" w:firstLine="720"/>
        <w:spacing w:after="0" w:line="294" w:lineRule="auto"/>
        <w:rPr>
          <w:sz w:val="20"/>
          <w:szCs w:val="20"/>
          <w:color w:val="auto"/>
        </w:rPr>
      </w:pPr>
      <w:r>
        <w:rPr>
          <w:rFonts w:ascii="Times New Roman" w:cs="Times New Roman" w:eastAsia="Times New Roman" w:hAnsi="Times New Roman"/>
          <w:sz w:val="20"/>
          <w:szCs w:val="20"/>
          <w:color w:val="auto"/>
        </w:rPr>
        <w:t>The Pennsylvania medical cannabis program was signed into law on April 17, 2016, under Act 16 and provided access to state residents with qualifying conditions.</w:t>
      </w:r>
    </w:p>
    <w:p>
      <w:pPr>
        <w:spacing w:after="0" w:line="16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Pennsylvania Licenses and Regulations</w:t>
      </w:r>
    </w:p>
    <w:p>
      <w:pPr>
        <w:spacing w:after="0" w:line="24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There are two principal license categories in Pennsylvania: (1) cultivation/processing and (2) dispensary. Our subsidiary GTI Pennsylvania, LLC is licensed to operate a medical cultivation/processing facility and is also licensed to operate medical retail locations. Our subsidiary KW Ventures Holdings, LLC is also licensed to operate medical retail locations. All licenses are, as of the date hereof, active with the Commonwealth of Pennsylvania. The licenses are independently issued for each approved activity for use at our facilities in Pennsylvania.</w:t>
      </w:r>
    </w:p>
    <w:p>
      <w:pPr>
        <w:spacing w:after="0" w:line="20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licenses are, as of the date hereof, active with the Commonwealth of Pennsylvania. Each license is independently issued.</w:t>
      </w:r>
    </w:p>
    <w:p>
      <w:pPr>
        <w:spacing w:after="0" w:line="2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All cultivation/processing establishments and dispensaries must register with the Pennsylvania Department of Health.</w:t>
      </w:r>
    </w:p>
    <w:p>
      <w:pPr>
        <w:spacing w:after="0" w:line="200" w:lineRule="exact"/>
        <w:rPr>
          <w:sz w:val="20"/>
          <w:szCs w:val="20"/>
          <w:color w:val="auto"/>
        </w:rPr>
      </w:pPr>
    </w:p>
    <w:p>
      <w:pPr>
        <w:spacing w:after="0" w:line="293"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Pennsylvania.</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Rhode Island</w:t>
      </w:r>
    </w:p>
    <w:p>
      <w:pPr>
        <w:spacing w:after="0" w:line="263"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Rhode Island legalized medical cannabis in 2006. Under this law, Rhode Island offers medical cannabis registration cards for patients with qualifying conditions and physician approval.</w:t>
      </w:r>
    </w:p>
    <w:p>
      <w:pPr>
        <w:spacing w:after="0" w:line="175" w:lineRule="exact"/>
        <w:rPr>
          <w:sz w:val="20"/>
          <w:szCs w:val="20"/>
          <w:color w:val="auto"/>
        </w:rPr>
      </w:pPr>
    </w:p>
    <w:p>
      <w:pPr>
        <w:ind w:right="20" w:firstLine="720"/>
        <w:spacing w:after="0" w:line="269" w:lineRule="auto"/>
        <w:rPr>
          <w:sz w:val="20"/>
          <w:szCs w:val="20"/>
          <w:color w:val="auto"/>
        </w:rPr>
      </w:pPr>
      <w:r>
        <w:rPr>
          <w:rFonts w:ascii="Times New Roman" w:cs="Times New Roman" w:eastAsia="Times New Roman" w:hAnsi="Times New Roman"/>
          <w:sz w:val="20"/>
          <w:szCs w:val="20"/>
          <w:color w:val="auto"/>
        </w:rPr>
        <w:t>After a successful ballot measure, Rhode Island’s governor signed two measures into law in May of 2022 approving sales in the state for adults who are at least 21 years old. Adult-use sales commenced on December 1, 2022 for the five licensed medical cannabis compassion centers which were approved for hybrid retail licenses. These hybrid retail licenses allow the centers to sell both medical and adult-use cannabis products in retail settings.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Rhode Island Licensure and Regulations</w:t>
      </w:r>
    </w:p>
    <w:p>
      <w:pPr>
        <w:spacing w:after="0" w:line="261" w:lineRule="exact"/>
        <w:rPr>
          <w:sz w:val="20"/>
          <w:szCs w:val="20"/>
          <w:color w:val="auto"/>
        </w:rPr>
      </w:pPr>
    </w:p>
    <w:p>
      <w:pPr>
        <w:ind w:right="160" w:firstLine="720"/>
        <w:spacing w:after="0" w:line="275" w:lineRule="auto"/>
        <w:rPr>
          <w:sz w:val="20"/>
          <w:szCs w:val="20"/>
          <w:color w:val="auto"/>
        </w:rPr>
      </w:pPr>
      <w:r>
        <w:rPr>
          <w:rFonts w:ascii="Times New Roman" w:cs="Times New Roman" w:eastAsia="Times New Roman" w:hAnsi="Times New Roman"/>
          <w:sz w:val="20"/>
          <w:szCs w:val="20"/>
          <w:color w:val="auto"/>
        </w:rPr>
        <w:t>There are two categories of medical cannabis licensure in Rhode Island: compassion center (which includes cultivation and dispensary) and cultivator. The program is overseen by the Rhode Island Department of Business Regulation, Office of Cannabis Regulation.</w:t>
      </w:r>
    </w:p>
    <w:p>
      <w:pPr>
        <w:sectPr>
          <w:pgSz w:w="12240" w:h="15840" w:orient="portrait"/>
          <w:cols w:equalWidth="0" w:num="1">
            <w:col w:w="10740"/>
          </w:cols>
          <w:pgMar w:left="720" w:top="932"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40"/>
          </w:cols>
          <w:pgMar w:left="720" w:top="932" w:right="780" w:bottom="175" w:gutter="0" w:footer="0" w:header="0"/>
          <w:type w:val="continuous"/>
        </w:sectPr>
      </w:pPr>
    </w:p>
    <w:bookmarkStart w:id="30" w:name="page31"/>
    <w:bookmarkEnd w:id="30"/>
    <w:p>
      <w:pPr>
        <w:ind w:left="720"/>
        <w:spacing w:after="0"/>
        <w:rPr>
          <w:sz w:val="20"/>
          <w:szCs w:val="20"/>
          <w:color w:val="auto"/>
        </w:rPr>
      </w:pPr>
      <w:r>
        <w:rPr>
          <w:rFonts w:ascii="Times New Roman" w:cs="Times New Roman" w:eastAsia="Times New Roman" w:hAnsi="Times New Roman"/>
          <w:sz w:val="20"/>
          <w:szCs w:val="20"/>
          <w:color w:val="auto"/>
        </w:rPr>
        <w:t>We hold a compassion center license.</w:t>
      </w:r>
    </w:p>
    <w:p>
      <w:pPr>
        <w:spacing w:after="0" w:line="263"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20"/>
          <w:szCs w:val="20"/>
          <w:color w:val="auto"/>
        </w:rPr>
        <w:t>After the passage of Rhode Island’s adult-use law in 2022, existing operators became eligible to receive hybrid licenses, allowing them to cultivate and/or sell cannabis to adults ages 21 and over. The Cannabis Control Commission oversees the regulation, licensing enforcement and control of the medical and adult-use cannabis programs.</w:t>
      </w:r>
    </w:p>
    <w:p>
      <w:pPr>
        <w:spacing w:after="0" w:line="194"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Rhode Island.</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Virginia</w:t>
      </w:r>
    </w:p>
    <w:p>
      <w:pPr>
        <w:spacing w:after="0" w:line="263"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In 2017, Virginia passed a law that allowed patients suffering from intractable epilepsy access to CBD or THC-A oil. In 2018, this law was significantly expanded, which allowed any medical condition to qualify with state-certified physician, nurse practitioner or physician assistant recommendation. The next year, the law was amended to allow for higher potency THC. In February 2021, a law was passed that would legalize cannabis for adult-use in Virginia. However certain provisions of this law were only effective if reenacted, which has not happened. There is currently no date for the start of adult-use retail sales.</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Virginia License and Regulations</w:t>
      </w:r>
    </w:p>
    <w:p>
      <w:pPr>
        <w:spacing w:after="0" w:line="261" w:lineRule="exact"/>
        <w:rPr>
          <w:sz w:val="20"/>
          <w:szCs w:val="20"/>
          <w:color w:val="auto"/>
        </w:rPr>
      </w:pPr>
    </w:p>
    <w:p>
      <w:pPr>
        <w:jc w:val="both"/>
        <w:ind w:right="540" w:firstLine="720"/>
        <w:spacing w:after="0" w:line="275" w:lineRule="auto"/>
        <w:rPr>
          <w:sz w:val="20"/>
          <w:szCs w:val="20"/>
          <w:color w:val="auto"/>
        </w:rPr>
      </w:pPr>
      <w:r>
        <w:rPr>
          <w:rFonts w:ascii="Times New Roman" w:cs="Times New Roman" w:eastAsia="Times New Roman" w:hAnsi="Times New Roman"/>
          <w:sz w:val="20"/>
          <w:szCs w:val="20"/>
          <w:color w:val="auto"/>
        </w:rPr>
        <w:t>There are currently two principal license categories in Virginia: (1) pharmaceutical processing and (2) dispensing. The primary regulatory body for cannabis is the Virginia Department of Health Professions: Board of Pharmacy. A pharmaceutical processor must obtain a permit from the Board of Pharmacy.</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cannabis dispensing facility is owned, at least in part, by a pharmaceutical processor.</w:t>
      </w:r>
    </w:p>
    <w:p>
      <w:pPr>
        <w:spacing w:after="0" w:line="263" w:lineRule="exact"/>
        <w:rPr>
          <w:sz w:val="20"/>
          <w:szCs w:val="20"/>
          <w:color w:val="auto"/>
        </w:rPr>
      </w:pPr>
    </w:p>
    <w:p>
      <w:pPr>
        <w:ind w:right="120" w:firstLine="720"/>
        <w:spacing w:after="0" w:line="294" w:lineRule="auto"/>
        <w:rPr>
          <w:sz w:val="20"/>
          <w:szCs w:val="20"/>
          <w:color w:val="auto"/>
        </w:rPr>
      </w:pPr>
      <w:r>
        <w:rPr>
          <w:rFonts w:ascii="Times New Roman" w:cs="Times New Roman" w:eastAsia="Times New Roman" w:hAnsi="Times New Roman"/>
          <w:sz w:val="20"/>
          <w:szCs w:val="20"/>
          <w:color w:val="auto"/>
        </w:rPr>
        <w:t>We have one pharmaceutical processor permit and six dispensary permits. We have the right to open two more dispensaries pending regulatory approval.</w:t>
      </w:r>
    </w:p>
    <w:p>
      <w:pPr>
        <w:spacing w:after="0" w:line="175" w:lineRule="exact"/>
        <w:rPr>
          <w:sz w:val="20"/>
          <w:szCs w:val="20"/>
          <w:color w:val="auto"/>
        </w:rPr>
      </w:pPr>
    </w:p>
    <w:p>
      <w:pPr>
        <w:ind w:right="460" w:firstLine="720"/>
        <w:spacing w:after="0" w:line="294" w:lineRule="auto"/>
        <w:rPr>
          <w:sz w:val="20"/>
          <w:szCs w:val="20"/>
          <w:color w:val="auto"/>
        </w:rPr>
      </w:pPr>
      <w:r>
        <w:rPr>
          <w:rFonts w:ascii="Times New Roman" w:cs="Times New Roman" w:eastAsia="Times New Roman" w:hAnsi="Times New Roman"/>
          <w:sz w:val="20"/>
          <w:szCs w:val="20"/>
          <w:color w:val="auto"/>
        </w:rPr>
        <w:t>We follow all regulatory requirements regarding the reporting of inventory movement and sale, as well as all other data reporting and record retention requirements mandated by Virginia.</w:t>
      </w:r>
    </w:p>
    <w:p>
      <w:pPr>
        <w:sectPr>
          <w:pgSz w:w="12240" w:h="15840" w:orient="portrait"/>
          <w:cols w:equalWidth="0" w:num="1">
            <w:col w:w="10740"/>
          </w:cols>
          <w:pgMar w:left="720" w:top="117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40"/>
          </w:cols>
          <w:pgMar w:left="720" w:top="1176" w:right="780" w:bottom="175" w:gutter="0" w:footer="0" w:header="0"/>
          <w:type w:val="continuous"/>
        </w:sectPr>
      </w:pPr>
    </w:p>
    <w:bookmarkStart w:id="31" w:name="page32"/>
    <w:bookmarkEnd w:id="31"/>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State License Renewal Requirements</w:t>
      </w:r>
    </w:p>
    <w:p>
      <w:pPr>
        <w:spacing w:after="0" w:line="23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For each of our provisional and operational licenses, the states impose strict license renewal requirements that vary state by state. We generally must complete the renewal application process within a prescribed period of time prior to the expiration date and pay an application fee. The state licensing body can deny or revoke licenses and renewals for a variety of reasons, including (a) submission of materially inaccurate, incomplete or fraudulent information, (b) failure of the company or any of its directors or officers to comply, or have a history of non-compliance, with any applicable law or regulation, including laws relating to minimum age of customers, safety and non-diversion of cannabis or cannabis products, taxes, child support, workers compensation and insurance coverage, or failure to otherwise remain in good standing, (c) failure to submit or implement a plan of correction for any identified violation, (d) attempting to assign registration to another entity without state approval, (e) insufficient financial resources, (f) committing, permitting, aiding or abetting of any illegal practices in the operation of a facility, (g) failure to cooperate or give information to relevant law enforcement related to any matter arising out of conduct at a licensed facility and (h) lack of responsible operations, as evidenced by negligence, disorderly or unsanitary facilities or permitting a person to use a registration card belonging to another person. Certain jurisdictions also require licensees to attend a public hearing or forum in connection with their license renewal application.</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Newly Established and Developing Legal Regimes</w:t>
      </w:r>
    </w:p>
    <w:p>
      <w:pPr>
        <w:spacing w:after="0" w:line="230"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Our business activities rely on newly established and/or developing laws and regulations in the states in which we operate. These laws and regulations are rapidly evolving and subject to change with minimal notice. Regulatory changes may adversely affect our profitability or cause us to cease operations entirely. The cannabis industry may come under further scrutiny by the Food and Drug Administration, the SEC, the Department of Justice,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our business and operations, including without limitation, the costs to remain compliant with applicable laws and the impairment of our business or the ability to raise additional capital.</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Federal Regulation of Hemp-Based CBD &amp; THC</w:t>
      </w:r>
    </w:p>
    <w:p>
      <w:pPr>
        <w:spacing w:after="0" w:line="230" w:lineRule="exact"/>
        <w:rPr>
          <w:sz w:val="20"/>
          <w:szCs w:val="20"/>
          <w:color w:val="auto"/>
        </w:rPr>
      </w:pPr>
    </w:p>
    <w:p>
      <w:pPr>
        <w:ind w:right="120" w:firstLine="720"/>
        <w:spacing w:after="0" w:line="263" w:lineRule="auto"/>
        <w:rPr>
          <w:sz w:val="20"/>
          <w:szCs w:val="20"/>
          <w:color w:val="auto"/>
        </w:rPr>
      </w:pPr>
      <w:r>
        <w:rPr>
          <w:rFonts w:ascii="Times New Roman" w:cs="Times New Roman" w:eastAsia="Times New Roman" w:hAnsi="Times New Roman"/>
          <w:sz w:val="19"/>
          <w:szCs w:val="19"/>
          <w:color w:val="auto"/>
        </w:rPr>
        <w:t>Hemp products, including psychoactive hemp-derived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CBD, THC and its various isomers (e.g., delta-8 THC, delta-9 THC, delta-10 THC, etc.), and other cannabinoids such as THC-A and THC-O (collectively, “THC Variants”). Hemp, as defined in the Farm Bill, is distinguishable from cannabis, which also comes from the Cannabis sativa L. subspecies, by its absence of more than trace amounts (0.3% or less) of the psychoactive compound Delta-9 THC.</w:t>
      </w:r>
    </w:p>
    <w:p>
      <w:pPr>
        <w:spacing w:after="0" w:line="173"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As a result of the Farm Bill, federal law dictates that CBD and THC Variants derived from hemp are not controlled substances; however, products derived from hemp may still be considered a controlled substance under applicable state law. Individual states take varying approaches to regulating the production and sale of hemp and hemp-derived CBD and THC Variants. Some states explicitly authorize and regulate the production and sale of hemp-derived CBD and THC Variants or otherwise provide legal protection for authorized individuals to engage in commercial hemp activities. Other states, however, maintain laws that do not distinguish between cannabis and hemp and/or hemp-derived CBD or THC Variants which results in hemp being classified as a controlled substance under certain state laws.</w:t>
      </w:r>
    </w:p>
    <w:p>
      <w:pPr>
        <w:spacing w:after="0" w:line="19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In addition, the Farm Bill preserves the authority and jurisdiction of the U.S. Food and Drug Administration under the Food Drug &amp; Cosmetic Act (the “FD&amp;C Act”) to regulate the manufacture, marketing, and sale of food, drugs, dietary supplements, and cosmetics, including products that contain hemp extracts and derivatives, such as CBD and THC Variants. The Food and Drug Administration has not evaluated or approved CBD or THC Variants, and therefore does not consider them to be GRAS (Generally Recognized as Safe) for use in foods. The Food and Drug Administration has also found that because CBD and THC are in certain drugs approved by Food and Drug Administration, they cannot be used in foods or dietary supplements. Accordingly, per the Food and Drug Administration, foods and dietary supplements containing CBD and THC Variants do not comply with the FD&amp;C Act. Food and Drug Administration enforcement of its position has thus far been minimal and limited to sending warning letters to a relatively small number of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4" w:lineRule="exact"/>
        <w:rPr>
          <w:sz w:val="20"/>
          <w:szCs w:val="20"/>
          <w:color w:val="auto"/>
        </w:rPr>
      </w:pPr>
    </w:p>
    <w:p>
      <w:pPr>
        <w:ind w:right="40" w:firstLine="720"/>
        <w:spacing w:after="0" w:line="278" w:lineRule="auto"/>
        <w:rPr>
          <w:sz w:val="20"/>
          <w:szCs w:val="20"/>
          <w:color w:val="auto"/>
        </w:rPr>
      </w:pPr>
      <w:r>
        <w:rPr>
          <w:rFonts w:ascii="Times New Roman" w:cs="Times New Roman" w:eastAsia="Times New Roman" w:hAnsi="Times New Roman"/>
          <w:sz w:val="19"/>
          <w:szCs w:val="19"/>
          <w:color w:val="auto"/>
        </w:rPr>
        <w:t xml:space="preserve">Our website address is </w:t>
      </w:r>
      <w:r>
        <w:rPr>
          <w:rFonts w:ascii="Times New Roman" w:cs="Times New Roman" w:eastAsia="Times New Roman" w:hAnsi="Times New Roman"/>
          <w:sz w:val="19"/>
          <w:szCs w:val="19"/>
          <w:u w:val="single" w:color="auto"/>
          <w:color w:val="auto"/>
        </w:rPr>
        <w:t>www.gtigrows.com</w:t>
      </w:r>
      <w:r>
        <w:rPr>
          <w:rFonts w:ascii="Times New Roman" w:cs="Times New Roman" w:eastAsia="Times New Roman" w:hAnsi="Times New Roman"/>
          <w:sz w:val="19"/>
          <w:szCs w:val="19"/>
          <w:color w:val="auto"/>
        </w:rPr>
        <w:t>. Through this website, our filings with the SEC, including proxy statements annual reports on Form 10-K, quarterly reports on Form 10-Q, current reports on Form 8-K, and all exhibits and amendments to those reports, will be accessible (free of charge) as soon as reasonably practicable after materials are electronically filed with or furnished to</w:t>
      </w:r>
    </w:p>
    <w:p>
      <w:pPr>
        <w:sectPr>
          <w:pgSz w:w="12240" w:h="15840" w:orient="portrait"/>
          <w:cols w:equalWidth="0" w:num="1">
            <w:col w:w="10780"/>
          </w:cols>
          <w:pgMar w:left="720" w:top="930" w:right="740" w:bottom="175"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780"/>
          </w:cols>
          <w:pgMar w:left="720" w:top="930" w:right="740" w:bottom="175" w:gutter="0" w:footer="0" w:header="0"/>
          <w:type w:val="continuous"/>
        </w:sectPr>
      </w:pPr>
    </w:p>
    <w:bookmarkStart w:id="32" w:name="page33"/>
    <w:bookmarkEnd w:id="32"/>
    <w:p>
      <w:pPr>
        <w:ind w:right="400"/>
        <w:spacing w:after="0" w:line="277" w:lineRule="auto"/>
        <w:rPr>
          <w:sz w:val="20"/>
          <w:szCs w:val="20"/>
          <w:color w:val="auto"/>
        </w:rPr>
      </w:pPr>
      <w:r>
        <w:rPr>
          <w:rFonts w:ascii="Times New Roman" w:cs="Times New Roman" w:eastAsia="Times New Roman" w:hAnsi="Times New Roman"/>
          <w:sz w:val="20"/>
          <w:szCs w:val="20"/>
          <w:color w:val="auto"/>
        </w:rPr>
        <w:t>the SEC pursuant to Section 13(a) or 15(d) of the Securities Exchange Act of 1934, as amended (the “Exchange Act”). The SEC maintains a website (</w:t>
      </w:r>
      <w:r>
        <w:rPr>
          <w:rFonts w:ascii="Times New Roman" w:cs="Times New Roman" w:eastAsia="Times New Roman" w:hAnsi="Times New Roman"/>
          <w:sz w:val="20"/>
          <w:szCs w:val="20"/>
          <w:u w:val="single" w:color="auto"/>
          <w:color w:val="auto"/>
        </w:rPr>
        <w:t>sec.gov</w:t>
      </w:r>
      <w:r>
        <w:rPr>
          <w:rFonts w:ascii="Times New Roman" w:cs="Times New Roman" w:eastAsia="Times New Roman" w:hAnsi="Times New Roman"/>
          <w:sz w:val="20"/>
          <w:szCs w:val="20"/>
          <w:color w:val="auto"/>
        </w:rPr>
        <w:t>) that contains reports, proxy and information statements, and other information.</w:t>
      </w:r>
    </w:p>
    <w:p>
      <w:pPr>
        <w:spacing w:after="0" w:line="15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addition to the information contained in this Form 10-K, information about the company can be found on our website and our Investor Relations website (</w:t>
      </w:r>
      <w:r>
        <w:rPr>
          <w:rFonts w:ascii="Times New Roman" w:cs="Times New Roman" w:eastAsia="Times New Roman" w:hAnsi="Times New Roman"/>
          <w:sz w:val="20"/>
          <w:szCs w:val="20"/>
          <w:u w:val="single" w:color="auto"/>
          <w:color w:val="auto"/>
        </w:rPr>
        <w:t>investors.gtigrows.com</w:t>
      </w:r>
      <w:r>
        <w:rPr>
          <w:rFonts w:ascii="Times New Roman" w:cs="Times New Roman" w:eastAsia="Times New Roman" w:hAnsi="Times New Roman"/>
          <w:sz w:val="20"/>
          <w:szCs w:val="20"/>
          <w:color w:val="auto"/>
        </w:rPr>
        <w:t>). Our Investor Relations website contains a significant amount of information about the company, including financial information, our corporate governance principles and practices, our Code of Ethical Business Conduct and other information for investors. We encourage investors to visit our website, as we frequently update and post new information about our company, and it is possible that this information could be deemed material information.</w:t>
      </w:r>
    </w:p>
    <w:p>
      <w:pPr>
        <w:spacing w:after="0" w:line="187" w:lineRule="exact"/>
        <w:rPr>
          <w:sz w:val="20"/>
          <w:szCs w:val="20"/>
          <w:color w:val="auto"/>
        </w:rPr>
      </w:pPr>
    </w:p>
    <w:p>
      <w:pPr>
        <w:jc w:val="both"/>
        <w:ind w:right="640" w:firstLine="770"/>
        <w:spacing w:after="0" w:line="258" w:lineRule="auto"/>
        <w:rPr>
          <w:sz w:val="20"/>
          <w:szCs w:val="20"/>
          <w:color w:val="auto"/>
        </w:rPr>
      </w:pPr>
      <w:r>
        <w:rPr>
          <w:rFonts w:ascii="Times New Roman" w:cs="Times New Roman" w:eastAsia="Times New Roman" w:hAnsi="Times New Roman"/>
          <w:sz w:val="20"/>
          <w:szCs w:val="20"/>
          <w:color w:val="auto"/>
        </w:rPr>
        <w:t>References to our website and the SEC’s website in this Form 10-K do not constitute, and should not be viewed as, incorporation by reference of the information contained on, or available through, the websites. The information should not be considered a part of this Form 10-K, unless otherwise expressly incorporated by reference.</w:t>
      </w:r>
    </w:p>
    <w:p>
      <w:pPr>
        <w:sectPr>
          <w:pgSz w:w="12240" w:h="15840" w:orient="portrait"/>
          <w:cols w:equalWidth="0" w:num="1">
            <w:col w:w="10680"/>
          </w:cols>
          <w:pgMar w:left="720" w:top="930" w:right="8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680"/>
          </w:cols>
          <w:pgMar w:left="720" w:top="930" w:right="840" w:bottom="175"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Risk Factors</w:t>
      </w:r>
    </w:p>
    <w:p>
      <w:pPr>
        <w:spacing w:after="0" w:line="246"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Our business is subject to a number of risks and uncertainties of which you should be aware before making a decision to invest in our Subordinate Voting Shares. This summary does not address all of the risks that we face. Additional discussion of the risks summarized in this risk factor summary; and other risks we face, can be found below under the heading “Risk Factors” and should be carefully considered, together with other information in this Annual Report on Form 10-K and our other filings with the SEC, before making a decision to invest in our Subordinate Voting Shares. These risks include, among others, the following:</w:t>
      </w:r>
    </w:p>
    <w:p>
      <w:pPr>
        <w:spacing w:after="0" w:line="304" w:lineRule="exact"/>
        <w:rPr>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Cannabis remains illegal under U.S. federal law, and enforcement of cannabis laws could change.</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State regulation of cannabis is uncertain.</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or maintain necessary permits and authorizations.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limitations on ownership of cannabis licenses.</w:t>
      </w:r>
    </w:p>
    <w:p>
      <w:pPr>
        <w:spacing w:after="0" w:line="113"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become subject to U.S. Food and Drug Administration or Bureau of Alcohol, Tobacco, Firearms and Explosives regulation.</w:t>
      </w:r>
    </w:p>
    <w:p>
      <w:pPr>
        <w:spacing w:after="0" w:line="44" w:lineRule="exact"/>
        <w:rPr>
          <w:rFonts w:ascii="Arial" w:cs="Arial" w:eastAsia="Arial" w:hAnsi="Arial"/>
          <w:sz w:val="20"/>
          <w:szCs w:val="20"/>
          <w:color w:val="auto"/>
        </w:rPr>
      </w:pPr>
    </w:p>
    <w:p>
      <w:pPr>
        <w:ind w:left="980" w:right="52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As a cannabis business, we are subject to applicable anti-money laundering laws and regulations and have restricted access to banking and other financial services.</w:t>
      </w:r>
    </w:p>
    <w:p>
      <w:pPr>
        <w:spacing w:after="0" w:line="4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difficulties acquiring additional financing.</w:t>
      </w:r>
    </w:p>
    <w:p>
      <w:pPr>
        <w:spacing w:after="0" w:line="113" w:lineRule="exact"/>
        <w:rPr>
          <w:rFonts w:ascii="Arial" w:cs="Arial" w:eastAsia="Arial" w:hAnsi="Arial"/>
          <w:sz w:val="20"/>
          <w:szCs w:val="20"/>
          <w:color w:val="auto"/>
        </w:rPr>
      </w:pPr>
    </w:p>
    <w:p>
      <w:pPr>
        <w:ind w:left="980" w:right="64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operate in a highly regulated sector and may not always succeed in complying fully with applicable regulatory requirements in all jurisdictions where we carry on business.</w:t>
      </w:r>
    </w:p>
    <w:p>
      <w:pPr>
        <w:spacing w:after="0" w:line="4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intense competition.</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competition from the illicit market as well as actual or purported Farm Bill compliant hemp products.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the popularity and of consumer acceptance of our brand portfolio.</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trademark protection.</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As a cannabis business, we are subject to unfavorable U.S. tax treatment and may incur significant tax liability.</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proceeds of crime statutes.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exposure to fraudulent or illegal activity.</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due to industry immaturity or limited comparable, competitive or established industry best practices.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related to our products.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business is subject to the risks inherent in agricultural operations.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an inherent risk of product liability and similar claims.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products may be subject to product recalls.</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face unfavorable publicity or consumer perception.</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adversely impacted by rising or volatile energy costs and availability.</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related to our information technology systems and potential cyber-attacks and security breaches.</w:t>
      </w:r>
    </w:p>
    <w:p>
      <w:pPr>
        <w:spacing w:after="0" w:line="113" w:lineRule="exact"/>
        <w:rPr>
          <w:rFonts w:ascii="Arial" w:cs="Arial" w:eastAsia="Arial" w:hAnsi="Arial"/>
          <w:sz w:val="20"/>
          <w:szCs w:val="20"/>
          <w:color w:val="auto"/>
        </w:rPr>
      </w:pPr>
    </w:p>
    <w:p>
      <w:pPr>
        <w:ind w:left="980" w:right="2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third-party software providers for numerous capabilities we depend upon to operate, and a disruption of one or more or more of these systems could adversely affect our business.</w:t>
      </w:r>
    </w:p>
    <w:p>
      <w:pPr>
        <w:spacing w:after="0" w:line="44" w:lineRule="exact"/>
        <w:rPr>
          <w:rFonts w:ascii="Arial" w:cs="Arial" w:eastAsia="Arial" w:hAnsi="Arial"/>
          <w:sz w:val="20"/>
          <w:szCs w:val="20"/>
          <w:color w:val="auto"/>
        </w:rPr>
      </w:pPr>
    </w:p>
    <w:p>
      <w:pPr>
        <w:ind w:left="980" w:right="8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44"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voting control is concentrated.</w:t>
      </w:r>
    </w:p>
    <w:p>
      <w:pPr>
        <w:spacing w:after="0" w:line="113" w:lineRule="exact"/>
        <w:rPr>
          <w:rFonts w:ascii="Arial" w:cs="Arial" w:eastAsia="Arial" w:hAnsi="Arial"/>
          <w:sz w:val="20"/>
          <w:szCs w:val="20"/>
          <w:color w:val="auto"/>
        </w:rPr>
      </w:pPr>
    </w:p>
    <w:p>
      <w:pPr>
        <w:ind w:left="980" w:hanging="491"/>
        <w:spacing w:after="0"/>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capital structure and voting control may cause unpredictability.</w:t>
      </w:r>
    </w:p>
    <w:p>
      <w:pPr>
        <w:spacing w:after="0" w:line="113" w:lineRule="exact"/>
        <w:rPr>
          <w:rFonts w:ascii="Arial" w:cs="Arial" w:eastAsia="Arial" w:hAnsi="Arial"/>
          <w:sz w:val="20"/>
          <w:szCs w:val="20"/>
          <w:color w:val="auto"/>
        </w:rPr>
      </w:pPr>
    </w:p>
    <w:p>
      <w:pPr>
        <w:ind w:left="980" w:right="100" w:hanging="491"/>
        <w:spacing w:after="0" w:line="276" w:lineRule="auto"/>
        <w:tabs>
          <w:tab w:leader="none" w:pos="98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Sales of substantial amounts of Subordinate Voting Shares by our shareholders in the public market may have an adverse effect on the market price of our Subordinate Voting Shares.</w:t>
      </w:r>
    </w:p>
    <w:p>
      <w:pPr>
        <w:sectPr>
          <w:pgSz w:w="12240" w:h="15840" w:orient="portrait"/>
          <w:cols w:equalWidth="0" w:num="1">
            <w:col w:w="10780"/>
          </w:cols>
          <w:pgMar w:left="720" w:top="1386" w:right="740" w:bottom="175"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80"/>
          </w:cols>
          <w:pgMar w:left="720" w:top="1386" w:right="740" w:bottom="175"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u w:val="single" w:color="auto"/>
          <w:color w:val="auto"/>
        </w:rPr>
        <w:t>Risk Factors</w:t>
      </w:r>
    </w:p>
    <w:p>
      <w:pPr>
        <w:spacing w:after="0" w:line="236"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19"/>
          <w:szCs w:val="19"/>
          <w:i w:val="1"/>
          <w:iCs w:val="1"/>
          <w:color w:val="auto"/>
        </w:rPr>
        <w:t>Certain factors may have a material adverse effect on our business, financial condition, and results of operations. Investing in our shares involves a high degree of risk. You should carefully consider the following risks, together with all of the other information contained in this Annual Report on Form 10-K, including the sections titled “Disclosure Regarding Forward-Looking Statements” and “Management’s Discussion and Analysis of Financial Condition and Results of Operations” and our financial statements and the related notes included elsewhere in this Annual Report on Form 10-K.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Cannabis remains illegal under U.S. federal law, and enforcement of cannabis laws could change.</w:t>
      </w:r>
    </w:p>
    <w:p>
      <w:pPr>
        <w:spacing w:after="0" w:line="230"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Cannabis is illegal under U.S. federal law. In those states in which the use of cannabis has been legalized, its use remains a violation of federal law pursuant to the Controlled Substances Act (21 U.S.C. § 811). The Controlled Substances Act classifies cannabis as a Schedule I controlled substance, and as such, medical and adult-use cannabis use is illegal under U.S. federal law. Even if cannabis is re-scheduled to Schedule III under the Controlled Substances Act, medical and adult-use cannabis would remain illegal under U.S. federal law without additional statutory changes. Unless and until Congress amends the Controlled Substances Act with respect to cannabis (and the President approves such amendment), there is a risk that federal authorities may enforce current federal law. If that occurs, we may be deemed to be producing, cultivating or dispensing cannabis and drug paraphernalia in violation of federal law. Since federal law criminalizing the use of cannabis pre-empts state laws that legalize its use, enforcement of federal law regarding cannabis is a significant risk and would greatly harm our business, prospects, revenue, results of operation and financial condition.</w:t>
      </w:r>
    </w:p>
    <w:p>
      <w:pPr>
        <w:spacing w:after="0" w:line="192" w:lineRule="exact"/>
        <w:rPr>
          <w:sz w:val="20"/>
          <w:szCs w:val="20"/>
          <w:color w:val="auto"/>
        </w:rPr>
      </w:pPr>
    </w:p>
    <w:p>
      <w:pPr>
        <w:ind w:right="360" w:firstLine="720"/>
        <w:spacing w:after="0" w:line="249" w:lineRule="auto"/>
        <w:rPr>
          <w:sz w:val="20"/>
          <w:szCs w:val="20"/>
          <w:color w:val="auto"/>
        </w:rPr>
      </w:pPr>
      <w:r>
        <w:rPr>
          <w:rFonts w:ascii="Times New Roman" w:cs="Times New Roman" w:eastAsia="Times New Roman" w:hAnsi="Times New Roman"/>
          <w:sz w:val="20"/>
          <w:szCs w:val="20"/>
          <w:color w:val="auto"/>
        </w:rPr>
        <w:t>Our activities are, and will continue to be, subject to evolving regulation by governmental authorities. We are directly or indirectly engaged in the medical and adult-use cannabis industry in the United States where local and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87"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40 states (and the territories of Guam, Puerto Rico, the U.S. Virgin Islands, the Northern Mariana Islands, and the District of Columbia) have legalized the cultivation and sale of cannabis for medical purposes. In 24 of those states, the sale and possession of cannabis is legal for both medical and adult-use, and the District of Columbia has legalized adult-use but not commercial sale. Ten of those states legalized adult-use sales within the last four years. Two states legalized medical cannabis in 2024.</w:t>
      </w:r>
    </w:p>
    <w:p>
      <w:pPr>
        <w:spacing w:after="0" w:line="187"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Despite this, our activities in the medical and adult-use cannabis industry are illegal under the applicable federal laws of the United States. There can be no assurances that the federal government of the United States will not seek to enforce the applicable laws against us. The consequences of such enforcement would be materially adverse to us and our business, including our reputation, profitability and the market price of our publicly traded shares, and could result in the forfeiture or seizure of all or substantially all of our assets.</w:t>
      </w:r>
    </w:p>
    <w:p>
      <w:pPr>
        <w:spacing w:after="0" w:line="187"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It is further possible that Department of Justice or an aggressive federal prosecutor could allege that Green Thumb Industries Inc., and members of our Board, our executive officers and, potentially, our shareholders, “aided and abetted” violations of federal law by providing finances and services to our portfolio cannabis companies. Under these circumstances, federal prosecutors could seek to seize our assets, and to recover the “illicit profits” previously distributed to shareholders resulting from any of our financing or services. In these circumstances, the Company’s operations would cease, shareholders may lose their entire investments and directors, officers and/or shareholders may be left to defend any criminal charges against them at their own expense and, if convicted, be sent to federal prison.</w:t>
      </w:r>
    </w:p>
    <w:p>
      <w:pPr>
        <w:spacing w:after="0" w:line="190" w:lineRule="exact"/>
        <w:rPr>
          <w:sz w:val="20"/>
          <w:szCs w:val="20"/>
          <w:color w:val="auto"/>
        </w:rPr>
      </w:pPr>
    </w:p>
    <w:p>
      <w:pPr>
        <w:jc w:val="both"/>
        <w:ind w:right="20" w:firstLine="720"/>
        <w:spacing w:after="0" w:line="258" w:lineRule="auto"/>
        <w:rPr>
          <w:sz w:val="20"/>
          <w:szCs w:val="20"/>
          <w:color w:val="auto"/>
        </w:rPr>
      </w:pPr>
      <w:r>
        <w:rPr>
          <w:rFonts w:ascii="Times New Roman" w:cs="Times New Roman" w:eastAsia="Times New Roman" w:hAnsi="Times New Roman"/>
          <w:sz w:val="20"/>
          <w:szCs w:val="20"/>
          <w:color w:val="auto"/>
        </w:rPr>
        <w:t>Additionally, there can be no assurance as to the position the current administration or any future administration may take on cannabis, and any administration could decide to enforce federal laws against state-regulated cannabis companies. Any enforcement of current federal cannabis laws could cause significant financial damage to us and our shareholders.</w:t>
      </w:r>
    </w:p>
    <w:p>
      <w:pPr>
        <w:spacing w:after="0" w:line="17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but not limited to, our reputation and ability to conduct business, our holding (directly or</w:t>
      </w:r>
    </w:p>
    <w:p>
      <w:pPr>
        <w:sectPr>
          <w:pgSz w:w="12240" w:h="15840" w:orient="portrait"/>
          <w:cols w:equalWidth="0" w:num="1">
            <w:col w:w="10800"/>
          </w:cols>
          <w:pgMar w:left="720" w:top="926" w:right="720" w:bottom="175" w:gutter="0" w:footer="0" w:header="0"/>
        </w:sectPr>
      </w:pP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800"/>
          </w:cols>
          <w:pgMar w:left="720" w:top="926" w:right="720" w:bottom="175" w:gutter="0" w:footer="0" w:header="0"/>
          <w:type w:val="continuous"/>
        </w:sectPr>
      </w:pPr>
    </w:p>
    <w:bookmarkStart w:id="35" w:name="page36"/>
    <w:bookmarkEnd w:id="35"/>
    <w:p>
      <w:pPr>
        <w:ind w:right="180"/>
        <w:spacing w:after="0" w:line="249" w:lineRule="auto"/>
        <w:rPr>
          <w:sz w:val="20"/>
          <w:szCs w:val="20"/>
          <w:color w:val="auto"/>
        </w:rPr>
      </w:pPr>
      <w:r>
        <w:rPr>
          <w:rFonts w:ascii="Times New Roman" w:cs="Times New Roman" w:eastAsia="Times New Roman" w:hAnsi="Times New Roman"/>
          <w:sz w:val="20"/>
          <w:szCs w:val="20"/>
          <w:color w:val="auto"/>
        </w:rPr>
        <w:t>indirectly) of cannabis licenses in the United States, the listing of our securities on various stock exchanges, our financial position, operating results, profitability or liquidity or the market price of our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State regulation of cannabis is uncertain.</w:t>
      </w:r>
    </w:p>
    <w:p>
      <w:pPr>
        <w:spacing w:after="0" w:line="230"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Company’s business or operations in those states or under those laws would be materially and adversely affected. As they amend or develop legislation and regulations, state and local regulators and legislatures may use the regulatory process to slow the growth of multistate operators like the Company, with the intent of creating increased opportunities for resident farmers and entrepreneurs, which could severely restrict our ability to operate in those jurisdictions. Federal actions against any individual or entity engaged in the cannabis industry or a substantial repeal of cannabis related legislation could adversely affect the Company, our business and our assets or investments. Maintaining compliance with complex and ever-changing regulations and laws,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pacing w:after="0" w:line="196"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Company are compliance-based and are derived from the state regulatory structure governing ancillary cannabis businesses and their relationships to state-licensed or permitted cannabis operators, if any. Notwithstanding the Company’s efforts and diligence, regulatory compliance and the process of obtaining and maintaining regulatory approvals can be costly and time-consuming. No assurance can be given that the Company will receive or be able to maintain the requisite licenses, permits or cards to continue operating our businesses.</w:t>
      </w:r>
    </w:p>
    <w:p>
      <w:pPr>
        <w:spacing w:after="0" w:line="19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In addition, local laws and ordinances could restrict the Company’s business activity. Although the Company’s operations are legal under the laws of the states in which the Company’s business operate, local governments have the ability to limit, restrict and ban cannabis businesses from operating within their jurisdiction. Land use, zoning, local ordinances and similar laws could be adopted or changed and have a material adverse effect on the Company’s business.</w:t>
      </w:r>
    </w:p>
    <w:p>
      <w:pPr>
        <w:spacing w:after="0" w:line="184"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the Company’s business, prospects, revenue, results of operation and financial condition.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 maintain necessary permits and authorizations.</w:t>
      </w:r>
    </w:p>
    <w:p>
      <w:pPr>
        <w:spacing w:after="0" w:line="230"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Our subsidiaries may not be able to obtain or maintain the necessary licenses, permits, certificates, authorizations or accreditations to operate their respective businesses, or may only be able to do so at great cost. In addition, our subsidiaries may not be able to comply fully with the wide variety of laws and regulations applicable to the cannabis industry. Failure to comply with or to obtain the necessary licenses, permits, certificates, authorizations or accreditations could result in restrictions on a subsidiary’s ability to operate in the cannabis industry, which could have a material adverse effect on our business, financial condition or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limitations on ownership of cannabis licenses.</w:t>
      </w:r>
    </w:p>
    <w:p>
      <w:pPr>
        <w:spacing w:after="0" w:line="230"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Company’s ability to grow in such states.</w:t>
      </w:r>
    </w:p>
    <w:p>
      <w:pPr>
        <w:spacing w:after="0" w:line="178" w:lineRule="exact"/>
        <w:rPr>
          <w:sz w:val="20"/>
          <w:szCs w:val="20"/>
          <w:color w:val="auto"/>
        </w:rPr>
      </w:pPr>
    </w:p>
    <w:p>
      <w:pPr>
        <w:ind w:right="1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subject to U.S. Food and Drug Administration or Bureau of Alcohol, Tobacco, Firearms and Explosives regulation.</w:t>
      </w:r>
    </w:p>
    <w:p>
      <w:pPr>
        <w:spacing w:after="0" w:line="15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Cannabis remains a Schedule I controlled substance under U.S. federal law. If the federal government reclassifies cannabis to a Schedule III controlled substance, it is possible that the Food and Drug Administration would seek to regulate cannabis under the Food, Drug and Cosmetics Act of 1938. Additionally, the Food and Drug Administration may issue rules and regulations, including</w:t>
      </w:r>
    </w:p>
    <w:p>
      <w:pPr>
        <w:sectPr>
          <w:pgSz w:w="12240" w:h="15840" w:orient="portrait"/>
          <w:cols w:equalWidth="0" w:num="1">
            <w:col w:w="10800"/>
          </w:cols>
          <w:pgMar w:left="720" w:top="930" w:right="720" w:bottom="175" w:gutter="0" w:footer="0" w:header="0"/>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800"/>
          </w:cols>
          <w:pgMar w:left="720" w:top="930" w:right="720" w:bottom="175" w:gutter="0" w:footer="0" w:header="0"/>
          <w:type w:val="continuous"/>
        </w:sectPr>
      </w:pPr>
    </w:p>
    <w:bookmarkStart w:id="36" w:name="page37"/>
    <w:bookmarkEnd w:id="36"/>
    <w:p>
      <w:pPr>
        <w:ind w:right="60"/>
        <w:spacing w:after="0" w:line="246" w:lineRule="auto"/>
        <w:rPr>
          <w:sz w:val="20"/>
          <w:szCs w:val="20"/>
          <w:color w:val="auto"/>
        </w:rPr>
      </w:pPr>
      <w:r>
        <w:rPr>
          <w:rFonts w:ascii="Times New Roman" w:cs="Times New Roman" w:eastAsia="Times New Roman" w:hAnsi="Times New Roman"/>
          <w:sz w:val="20"/>
          <w:szCs w:val="20"/>
          <w:color w:val="auto"/>
        </w:rPr>
        <w:t>good manufacturing practices, related to the growth, cultivation, harvesting and processing of medical cannabis. Clinical trials may be needed to verify the efficacy and safety of cannabis. It is also possible that the Food and Drug Administration would require facilities where medical use cannabis is grown to register with the Food and Drug Administration and comply with certain federally prescribed regulations. In the event that some or all of these regulations are imposed, the impact they would have on the cannabis industry is unknown, including the costs, requirements and possible prohibitions that may be enforced. If the Company is unable to comply with the potential regulations or registration requirements prescribed by the Food and Drug Administration, it may have an adverse effect on the Company’s business, prospects, revenue, results of operation and financial condition.</w:t>
      </w:r>
    </w:p>
    <w:p>
      <w:pPr>
        <w:spacing w:after="0" w:line="190" w:lineRule="exact"/>
        <w:rPr>
          <w:sz w:val="20"/>
          <w:szCs w:val="20"/>
          <w:color w:val="auto"/>
        </w:rPr>
      </w:pPr>
    </w:p>
    <w:p>
      <w:pPr>
        <w:jc w:val="both"/>
        <w:ind w:right="300" w:firstLine="720"/>
        <w:spacing w:after="0" w:line="258" w:lineRule="auto"/>
        <w:rPr>
          <w:sz w:val="20"/>
          <w:szCs w:val="20"/>
          <w:color w:val="auto"/>
        </w:rPr>
      </w:pPr>
      <w:r>
        <w:rPr>
          <w:rFonts w:ascii="Times New Roman" w:cs="Times New Roman" w:eastAsia="Times New Roman" w:hAnsi="Times New Roman"/>
          <w:sz w:val="20"/>
          <w:szCs w:val="20"/>
          <w:color w:val="auto"/>
        </w:rPr>
        <w:t>It is also possible that the federal government could seek to regulate cannabis under the U.S. Bureau of Alcohol, Tobacco, Firearms and Explosives. The Bureau of Alcohol, Tobacco, Firearms and Explosives may issue rules and regulations related to the use, transporting, sale and advertising of cannabis or cannabis products, including smokeless cannabis products.</w:t>
      </w:r>
    </w:p>
    <w:p>
      <w:pPr>
        <w:spacing w:after="0" w:line="178"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An immaterial portion of our business in the last fiscal year involved products containing psychoactive hemp. The Food and Drug Administration has not permitted the marketing of certain hemp-derived products, such as drinks, gummies, and other ingestible products. Our psychoactive hemp-derived products are not intended for use in the diagnosis, cure, mitigation, treatment, or prevention of a disease or condition. We can provide no assurance that our products or operations will be deemed in compliance with federal regulations, including those enforced by the Food and Drug Administration.</w:t>
      </w:r>
    </w:p>
    <w:p>
      <w:pPr>
        <w:spacing w:after="0" w:line="187"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In deference to the Food and Drug Administration, various states and municipalities have declared that the sale of certain hemp-derived products are illegal. There can be no guarantee or assurance whatsoever that the Food and Drug Administration’s regulatory concerns about hemp-derived products will be resolved favorably for the hemp derived products industry. Aggressive law enforcement against the hemp-derived products industry by federal, state or local authorities and agencies may have a material adverse effect on us and the trading price of our Subordinate Voting Shares.</w:t>
      </w:r>
    </w:p>
    <w:p>
      <w:pPr>
        <w:spacing w:after="0" w:line="187"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As a cannabis business, we are subject to applicable anti-money laundering laws and regulations and have restricted access to banking and other financial services.</w:t>
      </w:r>
    </w:p>
    <w:p>
      <w:pPr>
        <w:spacing w:after="0" w:line="159"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are subject to a variety of laws and regulations in the United States that involve money laundering, financial record-keeping and proceeds of crime, including the U.S. Currency and Foreign Transactions Reporting Act of 1970, (which we refer to as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90" w:lineRule="exact"/>
        <w:rPr>
          <w:sz w:val="20"/>
          <w:szCs w:val="20"/>
          <w:color w:val="auto"/>
        </w:rPr>
      </w:pPr>
    </w:p>
    <w:p>
      <w:pPr>
        <w:ind w:right="260" w:firstLine="720"/>
        <w:spacing w:after="0" w:line="249" w:lineRule="auto"/>
        <w:rPr>
          <w:sz w:val="20"/>
          <w:szCs w:val="20"/>
          <w:color w:val="auto"/>
        </w:rPr>
      </w:pPr>
      <w:r>
        <w:rPr>
          <w:rFonts w:ascii="Times New Roman" w:cs="Times New Roman" w:eastAsia="Times New Roman" w:hAnsi="Times New Roman"/>
          <w:sz w:val="20"/>
          <w:szCs w:val="20"/>
          <w:color w:val="auto"/>
        </w:rPr>
        <w:t>The United States Department of the Treasury’s Financial Crimes Enforcement Network, which we refer to as FinCEN, issued a memorandum on February 14, 2014, which we refer to as the FinCEN Memorandum,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7"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The Department of Justice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Department of Justice’s enforcement priorities could change for any number of reasons. A change in the Department of Justice’s priorities could result in the prosecution of banks and financial institutions for crimes that were not previously prosecuted.</w:t>
      </w:r>
    </w:p>
    <w:p>
      <w:pPr>
        <w:spacing w:after="0" w:line="187" w:lineRule="exact"/>
        <w:rPr>
          <w:sz w:val="20"/>
          <w:szCs w:val="20"/>
          <w:color w:val="auto"/>
        </w:rPr>
      </w:pPr>
    </w:p>
    <w:p>
      <w:pPr>
        <w:jc w:val="both"/>
        <w:ind w:right="40" w:firstLine="720"/>
        <w:spacing w:after="0" w:line="252" w:lineRule="auto"/>
        <w:rPr>
          <w:sz w:val="20"/>
          <w:szCs w:val="20"/>
          <w:color w:val="auto"/>
        </w:rPr>
      </w:pPr>
      <w:r>
        <w:rPr>
          <w:rFonts w:ascii="Times New Roman" w:cs="Times New Roman" w:eastAsia="Times New Roman" w:hAnsi="Times New Roman"/>
          <w:sz w:val="20"/>
          <w:szCs w:val="20"/>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84"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The FinCEN Memorandum does not provide any safe harbors or legal defenses from examination or regulatory or criminal enforcement actions by the Department of Justice,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w:t>
      </w:r>
    </w:p>
    <w:p>
      <w:pPr>
        <w:sectPr>
          <w:pgSz w:w="12240" w:h="15840" w:orient="portrait"/>
          <w:cols w:equalWidth="0" w:num="1">
            <w:col w:w="10800"/>
          </w:cols>
          <w:pgMar w:left="720" w:top="930" w:right="720" w:bottom="175" w:gutter="0" w:footer="0" w:header="0"/>
        </w:sectPr>
      </w:pP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800"/>
          </w:cols>
          <w:pgMar w:left="720" w:top="930" w:right="720" w:bottom="175" w:gutter="0" w:footer="0" w:header="0"/>
          <w:type w:val="continuous"/>
        </w:sectPr>
      </w:pPr>
    </w:p>
    <w:bookmarkStart w:id="37" w:name="page38"/>
    <w:bookmarkEnd w:id="37"/>
    <w:p>
      <w:pPr>
        <w:ind w:right="480"/>
        <w:spacing w:after="0" w:line="277" w:lineRule="auto"/>
        <w:rPr>
          <w:sz w:val="20"/>
          <w:szCs w:val="20"/>
          <w:color w:val="auto"/>
        </w:rPr>
      </w:pPr>
      <w:r>
        <w:rPr>
          <w:rFonts w:ascii="Times New Roman" w:cs="Times New Roman" w:eastAsia="Times New Roman" w:hAnsi="Times New Roman"/>
          <w:sz w:val="20"/>
          <w:szCs w:val="20"/>
          <w:color w:val="auto"/>
        </w:rPr>
        <w:t>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59"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19"/>
          <w:szCs w:val="19"/>
          <w:color w:val="auto"/>
        </w:rPr>
        <w:t>In the United States, the “SAFE Banking Act” which has been passed by the U.S. House of Representatives seven times, most recently on July 14, 2022 as an amendment to the National Defense Authorization Act, would grant banks and other financial institutions immunity from federal criminal prosecution for servicing Marijuana-Related Businesses if the underlying cannabis business follows state law. However, while the U.S. Senate Banking Committee passed the “SAFER Banking Act” on a bipartisan vote of 14-9 in September 2023, that bill has yet to be brought to the U.S. Senate floor and faces an uncertain future in the U.S. House of Representatives. The potential future passage of the bill is further complicated by the change in party control and the current narrow majorities in both chambers of the U.S. Congress. There can be no assurance that it will be passed as presently proposed or at all.</w:t>
      </w:r>
    </w:p>
    <w:p>
      <w:pPr>
        <w:spacing w:after="0" w:line="177"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In both Canada and the United States, transactions involving banks and other financial institutions are both difficult and unpredictable under the current legal and regulatory landscape. Legislative changes could help to reduce or eliminate these challenges for companies in the cannabis space and would improve the efficiency of both significant and minor financial transactions.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difficulties acquiring additional financing.</w:t>
      </w:r>
    </w:p>
    <w:p>
      <w:pPr>
        <w:spacing w:after="0" w:line="23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growth and may have a material adverse effect upon the Company’s business, prospects, revenue, results of operation and financial condition.</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lack access to U.S. bankruptcy protections.</w:t>
      </w:r>
    </w:p>
    <w:p>
      <w:pPr>
        <w:spacing w:after="0" w:line="230"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0"/>
          <w:szCs w:val="20"/>
          <w:color w:val="auto"/>
        </w:rPr>
        <w:t>Many courts have denied cannabis businesses bankruptcy protections because the use of cannabis is illegal under federal law. In the event of a bankruptcy, it would be very difficult for lenders to recoup their investments in the cannabis industry. If the Company were to experience a bankruptcy, there is no guarantee that U.S. federal bankruptcy protections would be available to us, which would have a material adverse effect on us.</w:t>
      </w:r>
    </w:p>
    <w:p>
      <w:pPr>
        <w:spacing w:after="0" w:line="194" w:lineRule="exact"/>
        <w:rPr>
          <w:sz w:val="20"/>
          <w:szCs w:val="20"/>
          <w:color w:val="auto"/>
        </w:rPr>
      </w:pPr>
    </w:p>
    <w:p>
      <w:pPr>
        <w:ind w:right="7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sector and may not always succeed in complying fully with applicable regulatory requirements in all jurisdictions where we carry on business.</w:t>
      </w:r>
    </w:p>
    <w:p>
      <w:pPr>
        <w:spacing w:after="0" w:line="159" w:lineRule="exact"/>
        <w:rPr>
          <w:sz w:val="20"/>
          <w:szCs w:val="20"/>
          <w:color w:val="auto"/>
        </w:rPr>
      </w:pPr>
    </w:p>
    <w:p>
      <w:pPr>
        <w:ind w:firstLine="720"/>
        <w:spacing w:after="0" w:line="241" w:lineRule="auto"/>
        <w:rPr>
          <w:sz w:val="20"/>
          <w:szCs w:val="20"/>
          <w:color w:val="auto"/>
        </w:rPr>
      </w:pPr>
      <w:r>
        <w:rPr>
          <w:rFonts w:ascii="Times New Roman" w:cs="Times New Roman" w:eastAsia="Times New Roman" w:hAnsi="Times New Roman"/>
          <w:sz w:val="20"/>
          <w:szCs w:val="20"/>
          <w:color w:val="auto"/>
        </w:rPr>
        <w:t>Our business and activities are heavily regulated in all jurisdictions where we conduct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 Maintaining compliance with complex and ever-changing regulations, including sometimes unclear regulations and laws, can be a difficult task, and a materially compliant business can be found in violation of one or more laws, rules or regulations while remaining materially or substantially compliant with applicable state cannabis laws.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800"/>
          </w:cols>
          <w:pgMar w:left="720" w:top="930" w:right="720" w:bottom="175" w:gutter="0" w:footer="0" w:header="0"/>
          <w:type w:val="continuous"/>
        </w:sectPr>
      </w:pPr>
    </w:p>
    <w:bookmarkStart w:id="38" w:name="page39"/>
    <w:bookmarkEnd w:id="38"/>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intense competition.</w:t>
      </w:r>
    </w:p>
    <w:p>
      <w:pPr>
        <w:spacing w:after="0" w:line="23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7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Because of the early stage of the industry in which we operate, we face additional competition from new entrants, participants in the illicit market that face significantly lower costs to operate, and sellers of unregulated psychoactive hemp-based products.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To remain competitive, we will require a continued high level of investment in research and development, marketing, sales, talent retention and customer support. We may not have sufficient resources to maintain research and development, marketing, sales and customer support efforts on a competitive basis, which could materially and adversely affect our business, financial condition and results of operations. Additionally,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 A decline in the price of the Subordinate Voting Shares could affect our ability to raise further working capital and adversely impact our ability to continue operations.</w:t>
      </w:r>
    </w:p>
    <w:p>
      <w:pPr>
        <w:spacing w:after="0" w:line="196"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 prolonged decline in the price of the Subordinate Voting Shares could result in a reduction in the liquidity of the Subordinate Voting Shares and a reduction in our ability to raise capital, if needed.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competition from the illicit market as well as actual or purported Farm Bill compliant hemp products.</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face and expect to continue to face competition from unregulated psychoactive hemp-based products, including actual or purported Farm Bill compliant hemp products and illicit cannabis businesses, some of which are unlicensed and unregulated. Psychoactive hemp-based products, including Farm Bill compliant hemp products, are generally not subject to the intensive and costly state-level regulatory regimes that medical and adult-use cannabis are subject to. These products generally are not produced in adherence with the same laws, regulations, rules, tax regimes and other restrictions that are applicable to us, which significantly reduces these producers’ costs, and may have a material adverse effect on our business. In addition, although not subject to the same quality and health and safety regulations applicable to medical and adult-use cannabis businesses, if actual or purported Farm Bill compliant hemp products cause harm to their users, that could result in a material adverse effect on the perception of cannabis use and its legality.</w:t>
      </w:r>
    </w:p>
    <w:p>
      <w:pPr>
        <w:spacing w:after="0" w:line="196"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competition presented by illicit cannabis businesses, and the inability or unwillingness of law enforcement authorities to enforce existing laws prohibiting the unlicensed or otherwise illegal cultivation and sale of cannabis, could result in the perpetuation of the illegal market for cannabis and/or have a material adverse effect on the perception of cannabis use.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dependent on the popularity of consumer acceptance of our brand portfolio.</w:t>
      </w:r>
    </w:p>
    <w:p>
      <w:pPr>
        <w:spacing w:after="0" w:line="23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these customers do not accept our products, or if such products fail to adequately meet customers’ needs and expectations, our ability to continue generating revenues could be reduced. As the number of available licenses increase in the markets in which we operate, and the illicit market and psychoactive hemp-based products proliferate,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difficulties in enforcing our contracts.</w:t>
      </w:r>
    </w:p>
    <w:p>
      <w:pPr>
        <w:spacing w:after="0" w:line="230" w:lineRule="exact"/>
        <w:rPr>
          <w:sz w:val="20"/>
          <w:szCs w:val="20"/>
          <w:color w:val="auto"/>
        </w:rPr>
      </w:pPr>
    </w:p>
    <w:p>
      <w:pPr>
        <w:ind w:right="240" w:firstLine="720"/>
        <w:spacing w:after="0" w:line="258" w:lineRule="auto"/>
        <w:rPr>
          <w:sz w:val="20"/>
          <w:szCs w:val="20"/>
          <w:color w:val="auto"/>
        </w:rPr>
      </w:pPr>
      <w:r>
        <w:rPr>
          <w:rFonts w:ascii="Times New Roman" w:cs="Times New Roman" w:eastAsia="Times New Roman" w:hAnsi="Times New Roman"/>
          <w:sz w:val="20"/>
          <w:szCs w:val="20"/>
          <w:color w:val="auto"/>
        </w:rPr>
        <w:t>Because our contracts involve cannabis and other activities that are not legal under federal law and in some state jurisdictions, we may face difficulties in enforcing our contracts in federal courts and certain state courts. We cannot be assured that we will have a remedy for breach of contract, which could have a material adverse effect on us.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800"/>
          </w:cols>
          <w:pgMar w:left="720" w:top="930" w:right="720" w:bottom="175" w:gutter="0" w:footer="0" w:header="0"/>
          <w:type w:val="continuous"/>
        </w:sectPr>
      </w:pPr>
    </w:p>
    <w:bookmarkStart w:id="39" w:name="page40"/>
    <w:bookmarkEnd w:id="39"/>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trademark protection.</w:t>
      </w:r>
    </w:p>
    <w:p>
      <w:pPr>
        <w:spacing w:after="0" w:line="230" w:lineRule="exact"/>
        <w:rPr>
          <w:sz w:val="20"/>
          <w:szCs w:val="20"/>
          <w:color w:val="auto"/>
        </w:rPr>
      </w:pPr>
    </w:p>
    <w:p>
      <w:pPr>
        <w:ind w:right="80" w:firstLine="720"/>
        <w:spacing w:after="0" w:line="265" w:lineRule="auto"/>
        <w:rPr>
          <w:sz w:val="20"/>
          <w:szCs w:val="20"/>
          <w:color w:val="auto"/>
        </w:rPr>
      </w:pPr>
      <w:r>
        <w:rPr>
          <w:rFonts w:ascii="Times New Roman" w:cs="Times New Roman" w:eastAsia="Times New Roman" w:hAnsi="Times New Roman"/>
          <w:sz w:val="19"/>
          <w:szCs w:val="19"/>
          <w:color w:val="auto"/>
        </w:rPr>
        <w:t>We are not able to register any federal trademarks for our cannabis products. Because producing, manufacturing, processing, possessing, distributing, selling and using cannabis is a crime under the Controlled Substances Act, the Patent and Trademark Office will not permit the registration of any trademark that identifies cannabis products. As a result, we likely will be unable to protect our cannabis product trademarks beyond the geographic areas in which we conduct business. The use of our trademarks outside the states in which we operate by one or more other persons could have a material adverse effect on the value of such trademarks.</w:t>
      </w:r>
    </w:p>
    <w:p>
      <w:pPr>
        <w:spacing w:after="0" w:line="1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and may continue to be subject to constraints on marketing our products.</w:t>
      </w:r>
    </w:p>
    <w:p>
      <w:pPr>
        <w:spacing w:after="0" w:line="23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Certain states in which we operate have enacted strict regulations regarding marketing and sales activities on cannabis products. There may be restrictions on sales and marketing activities imposed by government regulatory bodies that can hinder the development of the Company’s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the results of future clinical research.</w:t>
      </w:r>
    </w:p>
    <w:p>
      <w:pPr>
        <w:spacing w:after="0" w:line="23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Research regarding the medical benefits, viability, safety, efficacy, dosing and social acceptance of cannabis or isolated cannabinoids (such as cannabidiol, commonly referred to as CBD and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Food and Drug Administration oversight of cannabis, there is limited information about the long-term safety and efficacy of cannabis in it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192"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Given these risks, uncertainties and assumptions, prospective purchasers of Subordinate Voting Shares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taxation in Canada and the United States.</w:t>
      </w:r>
    </w:p>
    <w:p>
      <w:pPr>
        <w:spacing w:after="0" w:line="23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We are and will continue to be a Canadian corporation as of the date of this Annual Report on Form 10-K. We are treated as a Canadian resident company (as defined in the Income Tax Act (Canada)) subject to Canadian income taxes. We are also treated as a U.S. corporation subject to U.S. federal income tax pursuant to Section 7874 of the Internal Revenue Code of 1986, as amended, (which we refer to as the “IRC”) and are subject to U.S. federal income tax on our income. As a result, we are subject to taxation both in Canada and the United States, which could have a material adverse effect on our financial condition and results of operations.</w:t>
      </w:r>
    </w:p>
    <w:p>
      <w:pPr>
        <w:spacing w:after="0" w:line="18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It is unlikely that we will pay any dividends on the Subordinate Voting Shares in the foreseeable future. However, dividends received by shareholders who are residents of Canada for purposes of the Income Tax Act (Canada)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Dividends received by U.S. shareholders will not be subject to U.S. withholding tax but will be subject to Canadian withholding tax. Dividends paid by us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80"/>
          </w:cols>
          <w:pgMar w:left="720" w:top="930" w:right="740" w:bottom="175" w:gutter="0" w:footer="0" w:header="0"/>
          <w:type w:val="continuous"/>
        </w:sectPr>
      </w:pPr>
    </w:p>
    <w:bookmarkStart w:id="40" w:name="page41"/>
    <w:bookmarkEnd w:id="40"/>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our shareholders, subject to examination of the relevant treaty. Because the Subordinate Voting Shares are treated as shares of a U.S. domestic corporation, the U.S. gift, estate and generation-skipping transfer tax rules generally apply to a non-U.S. shareholder of Subordinate Voting Shares. Each shareholder should seek tax advice, based on such shareholder’s particular circumstances, from an independent tax advisor.</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As a cannabis business, we are subject to unfavorable U.S. tax treatment and may incur significant tax liability.</w:t>
      </w:r>
    </w:p>
    <w:p>
      <w:pPr>
        <w:spacing w:after="0" w:line="23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Under Section 280E of the IRC, we are not allowed to take any deductions or credits for any amounts paid or incurred during the taxable year in carrying on business if the business (or the activities which comprise the trade or business) consists of trafficking in controlled substances (within the meaning of Schedules I and II of the Controlled Substances Act). The U.S. Internal Revenue Service has applied this provision to cannabis operations, prohibiting them from deducting certain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1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As a cannabis business, we may be subject to civil asset forfeiture.</w:t>
      </w:r>
    </w:p>
    <w:p>
      <w:pPr>
        <w:spacing w:after="0" w:line="230"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Any property owned by participants in the cannabis industry used in the course of conducting such business, or that is the proceeds of such business, could be subject to seizure by law enforcement and subsequent civil asset 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proceeds of crime statutes.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subject to a variety of laws that concern money laundering, financial recordkeeping and proceeds of crime. These</w:t>
      </w:r>
    </w:p>
    <w:p>
      <w:pPr>
        <w:spacing w:after="0" w:line="28" w:lineRule="exact"/>
        <w:rPr>
          <w:sz w:val="20"/>
          <w:szCs w:val="20"/>
          <w:color w:val="auto"/>
        </w:rPr>
      </w:pPr>
    </w:p>
    <w:p>
      <w:pPr>
        <w:jc w:val="both"/>
        <w:ind w:right="560"/>
        <w:spacing w:after="0" w:line="244" w:lineRule="auto"/>
        <w:rPr>
          <w:sz w:val="20"/>
          <w:szCs w:val="20"/>
          <w:color w:val="auto"/>
        </w:rPr>
      </w:pPr>
      <w:r>
        <w:rPr>
          <w:rFonts w:ascii="Times New Roman" w:cs="Times New Roman" w:eastAsia="Times New Roman" w:hAnsi="Times New Roman"/>
          <w:sz w:val="20"/>
          <w:szCs w:val="20"/>
          <w:color w:val="auto"/>
        </w:rPr>
        <w:t>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90"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In the event that any of our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among other things, could restrict or otherwise jeopardize our ability to declare or pay dividends, effect other distributions or subsequently repatriate such funds back to Canada.</w:t>
      </w:r>
    </w:p>
    <w:p>
      <w:pPr>
        <w:spacing w:after="0" w:line="1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b w:val="1"/>
          <w:bCs w:val="1"/>
          <w:i w:val="1"/>
          <w:iCs w:val="1"/>
          <w:color w:val="auto"/>
        </w:rPr>
        <w:t>We face exposure to fraudulent or illegal activity.</w:t>
      </w:r>
    </w:p>
    <w:p>
      <w:pPr>
        <w:spacing w:after="0" w:line="23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90" w:lineRule="exact"/>
        <w:rPr>
          <w:sz w:val="20"/>
          <w:szCs w:val="20"/>
          <w:color w:val="auto"/>
        </w:rPr>
      </w:pPr>
    </w:p>
    <w:p>
      <w:pPr>
        <w:ind w:right="5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15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w:t>
      </w:r>
    </w:p>
    <w:p>
      <w:pPr>
        <w:sectPr>
          <w:pgSz w:w="12240" w:h="15840" w:orient="portrait"/>
          <w:cols w:equalWidth="0" w:num="1">
            <w:col w:w="10780"/>
          </w:cols>
          <w:pgMar w:left="720" w:top="930" w:right="740" w:bottom="175"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780"/>
          </w:cols>
          <w:pgMar w:left="720" w:top="930" w:right="740" w:bottom="175" w:gutter="0" w:footer="0" w:header="0"/>
          <w:type w:val="continuous"/>
        </w:sectPr>
      </w:pPr>
    </w:p>
    <w:bookmarkStart w:id="41" w:name="page42"/>
    <w:bookmarkEnd w:id="41"/>
    <w:p>
      <w:pPr>
        <w:ind w:right="60"/>
        <w:spacing w:after="0" w:line="277" w:lineRule="auto"/>
        <w:rPr>
          <w:sz w:val="20"/>
          <w:szCs w:val="20"/>
          <w:color w:val="auto"/>
        </w:rPr>
      </w:pPr>
      <w:r>
        <w:rPr>
          <w:rFonts w:ascii="Times New Roman" w:cs="Times New Roman" w:eastAsia="Times New Roman" w:hAnsi="Times New Roman"/>
          <w:sz w:val="20"/>
          <w:szCs w:val="20"/>
          <w:color w:val="auto"/>
        </w:rPr>
        <w:t>cause investors to lose confidence in our reported financial information, which could have a negative effect on the trading price of our Subordinate Voting Shares.</w:t>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Material acquisitions, dispositions and other strategic transactions involve a number of risks for us</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 Multiple non-material acquisitions, dispositions or strategic transactions that occur on or about the same time, even though not individually material, may present similar risks to the Company.</w:t>
      </w:r>
    </w:p>
    <w:p>
      <w:pPr>
        <w:spacing w:after="0" w:line="19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Additionally, we may issue additional Subordinate Voting Shares in connection with such transactions, which would dilute a shareholder’s holdings in the Company.</w:t>
      </w:r>
    </w:p>
    <w:p>
      <w:pPr>
        <w:spacing w:after="0" w:line="159"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 These and other circumstances could also result in the impairment of goodwill and long-lived assets.</w:t>
      </w:r>
    </w:p>
    <w:p>
      <w:pPr>
        <w:spacing w:after="0" w:line="1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invest in companies which may not be able to meet anticipated development targets or be successful in the future</w:t>
      </w:r>
      <w:r>
        <w:rPr>
          <w:rFonts w:ascii="Times New Roman" w:cs="Times New Roman" w:eastAsia="Times New Roman" w:hAnsi="Times New Roman"/>
          <w:sz w:val="20"/>
          <w:szCs w:val="20"/>
          <w:b w:val="1"/>
          <w:bCs w:val="1"/>
          <w:color w:val="auto"/>
        </w:rPr>
        <w:t>.</w:t>
      </w:r>
    </w:p>
    <w:p>
      <w:pPr>
        <w:spacing w:after="0" w:line="234"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We may make investments in companies with no significant sources of operating cash flow and no revenue from operations, that are in early stages of development, or that have high-risk profiles. Our investments in such companies will be subject to risks and uncertainties that new companies with no or limited operating history may face. In particular, there is a risk that our investment in these companies will not be able to meet anticipated development targets or will not generate revenue at all. If these companies underperform or fail to continue to develop, their businesses may fail, which could have a material adverse effect on our business, prospects, revenue, results of operation and financial condition.</w:t>
      </w:r>
    </w:p>
    <w:p>
      <w:pPr>
        <w:spacing w:after="0" w:line="190" w:lineRule="exact"/>
        <w:rPr>
          <w:sz w:val="20"/>
          <w:szCs w:val="20"/>
          <w:color w:val="auto"/>
        </w:rPr>
      </w:pPr>
    </w:p>
    <w:p>
      <w:pPr>
        <w:ind w:right="6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use of joint ventures, strategic partnerships and alliances may expose us to risks associated with jointly owned investments.</w:t>
      </w:r>
    </w:p>
    <w:p>
      <w:pPr>
        <w:spacing w:after="0" w:line="159"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193"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ind w:right="220" w:firstLine="720"/>
        <w:spacing w:after="0" w:line="244" w:lineRule="auto"/>
        <w:rPr>
          <w:sz w:val="20"/>
          <w:szCs w:val="20"/>
          <w:color w:val="auto"/>
        </w:rPr>
      </w:pPr>
      <w:r>
        <w:rPr>
          <w:rFonts w:ascii="Times New Roman" w:cs="Times New Roman" w:eastAsia="Times New Roman" w:hAnsi="Times New Roman"/>
          <w:sz w:val="20"/>
          <w:szCs w:val="20"/>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ectPr>
          <w:pgSz w:w="12240" w:h="15840" w:orient="portrait"/>
          <w:cols w:equalWidth="0" w:num="1">
            <w:col w:w="10800"/>
          </w:cols>
          <w:pgMar w:left="720" w:top="930" w:right="720" w:bottom="175" w:gutter="0" w:footer="0" w:header="0"/>
        </w:sectPr>
      </w:pP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800"/>
          </w:cols>
          <w:pgMar w:left="720" w:top="930" w:right="720" w:bottom="175" w:gutter="0" w:footer="0" w:header="0"/>
          <w:type w:val="continuous"/>
        </w:sectPr>
      </w:pPr>
    </w:p>
    <w:bookmarkStart w:id="42" w:name="page43"/>
    <w:bookmarkEnd w:id="42"/>
    <w:p>
      <w:pPr>
        <w:ind w:right="140" w:firstLine="77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78" w:lineRule="exact"/>
        <w:rPr>
          <w:sz w:val="20"/>
          <w:szCs w:val="20"/>
          <w:color w:val="auto"/>
        </w:rPr>
      </w:pPr>
    </w:p>
    <w:p>
      <w:pPr>
        <w:ind w:right="160" w:firstLine="720"/>
        <w:spacing w:after="0" w:line="243" w:lineRule="auto"/>
        <w:rPr>
          <w:sz w:val="20"/>
          <w:szCs w:val="20"/>
          <w:color w:val="auto"/>
        </w:rPr>
      </w:pPr>
      <w:r>
        <w:rPr>
          <w:rFonts w:ascii="Times New Roman" w:cs="Times New Roman" w:eastAsia="Times New Roman" w:hAnsi="Times New Roman"/>
          <w:sz w:val="20"/>
          <w:szCs w:val="20"/>
          <w:color w:val="auto"/>
        </w:rPr>
        <w:t>We compete for the acquisition of properties suitable for the cultivation, production and sale of medical and adult-use cannabis with entities engaged in agriculture and real estate investment activities, including corporate agriculture companies, cultivators, producers and sellers of cannabis. In addition, in certain markets the local governments have authority to choose where any cannabis establishment will be located. These authorized areas are frequently removed from other retail operations. Because the cannabis industry remains illegal under U.S. federal law, the disadvantaged tax status of businesses deriving their income from cannabis, and the reluctance of the banking industry to support cannabis businesses, it may be difficult for us to locate and obtain the rights to operate at various preferred locations. Property owners may violate their mortgages by leasing to us, and those property owners that are willing to allow use of their facilities may require payment of above fair market value rents to reflect the scarcity of such locations and the risks and costs of providing such facilities. All of these factors may prevent us from acquiring and leasing desirable properties, may cause an increase in the price we must pay for properties or may result in us having to lease our properties on less favorable terms than we expect.</w:t>
      </w:r>
    </w:p>
    <w:p>
      <w:pPr>
        <w:spacing w:after="0" w:line="198"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Our competitors may adopt transaction structures similar to ours, which would decrease our competitive advantage in offering flexible transaction terms. In addition, due to a number of factors,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190"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reputation and ability to do business may be negatively impacted by the improper conduct by our business partners, employees or agents.</w:t>
      </w:r>
    </w:p>
    <w:p>
      <w:pPr>
        <w:spacing w:after="0" w:line="159"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8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due to industry immaturity or limited comparable, competitive or established industry best practices.</w:t>
      </w:r>
    </w:p>
    <w:p>
      <w:pPr>
        <w:spacing w:after="0" w:line="230" w:lineRule="exact"/>
        <w:rPr>
          <w:sz w:val="20"/>
          <w:szCs w:val="20"/>
          <w:color w:val="auto"/>
        </w:rPr>
      </w:pPr>
    </w:p>
    <w:p>
      <w:pPr>
        <w:jc w:val="both"/>
        <w:ind w:right="60" w:firstLine="720"/>
        <w:spacing w:after="0" w:line="258" w:lineRule="auto"/>
        <w:rPr>
          <w:sz w:val="20"/>
          <w:szCs w:val="20"/>
          <w:color w:val="auto"/>
        </w:rPr>
      </w:pPr>
      <w:r>
        <w:rPr>
          <w:rFonts w:ascii="Times New Roman" w:cs="Times New Roman" w:eastAsia="Times New Roman" w:hAnsi="Times New Roman"/>
          <w:sz w:val="20"/>
          <w:szCs w:val="20"/>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making a decision about whether to invest in us.</w:t>
      </w:r>
    </w:p>
    <w:p>
      <w:pPr>
        <w:spacing w:after="0" w:line="178" w:lineRule="exact"/>
        <w:rPr>
          <w:sz w:val="20"/>
          <w:szCs w:val="20"/>
          <w:color w:val="auto"/>
        </w:rPr>
      </w:pPr>
    </w:p>
    <w:p>
      <w:pPr>
        <w:ind w:right="180" w:firstLine="720"/>
        <w:spacing w:after="0" w:line="247" w:lineRule="auto"/>
        <w:rPr>
          <w:sz w:val="20"/>
          <w:szCs w:val="20"/>
          <w:color w:val="auto"/>
        </w:rPr>
      </w:pPr>
      <w:r>
        <w:rPr>
          <w:rFonts w:ascii="Times New Roman" w:cs="Times New Roman" w:eastAsia="Times New Roman" w:hAnsi="Times New Roman"/>
          <w:sz w:val="20"/>
          <w:szCs w:val="20"/>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Subordinate Voting Shares to the extent that investors may lose their entire investment.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products.</w:t>
      </w:r>
    </w:p>
    <w:p>
      <w:pPr>
        <w:spacing w:after="0" w:line="230" w:lineRule="exact"/>
        <w:rPr>
          <w:sz w:val="20"/>
          <w:szCs w:val="20"/>
          <w:color w:val="auto"/>
        </w:rPr>
      </w:pPr>
    </w:p>
    <w:p>
      <w:pPr>
        <w:ind w:right="100" w:firstLine="720"/>
        <w:spacing w:after="0" w:line="260" w:lineRule="auto"/>
        <w:rPr>
          <w:sz w:val="20"/>
          <w:szCs w:val="20"/>
          <w:color w:val="auto"/>
        </w:rPr>
      </w:pPr>
      <w:r>
        <w:rPr>
          <w:rFonts w:ascii="Times New Roman" w:cs="Times New Roman" w:eastAsia="Times New Roman" w:hAnsi="Times New Roman"/>
          <w:sz w:val="19"/>
          <w:szCs w:val="19"/>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and require us to attract additional qualified employees. The failure to successfully develop and market these new products and services could seriously harm our business, prospects, revenue, results of operation and financial condition. As discussed above under Item 1—“Business - Competitive</w:t>
      </w:r>
    </w:p>
    <w:p>
      <w:pPr>
        <w:sectPr>
          <w:pgSz w:w="12240" w:h="15840" w:orient="portrait"/>
          <w:cols w:equalWidth="0" w:num="1">
            <w:col w:w="10800"/>
          </w:cols>
          <w:pgMar w:left="720" w:top="930" w:right="720" w:bottom="175" w:gutter="0" w:footer="0" w:header="0"/>
        </w:sectPr>
      </w:pP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800"/>
          </w:cols>
          <w:pgMar w:left="720" w:top="930" w:right="720" w:bottom="175" w:gutter="0" w:footer="0" w:header="0"/>
          <w:type w:val="continuous"/>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20"/>
          <w:szCs w:val="20"/>
          <w:color w:val="auto"/>
        </w:rPr>
        <w:t>Conditions and the Company’s Position in the Industry - Competition”, the Company also faces competition from products that are not subject to testing or regulation by state agencies, not subject to the same taxes, and otherwise able to be priced significantly lower than the Company’s products.</w:t>
      </w:r>
    </w:p>
    <w:p>
      <w:pPr>
        <w:spacing w:after="0" w:line="1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Psychoactive hemp-based products are federally illegal if they exceed the limits of the Farm Bill.</w:t>
      </w:r>
    </w:p>
    <w:p>
      <w:pPr>
        <w:spacing w:after="0" w:line="23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Hemp-derived products that exceed the limits in the Farm Bill are federally illegal. Although currently not a material part of our business, we are producing, or licensing third parties to produce, and investing in companies that produce or market, Farm Bill compliant hemp products. Any products we may produce or license that are intended to be Farm Bill compliant but exceed the limits of psychoactive material allowable under the Farm Bill could subject the Company to action by regulatory authorities and/or to lawsuits by consumers, which may have a material adverse effect on the Company, including due to damage to our reputation and our ability to obtain or maintain the licenses supporting our medical and adult-use cannabis businesses.</w:t>
      </w:r>
    </w:p>
    <w:p>
      <w:pPr>
        <w:spacing w:after="0" w:line="1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i w:val="1"/>
          <w:iCs w:val="1"/>
          <w:color w:val="auto"/>
        </w:rPr>
        <w:t>Our business is subject to the risks inherent in agricultural operations.</w:t>
      </w:r>
    </w:p>
    <w:p>
      <w:pPr>
        <w:spacing w:after="0" w:line="23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The Company’s business involves the growing of cannabis, an agricultural product. The Company’s business is subject to the risks inherent in the agricultural business, such as insects, plant diseases and similar agricultural risks. Although the Company’s cultivation is substantially completed indoors under climate control, some cultivation is completed outdoors, and there can be no assurance that natural elements will not have a material adverse effect on any future production.</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an inherent risk of product liability and similar claims.</w:t>
      </w:r>
    </w:p>
    <w:p>
      <w:pPr>
        <w:spacing w:after="0" w:line="230" w:lineRule="exact"/>
        <w:rPr>
          <w:sz w:val="20"/>
          <w:szCs w:val="20"/>
          <w:color w:val="auto"/>
        </w:rPr>
      </w:pPr>
    </w:p>
    <w:p>
      <w:pPr>
        <w:ind w:right="20" w:firstLine="720"/>
        <w:spacing w:after="0" w:line="242" w:lineRule="auto"/>
        <w:rPr>
          <w:sz w:val="20"/>
          <w:szCs w:val="20"/>
          <w:color w:val="auto"/>
        </w:rPr>
      </w:pPr>
      <w:r>
        <w:rPr>
          <w:rFonts w:ascii="Times New Roman" w:cs="Times New Roman" w:eastAsia="Times New Roman" w:hAnsi="Times New Roman"/>
          <w:sz w:val="20"/>
          <w:szCs w:val="20"/>
          <w:color w:val="auto"/>
        </w:rPr>
        <w:t>As a producer, distributor and retailer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products may be subject to product recalls.</w:t>
      </w:r>
    </w:p>
    <w:p>
      <w:pPr>
        <w:spacing w:after="0" w:line="230"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Food and Drug Administration, or other regulatory agencies, requiring further management attention and potential legal fees and other expenses.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face unfavorable publicity or consumer perception.</w:t>
      </w:r>
    </w:p>
    <w:p>
      <w:pPr>
        <w:spacing w:after="0" w:line="230" w:lineRule="exact"/>
        <w:rPr>
          <w:sz w:val="20"/>
          <w:szCs w:val="20"/>
          <w:color w:val="auto"/>
        </w:rPr>
      </w:pPr>
    </w:p>
    <w:p>
      <w:pPr>
        <w:ind w:right="180" w:firstLine="720"/>
        <w:spacing w:after="0" w:line="270" w:lineRule="auto"/>
        <w:rPr>
          <w:sz w:val="20"/>
          <w:szCs w:val="20"/>
          <w:color w:val="auto"/>
        </w:rPr>
      </w:pPr>
      <w:r>
        <w:rPr>
          <w:rFonts w:ascii="Times New Roman" w:cs="Times New Roman" w:eastAsia="Times New Roman" w:hAnsi="Times New Roman"/>
          <w:sz w:val="19"/>
          <w:szCs w:val="19"/>
          <w:color w:val="auto"/>
        </w:rPr>
        <w:t>Management believes the medical and adult-use cannabis industry is highly dependent upon consumer perception regarding the safety, efficacy and quality of the cannabis produced. Consumer perception of our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w:t>
      </w:r>
    </w:p>
    <w:p>
      <w:pPr>
        <w:sectPr>
          <w:pgSz w:w="12240" w:h="15840" w:orient="portrait"/>
          <w:cols w:equalWidth="0" w:num="1">
            <w:col w:w="10800"/>
          </w:cols>
          <w:pgMar w:left="720" w:top="930" w:right="720" w:bottom="175" w:gutter="0" w:footer="0" w:header="0"/>
        </w:sectPr>
      </w:pP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800"/>
          </w:cols>
          <w:pgMar w:left="720" w:top="930" w:right="720" w:bottom="175" w:gutter="0" w:footer="0" w:header="0"/>
          <w:type w:val="continuous"/>
        </w:sectPr>
      </w:pPr>
    </w:p>
    <w:bookmarkStart w:id="44" w:name="page45"/>
    <w:bookmarkEnd w:id="44"/>
    <w:p>
      <w:pPr>
        <w:spacing w:after="0" w:line="243" w:lineRule="auto"/>
        <w:rPr>
          <w:sz w:val="20"/>
          <w:szCs w:val="20"/>
          <w:color w:val="auto"/>
        </w:rPr>
      </w:pPr>
      <w:r>
        <w:rPr>
          <w:rFonts w:ascii="Times New Roman" w:cs="Times New Roman" w:eastAsia="Times New Roman" w:hAnsi="Times New Roman"/>
          <w:sz w:val="20"/>
          <w:szCs w:val="20"/>
          <w:color w:val="auto"/>
        </w:rPr>
        <w:t>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Although the Company uses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98" w:lineRule="exact"/>
        <w:rPr>
          <w:sz w:val="20"/>
          <w:szCs w:val="20"/>
          <w:color w:val="auto"/>
        </w:rPr>
      </w:pPr>
    </w:p>
    <w:p>
      <w:pPr>
        <w:ind w:right="120" w:firstLine="720"/>
        <w:spacing w:after="0" w:line="244" w:lineRule="auto"/>
        <w:rPr>
          <w:sz w:val="20"/>
          <w:szCs w:val="20"/>
          <w:color w:val="auto"/>
        </w:rPr>
      </w:pPr>
      <w:r>
        <w:rPr>
          <w:rFonts w:ascii="Times New Roman" w:cs="Times New Roman" w:eastAsia="Times New Roman" w:hAnsi="Times New Roman"/>
          <w:sz w:val="20"/>
          <w:szCs w:val="20"/>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Food and Drug Administration, and the Food and Drug Administration and Centers for Disease control continue to conduct ongoing investigations,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Adverse findings, regulatory investigations, litigation, media attention, new regulatory requirements and other publicity regarding the consumption of vape or other inhaled products, including adverse publicity regarding underage use of vape or other inhaled products, may adversely affect the Company.</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adversely impacted by rising or volatile energy costs and availability.</w:t>
      </w:r>
    </w:p>
    <w:p>
      <w:pPr>
        <w:spacing w:after="0" w:line="230"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Company’s cannabis growing operations require energy supply, which makes it vulnerable to rising energy costs. Accordingly, rising or volatile energy costs may adversely affect the business of the Company and our ability to operate profitably. Further, from time to time in some markets in which we operate, our demand for energy may exceed the available supply. In limited circumstances, we have had to rely on alternative power sources such as generators to power our cultivation and processing facilities. A more prolonged disruption in our ability to maintain sufficient power to operate our facilities could result in a significant disruption of our operations, damage to our agricultural products or equipment, and result in a material adverse effect to our business.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encounter unknown environmental risks.</w:t>
      </w:r>
    </w:p>
    <w:p>
      <w:pPr>
        <w:spacing w:after="0" w:line="230"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There can be no assurance that the Company will not encounter hazardous conditions, such as asbestos or lead, at the sites of the real estate used to operate our businesses, which may delay the development of our businesses. Climate change or significant weather events may accelerate or exacerbate environmental conditions in ways that adversely affect the business due to potential negative effects on agricultural conditions, increased difficulty in construction projects to support our operations, and ownership or leasing of real property generally. Upon encountering a hazardous condition, work at the facilities of the Company may be suspended. If the Company receives notice of a hazardous condition, it may be required to correct the condition prior to continuing construction. If additional hazardous conditions were present, it would likely delay construction and may require significant expenditure of the Company’s resources to correct the conditions. Such conditions could have a material impact on the investment returns of the Company.</w:t>
      </w:r>
    </w:p>
    <w:p>
      <w:pPr>
        <w:spacing w:after="0" w:line="196"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373737"/>
        </w:rPr>
        <w:t xml:space="preserve">In addition, the operations of the Company </w:t>
      </w:r>
      <w:r>
        <w:rPr>
          <w:rFonts w:ascii="Times New Roman" w:cs="Times New Roman" w:eastAsia="Times New Roman" w:hAnsi="Times New Roman"/>
          <w:sz w:val="20"/>
          <w:szCs w:val="20"/>
          <w:color w:val="000000"/>
        </w:rPr>
        <w:t>are subject to environmental regulation in the various jurisdictions in which we</w:t>
      </w:r>
      <w:r>
        <w:rPr>
          <w:rFonts w:ascii="Times New Roman" w:cs="Times New Roman" w:eastAsia="Times New Roman" w:hAnsi="Times New Roman"/>
          <w:sz w:val="20"/>
          <w:szCs w:val="20"/>
          <w:color w:val="373737"/>
        </w:rPr>
        <w:t xml:space="preserve"> </w:t>
      </w:r>
      <w:r>
        <w:rPr>
          <w:rFonts w:ascii="Times New Roman" w:cs="Times New Roman" w:eastAsia="Times New Roman" w:hAnsi="Times New Roman"/>
          <w:sz w:val="20"/>
          <w:szCs w:val="20"/>
          <w:color w:val="000000"/>
        </w:rPr>
        <w:t>operate. These regulations mandate, among other things, the maintenance of air and water quality standards and land reclamation. They also set forth limitations on the generation, transportation, storage and disposal of solid and hazardous waste. Environmental legislation is evolving in a manner which will require stricter standards and enforcement, increased fines and penalties for non-compliance, more stringent environmental assessments of proposed projects and a heightened degree of responsibility for companies and their officers, directors (or the equivalent thereof) and employees. There is no assurance that future changes in environmental regulation, if any, will not adversely affect the operations of the Company.</w:t>
      </w:r>
    </w:p>
    <w:p>
      <w:pPr>
        <w:spacing w:after="0" w:line="223" w:lineRule="exact"/>
        <w:rPr>
          <w:sz w:val="20"/>
          <w:szCs w:val="20"/>
          <w:color w:val="auto"/>
        </w:rPr>
      </w:pPr>
    </w:p>
    <w:p>
      <w:pPr>
        <w:ind w:right="4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risks related to our information and operational technology systems, and potential cyber-attacks and security breaches.</w:t>
      </w:r>
    </w:p>
    <w:p>
      <w:pPr>
        <w:spacing w:after="0" w:line="159"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Our operations depend, in part, on how well we and our suppliers protect networks, equipment, information technology, which we refer to as IT, systems and software against damage and threats, including, but not limited to, cable cuts, damage to physical plants, natural disasters, intentional damage and destruction, fire, power loss, hacking, computer viruses, vandalism, fraud and theft. Our operations also depend on the timely maintenance and replacement of network equipment, IT systems and software, as well as pre-emptive expenses to mitigate associated risks. Given the nature of our products and the lack of legal availability outside of</w:t>
      </w:r>
    </w:p>
    <w:p>
      <w:pPr>
        <w:sectPr>
          <w:pgSz w:w="12240" w:h="15840" w:orient="portrait"/>
          <w:cols w:equalWidth="0" w:num="1">
            <w:col w:w="10800"/>
          </w:cols>
          <w:pgMar w:left="720" w:top="930" w:right="720" w:bottom="175" w:gutter="0" w:footer="0" w:header="0"/>
        </w:sectPr>
      </w:pP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800"/>
          </w:cols>
          <w:pgMar w:left="720" w:top="930" w:right="720" w:bottom="175" w:gutter="0" w:footer="0" w:header="0"/>
          <w:type w:val="continuous"/>
        </w:sectPr>
      </w:pPr>
    </w:p>
    <w:bookmarkStart w:id="45" w:name="page46"/>
    <w:bookmarkEnd w:id="45"/>
    <w:p>
      <w:pPr>
        <w:ind w:right="120"/>
        <w:spacing w:after="0" w:line="247" w:lineRule="auto"/>
        <w:rPr>
          <w:sz w:val="20"/>
          <w:szCs w:val="20"/>
          <w:color w:val="auto"/>
        </w:rPr>
      </w:pPr>
      <w:r>
        <w:rPr>
          <w:rFonts w:ascii="Times New Roman" w:cs="Times New Roman" w:eastAsia="Times New Roman" w:hAnsi="Times New Roman"/>
          <w:sz w:val="20"/>
          <w:szCs w:val="20"/>
          <w:color w:val="auto"/>
        </w:rPr>
        <w:t>channels approved by the federal government, as well as the concentration of inventory in our facilities, there remains a risk of shrinkages, as well as theft. If there was a breach in security and we fell victim to theft, fraud, cyber-attack or robbery, the loss of cannabis plants, cannabis oils, cannabis flowers and cultivation and processing equipment, or if there was a failure or breach in information systems, it could adversely affect our reputation and business continuity. Breaches or other unauthorized access, theft, modification or destruction of confidential patient, customer, employee or other confidential information that is stored in our systems could adversely affect our business.</w:t>
      </w:r>
    </w:p>
    <w:p>
      <w:pPr>
        <w:spacing w:after="0" w:line="190"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Additionally, we may store and collect personal information about patients and customers and are responsible for protecting that information from privacy breaches that may occur through procedural or process failure, IT malfunction or deliberate unauthorized intrusions. Any such theft or privacy breach, or one that involved competitively sensitive or other protected information, would have a material adverse effect on our business, prospects, revenue, results of operation and financial condition.</w:t>
      </w:r>
    </w:p>
    <w:p>
      <w:pPr>
        <w:spacing w:after="0" w:line="184"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could experience a cyber incident, which generally refers to any intentional attack or an unintentional event that results in unauthorized access to systems to disrupt operations, corrupt data or steal or expose confidential information or intellectual property, or a ransomware attack, which is a type of malicious software that infects a computer and restricts users' access to it until a ransom is paid to unlock it. Any such incident that compromises the information stored on our systems could result in widespread negative publicity, damage to our reputation, a loss of patients and customers, disruption of our business and legal liabilities. If any of our critical suppliers is the subject of a cyber or ransomware attack, we could experience a significant disruption in our supply chain and possibly shortages of key resources.</w:t>
      </w:r>
    </w:p>
    <w:p>
      <w:pPr>
        <w:spacing w:after="0" w:line="190" w:lineRule="exact"/>
        <w:rPr>
          <w:sz w:val="20"/>
          <w:szCs w:val="20"/>
          <w:color w:val="auto"/>
        </w:rPr>
      </w:pPr>
    </w:p>
    <w:p>
      <w:pPr>
        <w:ind w:right="140" w:firstLine="720"/>
        <w:spacing w:after="0" w:line="244" w:lineRule="auto"/>
        <w:rPr>
          <w:sz w:val="20"/>
          <w:szCs w:val="20"/>
          <w:color w:val="auto"/>
        </w:rPr>
      </w:pPr>
      <w:r>
        <w:rPr>
          <w:rFonts w:ascii="Times New Roman" w:cs="Times New Roman" w:eastAsia="Times New Roman" w:hAnsi="Times New Roman"/>
          <w:sz w:val="20"/>
          <w:szCs w:val="20"/>
          <w:color w:val="auto"/>
        </w:rPr>
        <w:t>We are subject to laws, rules and regulations in the United States such as the California Privacy Rights Act, Connecticut Personal Data Privacy and Online Monitoring Act (CPDPOMA), New Jersey Data Privacy Act (NJDPA) and the Virginia Consumer Data Protection Act (VCDPA), and those of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applicable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96" w:lineRule="exact"/>
        <w:rPr>
          <w:sz w:val="20"/>
          <w:szCs w:val="20"/>
          <w:color w:val="auto"/>
        </w:rPr>
      </w:pPr>
    </w:p>
    <w:p>
      <w:pPr>
        <w:ind w:right="36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provide numerous capabilities that we depend upon on to operate, and a disruption of these systems could adversely affect our business.</w:t>
      </w:r>
    </w:p>
    <w:p>
      <w:pPr>
        <w:spacing w:after="0" w:line="198"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are dependent on vendors and third-party software providers, such as our seed-to-sale tracking software providers and point of sale transaction processing providers to operate our business. A serious disruption to any of these could significantly limit our ability to serve our customers and operate profitably.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developing our own software if we were unable to find an alternate provider, may have a material adverse effect on our results of operations or financial condition. Any disruption could cause our business and competitive position to suffer and cause our operating results to be reduced.</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our insurance coverage and uninsurable risks.</w:t>
      </w:r>
    </w:p>
    <w:p>
      <w:pPr>
        <w:spacing w:after="0" w:line="230" w:lineRule="exact"/>
        <w:rPr>
          <w:sz w:val="20"/>
          <w:szCs w:val="20"/>
          <w:color w:val="auto"/>
        </w:rPr>
      </w:pPr>
    </w:p>
    <w:p>
      <w:pPr>
        <w:jc w:val="both"/>
        <w:ind w:right="240" w:firstLine="720"/>
        <w:spacing w:after="0" w:line="258" w:lineRule="auto"/>
        <w:rPr>
          <w:sz w:val="20"/>
          <w:szCs w:val="20"/>
          <w:color w:val="auto"/>
        </w:rPr>
      </w:pPr>
      <w:r>
        <w:rPr>
          <w:rFonts w:ascii="Times New Roman" w:cs="Times New Roman" w:eastAsia="Times New Roman" w:hAnsi="Times New Roman"/>
          <w:sz w:val="20"/>
          <w:szCs w:val="20"/>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7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Although we intend to continue to maintain insurance to protect against certain risks in such amounts as we consider to be reasonable, our insurance will not cover all the potential risks associated with our operations, and our insurance coverage may not effectively mitigate the material impact on our financial position or results of operations resulting from claims or liabilities against us.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the Company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780"/>
          </w:cols>
          <w:pgMar w:left="720" w:top="930" w:right="740" w:bottom="175" w:gutter="0" w:footer="0" w:header="0"/>
          <w:type w:val="continuous"/>
        </w:sectPr>
      </w:pPr>
    </w:p>
    <w:bookmarkStart w:id="46" w:name="page47"/>
    <w:bookmarkEnd w:id="46"/>
    <w:p>
      <w:pPr>
        <w:ind w:right="3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key inputs, suppliers and skilled labor; and fluctuations in the cost or availability of materials we use in our products and supply chain could negatively affect our results.</w:t>
      </w:r>
    </w:p>
    <w:p>
      <w:pPr>
        <w:spacing w:after="0" w:line="159"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cannabis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materials we use in our products and for the construction and development of our facilities, or natural or other disruptions to power or other utility systems, could materially impact our business, financial condition, results of operations or prospects. Some of these inputs may only be available from a single supplier or a limited group of suppliers, or be sourced abroad. If a sole source supplier was to go out of business, we might be unable to find a replacement for such source in a timely manner, or at all. If a sole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96" w:lineRule="exact"/>
        <w:rPr>
          <w:sz w:val="20"/>
          <w:szCs w:val="20"/>
          <w:color w:val="auto"/>
        </w:rPr>
      </w:pPr>
    </w:p>
    <w:p>
      <w:pPr>
        <w:ind w:right="360" w:firstLine="720"/>
        <w:spacing w:after="0" w:line="258" w:lineRule="auto"/>
        <w:rPr>
          <w:sz w:val="20"/>
          <w:szCs w:val="20"/>
          <w:color w:val="auto"/>
        </w:rPr>
      </w:pPr>
      <w:r>
        <w:rPr>
          <w:rFonts w:ascii="Times New Roman" w:cs="Times New Roman" w:eastAsia="Times New Roman" w:hAnsi="Times New Roman"/>
          <w:sz w:val="20"/>
          <w:szCs w:val="20"/>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w:t>
      </w:r>
    </w:p>
    <w:p>
      <w:pPr>
        <w:spacing w:after="0" w:line="178" w:lineRule="exact"/>
        <w:rPr>
          <w:sz w:val="20"/>
          <w:szCs w:val="20"/>
          <w:color w:val="auto"/>
        </w:rPr>
      </w:pPr>
    </w:p>
    <w:p>
      <w:pPr>
        <w:ind w:right="8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the expertise of our management team and other employees experienced in the cannabis industry, and the loss of key personnel could negatively affect our business, financial condition and results of operations.</w:t>
      </w:r>
    </w:p>
    <w:p>
      <w:pPr>
        <w:spacing w:after="0" w:line="159"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Our success largely depends upon the continued services of our executive officers and management team members. If one or more of our executive officers or management members is unable or unwilling to continue in their present position, we may not be able to replace such individual readily, if at all. Additionally, we may incur additional expenses to recruit and retain new executive officers and management members and personnel with experience in the cannabis industry. We do not maintain “key person” life insurance on any of our executive officers. Because of these factors, the loss of the services of any key persons could adversely affect our business, financial condition and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must attract and maintain key personnel or our business will fail.</w:t>
      </w:r>
    </w:p>
    <w:p>
      <w:pPr>
        <w:spacing w:after="0" w:line="230"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Our success is dependent upon the ability, expertise, judgment, discretion and good faith of our senior management and key personnel. We compete with other companies both within and outside the cannabis industry to recruit and retain competent employees. If we cannot maintain qualified employees to meet the needs of our anticipated growth, or do so affordably, our business and financial condition could be materially adversely affected.</w:t>
      </w:r>
    </w:p>
    <w:p>
      <w:pPr>
        <w:spacing w:after="0" w:line="2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sales are difficult to forecast.</w:t>
      </w:r>
    </w:p>
    <w:p>
      <w:pPr>
        <w:spacing w:after="0" w:line="230" w:lineRule="exact"/>
        <w:rPr>
          <w:sz w:val="20"/>
          <w:szCs w:val="20"/>
          <w:color w:val="auto"/>
        </w:rPr>
      </w:pPr>
    </w:p>
    <w:p>
      <w:pPr>
        <w:ind w:right="200" w:firstLine="720"/>
        <w:spacing w:after="0" w:line="244" w:lineRule="auto"/>
        <w:rPr>
          <w:sz w:val="20"/>
          <w:szCs w:val="20"/>
          <w:color w:val="auto"/>
        </w:rPr>
      </w:pPr>
      <w:r>
        <w:rPr>
          <w:rFonts w:ascii="Times New Roman" w:cs="Times New Roman" w:eastAsia="Times New Roman" w:hAnsi="Times New Roman"/>
          <w:sz w:val="20"/>
          <w:szCs w:val="20"/>
          <w:color w:val="auto"/>
        </w:rPr>
        <w:t>As a result of recent and ongoing regulatory and policy changes in the medical and adult-use cannabis industries, laws that prevent widespread participation in and otherwise hinder market research in the medical and adult-use cannabis industry,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A failure in the demand for our products to materialize as a result of competition, technological change, failure of states to enforce cannabis regulations, the use of psychoactive hemp-based products or other factors could have a material adverse effect on our business, results of operations and financial condition.</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growth-related risks.</w:t>
      </w:r>
    </w:p>
    <w:p>
      <w:pPr>
        <w:spacing w:after="0" w:line="230" w:lineRule="exact"/>
        <w:rPr>
          <w:sz w:val="20"/>
          <w:szCs w:val="20"/>
          <w:color w:val="auto"/>
        </w:rPr>
      </w:pPr>
    </w:p>
    <w:p>
      <w:pPr>
        <w:jc w:val="both"/>
        <w:ind w:right="160" w:firstLine="720"/>
        <w:spacing w:after="0" w:line="252" w:lineRule="auto"/>
        <w:rPr>
          <w:sz w:val="20"/>
          <w:szCs w:val="20"/>
          <w:color w:val="auto"/>
        </w:rPr>
      </w:pPr>
      <w:r>
        <w:rPr>
          <w:rFonts w:ascii="Times New Roman" w:cs="Times New Roman" w:eastAsia="Times New Roman" w:hAnsi="Times New Roman"/>
          <w:sz w:val="20"/>
          <w:szCs w:val="20"/>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800"/>
          </w:cols>
          <w:pgMar w:left="720" w:top="930" w:right="720" w:bottom="175" w:gutter="0" w:footer="0" w:header="0"/>
          <w:type w:val="continuous"/>
        </w:sectPr>
      </w:pPr>
    </w:p>
    <w:bookmarkStart w:id="47" w:name="page48"/>
    <w:bookmarkEnd w:id="47"/>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litigation.</w:t>
      </w:r>
    </w:p>
    <w:p>
      <w:pPr>
        <w:spacing w:after="0" w:line="23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We may become party to litigation from time to time in the ordinary course of business, which could adversely affect our business. Should any litigation in which we become involved be determined against us, such a decision could adversely affect our ability to continue operating and the market price for the Subordinate Voting Shares and could potentially use significant resources. Even if we are involved in litigation and win, litigation can redirect significant resources of Green Thumb Industries Inc. and/or its subsidiaries.</w:t>
      </w:r>
    </w:p>
    <w:p>
      <w:pPr>
        <w:spacing w:after="0" w:line="187" w:lineRule="exact"/>
        <w:rPr>
          <w:sz w:val="20"/>
          <w:szCs w:val="20"/>
          <w:color w:val="auto"/>
        </w:rPr>
      </w:pPr>
    </w:p>
    <w:p>
      <w:pPr>
        <w:ind w:right="44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exposed to infringement or misappropriation claims by third parties, which, if determined adversely to us, could subject us to significant liabilities and other costs.</w:t>
      </w:r>
    </w:p>
    <w:p>
      <w:pPr>
        <w:spacing w:after="0" w:line="15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success may depend on our ability to use and develop new extraction technologies, recipes, know-how and new strains of marijuana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have increased labor costs based on union activity.</w:t>
      </w:r>
    </w:p>
    <w:p>
      <w:pPr>
        <w:spacing w:after="0" w:line="23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Labor unions are working to organize workforces in the cannabis industry in general, and regulators are increasingly requiring us to enter into labor peace agreements with unions as a condition of receiving a license. Currently, under 15% of our workforce has elected to be represented by a labor organization for purposes of collective bargaining. However, it is possible that greater portions of our workforce at retail and/or manufacturing locations will be organized in the future, which could lead to work stoppages or increased labor costs and adversely affect our business, profitability and our ability to reinvest into the growth of our business. We cannot predict how stable our relationships with U.S. labor organizations will remain or whether we can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a holding company.</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We are a holding company and essentially all of our assets are the capital stock of our subsidiaries in our fourteen markets, including California, Connecticut, Florida, Illinois, Maryland, Massachusetts, Minnesota, Nevada, New Jersey, New York, Ohio, Pennsylvania, Rhode Island and Virginia. As a result, investors in the Company are subject to the risks attributable to our subsidiaries.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heightened scrutiny by Canadian regulatory authorities.</w:t>
      </w:r>
    </w:p>
    <w:p>
      <w:pPr>
        <w:spacing w:after="0" w:line="230"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The business, operations and investments of the Company in the United States, and any future business, operations or investments, may become the subject of heightened scrutiny by regulators, stock exchanges and other authorities in Canada and the United States. There can be no assurance that this heightened scrutiny will not in turn lead to the imposition of certain restrictions on the Company’s ability to operate or invest in the United States or any other jurisdiction, in addition to those described herein.</w:t>
      </w:r>
    </w:p>
    <w:p>
      <w:pPr>
        <w:spacing w:after="0" w:line="181" w:lineRule="exact"/>
        <w:rPr>
          <w:sz w:val="20"/>
          <w:szCs w:val="20"/>
          <w:color w:val="auto"/>
        </w:rPr>
      </w:pPr>
    </w:p>
    <w:p>
      <w:pPr>
        <w:ind w:firstLine="720"/>
        <w:spacing w:after="0" w:line="248" w:lineRule="auto"/>
        <w:rPr>
          <w:sz w:val="20"/>
          <w:szCs w:val="20"/>
          <w:color w:val="auto"/>
        </w:rPr>
      </w:pPr>
      <w:r>
        <w:rPr>
          <w:rFonts w:ascii="Times New Roman" w:cs="Times New Roman" w:eastAsia="Times New Roman" w:hAnsi="Times New Roman"/>
          <w:sz w:val="20"/>
          <w:szCs w:val="20"/>
          <w:color w:val="auto"/>
        </w:rPr>
        <w:t>The Canadian Securities Administrators</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 Staff Notice 51-352 describes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ectPr>
          <w:pgSz w:w="12240" w:h="15840" w:orient="portrait"/>
          <w:cols w:equalWidth="0" w:num="1">
            <w:col w:w="10780"/>
          </w:cols>
          <w:pgMar w:left="720" w:top="930" w:right="740" w:bottom="175"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80"/>
          </w:cols>
          <w:pgMar w:left="720" w:top="930" w:right="740" w:bottom="175" w:gutter="0" w:footer="0" w:header="0"/>
          <w:type w:val="continuous"/>
        </w:sectPr>
      </w:pPr>
    </w:p>
    <w:bookmarkStart w:id="48" w:name="page49"/>
    <w:bookmarkEnd w:id="48"/>
    <w:p>
      <w:pPr>
        <w:ind w:firstLine="720"/>
        <w:spacing w:after="0" w:line="243" w:lineRule="auto"/>
        <w:rPr>
          <w:sz w:val="20"/>
          <w:szCs w:val="20"/>
          <w:color w:val="auto"/>
        </w:rPr>
      </w:pPr>
      <w:r>
        <w:rPr>
          <w:rFonts w:ascii="Times New Roman" w:cs="Times New Roman" w:eastAsia="Times New Roman" w:hAnsi="Times New Roman"/>
          <w:sz w:val="20"/>
          <w:szCs w:val="20"/>
          <w:color w:val="auto"/>
        </w:rPr>
        <w:t>On February 8, 2018, following discussions with the Canadian Securities Administrators and recognized Canadian securities exchanges, the TMX Group, which is the owner and operator of CDS Clearing Depository for Securities Limited (“CDS”), announced the signing of a Memorandum of Understanding (“MOU”) with Aequitas NEO Exchange Inc. (now CBOE Canada), the CSE, the Toronto Stock Exchange and the TSX Venture Exchange (“TSXV”).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Canada.</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general economic risks and risks of continued inflation.</w:t>
      </w:r>
    </w:p>
    <w:p>
      <w:pPr>
        <w:spacing w:after="0" w:line="23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Our operations could be affected by the economic context should the unemployment level, interest rates or inflation reach levels that influence consumer trends and spending and, consequently, impact our sales and profitability. A continued upward rate of inflation could influence the profits that we generate from our business. When the rate of inflation rises, the operational costs of running our company also increases, such as labor costs, raw materials and public utilities, thus affecting our ability to provide our products at competitive prices. An increase in the rate of inflation could force our customers to search for other products, causing us to lose business and revenue. As the number of available licenses increase in the markets in which we operate,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negatively impacted by challenging global economic conditions.</w:t>
      </w:r>
    </w:p>
    <w:p>
      <w:pPr>
        <w:spacing w:after="0" w:line="230"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Our business, financial condition, results of operations and cash flow may be negatively impacted by challenging global economic conditions. For example, during the COVID-19 pandemic, the U.S. and other world economies experienced turmoil due to the pandemic, which resulted in global economic uncertainty, supply chain disruptions and other issues.</w:t>
      </w:r>
    </w:p>
    <w:p>
      <w:pPr>
        <w:spacing w:after="0" w:line="178"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w:t>
      </w:r>
    </w:p>
    <w:p>
      <w:pPr>
        <w:spacing w:after="0" w:line="190" w:lineRule="exact"/>
        <w:rPr>
          <w:sz w:val="20"/>
          <w:szCs w:val="20"/>
          <w:color w:val="auto"/>
        </w:rPr>
      </w:pPr>
    </w:p>
    <w:p>
      <w:pPr>
        <w:ind w:right="80" w:firstLine="720"/>
        <w:spacing w:after="0" w:line="243" w:lineRule="auto"/>
        <w:rPr>
          <w:sz w:val="20"/>
          <w:szCs w:val="20"/>
          <w:color w:val="auto"/>
        </w:rPr>
      </w:pPr>
      <w:r>
        <w:rPr>
          <w:rFonts w:ascii="Times New Roman" w:cs="Times New Roman" w:eastAsia="Times New Roman" w:hAnsi="Times New Roman"/>
          <w:sz w:val="20"/>
          <w:szCs w:val="20"/>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800"/>
          </w:cols>
          <w:pgMar w:left="720" w:top="930" w:right="720" w:bottom="175" w:gutter="0" w:footer="0" w:header="0"/>
          <w:type w:val="continuous"/>
        </w:sectPr>
      </w:pPr>
    </w:p>
    <w:bookmarkStart w:id="49" w:name="page50"/>
    <w:bookmarkEnd w:id="49"/>
    <w:p>
      <w:pPr>
        <w:ind w:firstLine="7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disclose personal information of our owners, investors, officers, managers, and directors to regulators and failure to do so could endanger our ability to expand, endanger our licenses, or cause the Company to incur costs to redeem securities held by uncooperative shareholders.</w:t>
      </w:r>
    </w:p>
    <w:p>
      <w:pPr>
        <w:spacing w:after="0" w:line="18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Ownership in and applications for cannabis licenses can entail lengthy disclosures of personal information to the relevant regulatory authorities. The obligation often extends to all persons holding an ownership interest in the license, whether direct, indirect, present, or future, and often includes those with a mere nominal interest. Analogous disclosures are often required from persons with managerial authority or control over the licenses, as well, including officers, directors, and managers. Disclosures can include providing personal information needed to satisfy extensive criminal history reports and investigations (e.g., fingerprints, address and employment history), tax returns, social security numbers, a history of personal addresses, employment agreements, and other personal information. While some states allow exceptions for individuals with ownership in publicly traded companies like the Company, not all states provide such exceptions. If these requirements were applied to all persons with ownership in the Company, all such persons would be required to comply or the Company would risk losing the opportunity to apply for or renew the license(s), or similarly face the possibility that the license may be revoked.</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risks arising from epidemic diseases.</w:t>
      </w:r>
    </w:p>
    <w:p>
      <w:pPr>
        <w:spacing w:after="0" w:line="230" w:lineRule="exact"/>
        <w:rPr>
          <w:sz w:val="20"/>
          <w:szCs w:val="20"/>
          <w:color w:val="auto"/>
        </w:rPr>
      </w:pPr>
    </w:p>
    <w:p>
      <w:pPr>
        <w:ind w:right="220" w:firstLine="720"/>
        <w:spacing w:after="0" w:line="245" w:lineRule="auto"/>
        <w:rPr>
          <w:sz w:val="20"/>
          <w:szCs w:val="20"/>
          <w:color w:val="auto"/>
        </w:rPr>
      </w:pPr>
      <w:r>
        <w:rPr>
          <w:rFonts w:ascii="Times New Roman" w:cs="Times New Roman" w:eastAsia="Times New Roman" w:hAnsi="Times New Roman"/>
          <w:sz w:val="20"/>
          <w:szCs w:val="20"/>
          <w:color w:val="auto"/>
        </w:rPr>
        <w:t>A public health epidemic, such as the COVID-19 pandemic that began in 2020, or the fear of a potential epidemic or pandemic, poses the risk that we or our employees, contractors, suppliers, and other partners may be prevented from conducting business activities for an indefinite period of time, including due to shutdowns or other preventative measures that may be requested or mandated by governmental authorities. Although our operations continued during the COVID-19 pandemic, as the cultivation, processing and sale of cannabis products was considered an essential business by all states in which we operated with respect to all customers when shutdowns were imposed, there can be no assurances that would be the case in any future actual or anticipated epidemic disease outbreak or pandemic. Our ability to continue to operate without any significant negative operational impact from any future public health crisis will in part depend on our ability to protect our employees, customers and supply chain.</w:t>
      </w:r>
    </w:p>
    <w:p>
      <w:pPr>
        <w:spacing w:after="0" w:line="192"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While it is not possible at this time to estimate the impact any actual or potential pandemic could have on our business,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particularly those in China and India. Such an event, and any measures taken to avert significant health crises may also have an adverse impact on global economic conditions which could have an adverse effect on our business and financial condition. Because cannabis remains federally illegal, it is possible that we would not be eligible to participate in any government relief programs (such as federal loans or access to capital) resulting from any actual or potential pandemic.</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800"/>
          </w:cols>
          <w:pgMar w:left="720" w:top="930" w:right="720" w:bottom="175" w:gutter="0" w:footer="0" w:header="0"/>
          <w:type w:val="continuous"/>
        </w:sectPr>
      </w:pPr>
    </w:p>
    <w:bookmarkStart w:id="50" w:name="page51"/>
    <w:bookmarkEnd w:id="50"/>
    <w:p>
      <w:pPr>
        <w:ind w:left="720"/>
        <w:spacing w:after="0"/>
        <w:rPr>
          <w:sz w:val="20"/>
          <w:szCs w:val="20"/>
          <w:color w:val="auto"/>
        </w:rPr>
      </w:pPr>
      <w:r>
        <w:rPr>
          <w:rFonts w:ascii="Times New Roman" w:cs="Times New Roman" w:eastAsia="Times New Roman" w:hAnsi="Times New Roman"/>
          <w:sz w:val="20"/>
          <w:szCs w:val="20"/>
          <w:b w:val="1"/>
          <w:bCs w:val="1"/>
          <w:color w:val="auto"/>
        </w:rPr>
        <w:t>Risks Related to Our Securities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 return on our securities is not guaranteed.</w:t>
      </w:r>
    </w:p>
    <w:p>
      <w:pPr>
        <w:spacing w:after="0" w:line="230" w:lineRule="exact"/>
        <w:rPr>
          <w:sz w:val="20"/>
          <w:szCs w:val="20"/>
          <w:color w:val="auto"/>
        </w:rPr>
      </w:pPr>
    </w:p>
    <w:p>
      <w:pPr>
        <w:ind w:right="240" w:firstLine="720"/>
        <w:spacing w:after="0" w:line="249" w:lineRule="auto"/>
        <w:rPr>
          <w:sz w:val="20"/>
          <w:szCs w:val="20"/>
          <w:color w:val="auto"/>
        </w:rPr>
      </w:pPr>
      <w:r>
        <w:rPr>
          <w:rFonts w:ascii="Times New Roman" w:cs="Times New Roman" w:eastAsia="Times New Roman" w:hAnsi="Times New Roman"/>
          <w:sz w:val="20"/>
          <w:szCs w:val="20"/>
          <w:color w:val="auto"/>
        </w:rPr>
        <w:t>There is no guarantee that our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Holding of Subordinate Voting Shares is appropriate only for holders who have the capacity to absorb a loss of some or all of their holdings.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may be affected by currency fluctuations.</w:t>
      </w:r>
    </w:p>
    <w:p>
      <w:pPr>
        <w:spacing w:after="0" w:line="230"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We face exposure to significant currency fluctuations because of our present operations in the U.S. Recent events in the global financial markets have been coupled with increased volatility in the currency markets. All or substantially all of our revenue is earned in U.S. dollars, but our shares, and some of our warrants issued to holders of our notes are denominated in Canadian dollars which can provide variability for results of operations. We do not have currency hedging arrangements in place and there is no expectation that we will put any currency hedging arrangements in place in the future. Fluctuations in the exchange rate between the U.S. dollar and the Canadian dollar may have a material adverse effect on our business, financial position or results of operations.</w:t>
      </w:r>
    </w:p>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voting control is concentrated.</w:t>
      </w:r>
    </w:p>
    <w:p>
      <w:pPr>
        <w:spacing w:after="0" w:line="230"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Our senior executives exercise a significant majority of the voting power with respect to our outstanding shares because of the Super Voting Shares that they hold. These officials include Benjamin Kovler, our Founder, Chairman and Chief Executive Officer, Andrew Grossman, our Head of Capital Markets, and Anthony Georgiadis, our President. Subordinate Voting Shares are entitled to one vote per share, Multiple Voting Shares are entitled to 100 votes per share, and Super Voting Shares are entitled to 1,000 votes per share. As a result, Mr. Kovler, Mr. Grossman and Mr. Georgiadis potentially have the ability to control the outcome of matters submitted to our shareholders for approval, including the election and removal of directors and any arrangement or sale of all or substantially all of our assets.</w:t>
      </w:r>
    </w:p>
    <w:p>
      <w:pPr>
        <w:spacing w:after="0" w:line="190"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This concentrated control could delay, defer or prevent a change of control, arrangement or merger involving sale of all or substantially all of our assets that our other shareholders may support. Conversely, this concentrated control could allow the holders of the Super Voting Shares to consummate such a transaction our other shareholders do not support. In addition, the holders of the Super Voting Shares may make long-term strategic investment decisions and take risks that may not be successful and/or may seriously harm our business.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Our capital structure and voting control may cause unpredictability.</w:t>
      </w:r>
    </w:p>
    <w:p>
      <w:pPr>
        <w:spacing w:after="0" w:line="23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Although other Canadian-based companies have dual class or multiple voting share structures, given our unique capital structure and the concentration of voting control that is held by the holders of the Super Voting Shares, this structure and control could result in greater fluctuations in the trading price of our Subordinate Voting Shares, adverse publicity to us or other adverse consequences.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b w:val="1"/>
          <w:bCs w:val="1"/>
          <w:i w:val="1"/>
          <w:iCs w:val="1"/>
          <w:color w:val="auto"/>
        </w:rPr>
        <w:t>Additional issuances of Super Voting Shares, Multiple Voting Shares or Subordinate Voting Shares may result in dilution.</w:t>
      </w:r>
    </w:p>
    <w:p>
      <w:pPr>
        <w:spacing w:after="0" w:line="241" w:lineRule="exact"/>
        <w:rPr>
          <w:sz w:val="20"/>
          <w:szCs w:val="20"/>
          <w:color w:val="auto"/>
        </w:rPr>
      </w:pPr>
    </w:p>
    <w:p>
      <w:pPr>
        <w:ind w:right="100" w:firstLine="720"/>
        <w:spacing w:after="0" w:line="243" w:lineRule="auto"/>
        <w:rPr>
          <w:sz w:val="20"/>
          <w:szCs w:val="20"/>
          <w:color w:val="auto"/>
        </w:rPr>
      </w:pPr>
      <w:r>
        <w:rPr>
          <w:rFonts w:ascii="Times New Roman" w:cs="Times New Roman" w:eastAsia="Times New Roman" w:hAnsi="Times New Roman"/>
          <w:sz w:val="20"/>
          <w:szCs w:val="20"/>
          <w:color w:val="auto"/>
        </w:rPr>
        <w:t>We may issue additional equity or convertible debt securities in the future, which may dilute an existing shareholder’s holdings. Our articles permit the issuance of an unlimited number of Super Voting Shares, Multiple Voting Shares and Subordinate Voting Shares, and existing shareholders will have no pre-emptive rights in connection with such further issuances. Our Board has discretion to determine the price and the terms of further issuances, and such terms could include rights, preferences and privileges superior to those existing holders of Subordinate Voting Shares. Moreover, additional Subordinate Voting Shares will be issued by us on the conversion of the Multiple Voting Shares and Super Voting Shares in accordance with their terms. To the extent holders of our options or other convertible securities convert or exercise their securities and sell Subordinate Voting Shares they receive, the trading price of the Subordinate Voting Shares may decrease due to the additional amount of Subordinate Voting Shares available in the market. We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us.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800"/>
          </w:cols>
          <w:pgMar w:left="720" w:top="926" w:right="720" w:bottom="175" w:gutter="0" w:footer="0" w:header="0"/>
          <w:type w:val="continuous"/>
        </w:sectPr>
      </w:pPr>
    </w:p>
    <w:bookmarkStart w:id="51" w:name="page52"/>
    <w:bookmarkEnd w:id="51"/>
    <w:p>
      <w:pPr>
        <w:ind w:right="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Sales of substantial amounts of Subordinate Voting Shares by our shareholders in the public market may have an adverse effect on the market price of the Subordinate Voting Shares.</w:t>
      </w:r>
    </w:p>
    <w:p>
      <w:pPr>
        <w:spacing w:after="0" w:line="159"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our ability to raise additional capital through the sale of securities should we desire to do so.</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for the Subordinate Voting Shares may be volatile.</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The market price for securities of cannabis companies generally are likely to be volatile. In addition, the market price for the Subordinate Voting Shares has been and may be subject to wide fluctuations in response to numerous factors beyond our control, including, but not limited to:</w:t>
      </w:r>
    </w:p>
    <w:p>
      <w:pPr>
        <w:spacing w:after="0" w:line="83" w:lineRule="exact"/>
        <w:rPr>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fluctuations in our quarterly results of operations;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recommendations by securities research analysts;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economic performance or market valuations of companies in the industry in which we operate;</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addition or departure of our executive officers and other key personnel;</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release or expiration of transfer restrictions on outstanding Subordinate Voting Shares;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sales or perceived sales of additional Subordinate Voting Shares;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and financial performance that varies from the expectations of management, securities analysts and investors;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changes affecting our industry generally and our business and operations both domestically and abroad;</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developments and other material events by us or our competitors;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the costs of vital production materials and services;</w:t>
      </w:r>
    </w:p>
    <w:p>
      <w:pPr>
        <w:spacing w:after="0" w:line="133" w:lineRule="exact"/>
        <w:rPr>
          <w:rFonts w:ascii="Arial" w:cs="Arial" w:eastAsia="Arial" w:hAnsi="Arial"/>
          <w:sz w:val="20"/>
          <w:szCs w:val="20"/>
          <w:color w:val="auto"/>
        </w:rPr>
      </w:pPr>
    </w:p>
    <w:p>
      <w:pPr>
        <w:ind w:left="980" w:right="90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global financial markets, global economies and general market conditions, such as interest rates and pharmaceutical product price volatility;</w:t>
      </w:r>
    </w:p>
    <w:p>
      <w:pPr>
        <w:spacing w:after="0" w:line="64" w:lineRule="exact"/>
        <w:rPr>
          <w:rFonts w:ascii="Arial" w:cs="Arial" w:eastAsia="Arial" w:hAnsi="Arial"/>
          <w:sz w:val="20"/>
          <w:szCs w:val="20"/>
          <w:color w:val="auto"/>
        </w:rPr>
      </w:pPr>
    </w:p>
    <w:p>
      <w:pPr>
        <w:ind w:left="980" w:right="48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acquisitions or business combinations, strategic partnerships, joint ventures or capital commitments by or involving us or our competitors;</w:t>
      </w:r>
    </w:p>
    <w:p>
      <w:pPr>
        <w:spacing w:after="0" w:line="64" w:lineRule="exact"/>
        <w:rPr>
          <w:rFonts w:ascii="Arial" w:cs="Arial" w:eastAsia="Arial" w:hAnsi="Arial"/>
          <w:sz w:val="20"/>
          <w:szCs w:val="20"/>
          <w:color w:val="auto"/>
        </w:rPr>
      </w:pPr>
    </w:p>
    <w:p>
      <w:pPr>
        <w:ind w:left="980" w:right="12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and share price performance of other companies that investors deem comparable to us or from a lack of market comparable companies; and</w:t>
      </w:r>
    </w:p>
    <w:p>
      <w:pPr>
        <w:spacing w:after="0" w:line="64" w:lineRule="exact"/>
        <w:rPr>
          <w:rFonts w:ascii="Arial" w:cs="Arial" w:eastAsia="Arial" w:hAnsi="Arial"/>
          <w:sz w:val="20"/>
          <w:szCs w:val="20"/>
          <w:color w:val="auto"/>
        </w:rPr>
      </w:pPr>
    </w:p>
    <w:p>
      <w:pPr>
        <w:ind w:left="980" w:hanging="491"/>
        <w:spacing w:after="0" w:line="276" w:lineRule="auto"/>
        <w:tabs>
          <w:tab w:leader="none" w:pos="9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news reports relating to trends, concerns, technological or competitive developments, regulatory changes and other related issues in our industry or target markets.</w:t>
      </w:r>
    </w:p>
    <w:p>
      <w:pPr>
        <w:spacing w:after="0" w:line="160"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our operating results, underlying asset values or prospects have not changed. Additionally, these factors, as well as other related factors, may cause decreases in asset values that may result in impairment losses to us. There can be no assurance that further fluctuations in price and volume of equity securities will not occur. If increased levels of volatility and market turmoil continue, our operations could be adversely impacted, and the trading price of the Subordinate Voting Shares may be materially adversely affected.</w:t>
      </w:r>
    </w:p>
    <w:p>
      <w:pPr>
        <w:spacing w:after="0" w:line="192"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59" w:lineRule="exact"/>
        <w:rPr>
          <w:sz w:val="20"/>
          <w:szCs w:val="20"/>
          <w:color w:val="auto"/>
        </w:rPr>
      </w:pPr>
    </w:p>
    <w:p>
      <w:pPr>
        <w:ind w:right="160" w:firstLine="720"/>
        <w:spacing w:after="0" w:line="246" w:lineRule="auto"/>
        <w:rPr>
          <w:sz w:val="20"/>
          <w:szCs w:val="20"/>
          <w:color w:val="auto"/>
        </w:rPr>
      </w:pPr>
      <w:r>
        <w:rPr>
          <w:rFonts w:ascii="Times New Roman" w:cs="Times New Roman" w:eastAsia="Times New Roman" w:hAnsi="Times New Roman"/>
          <w:sz w:val="20"/>
          <w:szCs w:val="20"/>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780"/>
          </w:cols>
          <w:pgMar w:left="720" w:top="930" w:right="740" w:bottom="175" w:gutter="0" w:footer="0" w:header="0"/>
          <w:type w:val="continuous"/>
        </w:sectPr>
      </w:pPr>
    </w:p>
    <w:bookmarkStart w:id="52" w:name="page53"/>
    <w:bookmarkEnd w:id="52"/>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liquidity risks.</w:t>
      </w:r>
    </w:p>
    <w:p>
      <w:pPr>
        <w:spacing w:after="0" w:line="230"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Our Subordinate Voting Shares currently trade on the CSE and on over-the-counter markets in the U.S. We cannot predict at what prices the Subordinate Voting Shares will continue to trade, and there is no assurance that an active trading market will be sustained.</w:t>
      </w:r>
    </w:p>
    <w:p>
      <w:pPr>
        <w:spacing w:after="0" w:line="178" w:lineRule="exact"/>
        <w:rPr>
          <w:sz w:val="20"/>
          <w:szCs w:val="20"/>
          <w:color w:val="auto"/>
        </w:rPr>
      </w:pPr>
    </w:p>
    <w:p>
      <w:pPr>
        <w:ind w:right="160" w:firstLine="720"/>
        <w:spacing w:after="0" w:line="252" w:lineRule="auto"/>
        <w:rPr>
          <w:sz w:val="20"/>
          <w:szCs w:val="20"/>
          <w:color w:val="auto"/>
        </w:rPr>
      </w:pPr>
      <w:r>
        <w:rPr>
          <w:rFonts w:ascii="Times New Roman" w:cs="Times New Roman" w:eastAsia="Times New Roman" w:hAnsi="Times New Roman"/>
          <w:sz w:val="20"/>
          <w:szCs w:val="20"/>
          <w:color w:val="auto"/>
        </w:rPr>
        <w:t>Our Subordinate Voting Shares do not currently trade on any U.S. securities exchange. In the event our Subordinate Voting Shares do trade on any U.S. securities exchange, we cannot predict at what prices the Subordinate Voting Shares will trade and there is no assurance that an active trading market will develop or be sustained. There is a significant liquidity risk associated with an investment in us.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increased costs as a result of being a public company in Canada and the United States.</w:t>
      </w:r>
    </w:p>
    <w:p>
      <w:pPr>
        <w:spacing w:after="0" w:line="230"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As a public company in Canada and the United States, we are subject to the reporting requirements, rules and regulations under the applicable Canadian and American securities laws and rules of stock exchanges on which the Company’s securities may be listed. The requirements of existing and potential future rules and regulations will increase our legal, accounting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We face costs of maintaining a public listing.</w:t>
      </w:r>
    </w:p>
    <w:p>
      <w:pPr>
        <w:spacing w:after="0" w:line="23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We may also elect to devote greater resources than it otherwise would have on communication and other activities typically considered important by publicly traded companies.</w:t>
      </w:r>
    </w:p>
    <w:p>
      <w:pPr>
        <w:spacing w:after="0" w:line="187"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Subordinate Voting Shares and, consequently, your ability to achieve a return on your investment will depend on appreciation in the price of our Subordinate Voting Shares.</w:t>
      </w:r>
    </w:p>
    <w:p>
      <w:pPr>
        <w:spacing w:after="0" w:line="159"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Subordinate Voting Shares will depend upon any future appreciation in their value. There is no guarantee that our Subordinate Voting Shares will appreciate in value or even maintain the price at which you purchased them.</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The market for the Subordinate Voting Shares may be limited for holders of our securities who live in the United States.</w:t>
      </w:r>
    </w:p>
    <w:p>
      <w:pPr>
        <w:spacing w:after="0" w:line="23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Given the heightened risk profile associated with cannabis in the United States, capital markets participants may be unwilling to assist with the settlement of trades for U.S. resident securityholders of companies with operations in the U.S. cannabis industry, which may prohibit or significantly impair the ability of securityholders in the United States to trade our securities. In the event residents of the United States are unable to settle trades of our securities, this may affect the pricing of such securities in the secondary market, the transparency and availability of trading prices and the liquidity of these securities.</w:t>
      </w:r>
    </w:p>
    <w:p>
      <w:pPr>
        <w:spacing w:after="0" w:line="18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80"/>
          </w:cols>
          <w:pgMar w:left="720" w:top="93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780"/>
          </w:cols>
          <w:pgMar w:left="720" w:top="930" w:right="740" w:bottom="175" w:gutter="0" w:footer="0" w:header="0"/>
          <w:type w:val="continuous"/>
        </w:sectPr>
      </w:pPr>
    </w:p>
    <w:bookmarkStart w:id="53" w:name="page54"/>
    <w:bookmarkEnd w:id="53"/>
    <w:p>
      <w:pPr>
        <w:spacing w:after="0" w:line="200" w:lineRule="exact"/>
        <w:rPr>
          <w:sz w:val="20"/>
          <w:szCs w:val="20"/>
          <w:color w:val="auto"/>
        </w:rPr>
      </w:pPr>
    </w:p>
    <w:p>
      <w:pPr>
        <w:spacing w:after="0" w:line="20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1C.</w:t>
        <w:tab/>
        <w:t>CYBERSECURITY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23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Company has processes for assessing, identifying, and managing material risks from cybersecurity threats. These processes are integrated into the Company’s overall risk management systems. These processes also include overseeing and identifying risks from cybersecurity threats associated with the use of third-party service providers. The Company has established monitoring procedures in its effort to mitigate risks related to data breaches or other security incidents originating from third parties. The Company, from time-to-time, may engage third-party consultants, legal advisors, and audit firms to evaluate and test the Company’s risk management systems and assess and remediate certain potential cybersecurity incidents,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3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As part of our enterprise risk management program, our Board and the Audit Committee of our Board (the “Audit Committee”) oversee cybersecurity risk management and meet with our senior management team, which includes our Chief Executive Officer, President, Chief Financial Officer, and General Counsel to address risks associated with cybersecurity threats on a regular basis. The Board and the Audit Committee receive prompt and timely information regarding any cybersecurity incident that meets established reporting thresholds, as well as ongoing updates regarding any such incident until it has been resolved.</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Cybersecurity threats are one of the Company’s most critical risks, with our Senior Vice President - Technology assigned as the executive risk owner. Our Senior Vice President - Technology, in coordination with our senior management team, works collaboratively across the Company to implement a program designed to protect the Company’s information systems from cybersecurity threats and to promptly respond to any cybersecurity incidents in accordance with the Company’s incident response and recovery plans. Multidisciplinary teams throughout the Company are deployed to address cybersecurity threats and to respond to cybersecurity incidents. Through ongoing communications with these teams, the Senior Vice President - Technology and the senior management team monitor the prevention, detection, mitigation and remediation of cybersecurity threats and incidents in real time and report such threats and incidents to the Board and Audit Committee, when appropriate.</w:t>
      </w:r>
    </w:p>
    <w:p>
      <w:pPr>
        <w:spacing w:after="0" w:line="192"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Our Senior Vice President - Technology has served in various roles in information technology and information security for over 25 years. He holds undergraduate and graduate degrees in computer science and business.</w:t>
      </w:r>
    </w:p>
    <w:p>
      <w:pPr>
        <w:spacing w:after="0" w:line="15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2024, we did not identify any cybersecurity threats that have materially affected or are reasonably likely to materially affect our business strategy, results of operations, or financial condition. However, despite the capabilities, processes, and other security measures we employ that we believe are designed to detect, reduce, and mitigate the risk of cybersecurity incidents, we may not be aware of all vulnerabilities or might not accurately assess the risks of incidents, and such preventative measures cannot provide absolute security and may not be sufficient in all circumstances or mitigate all potential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 1 A. Risk Factors” for more information on the Company’s cybersecurity-related risks.</w:t>
      </w:r>
    </w:p>
    <w:p>
      <w:pPr>
        <w:sectPr>
          <w:pgSz w:w="12240" w:h="15840" w:orient="portrait"/>
          <w:cols w:equalWidth="0" w:num="1">
            <w:col w:w="10780"/>
          </w:cols>
          <w:pgMar w:left="720" w:top="1440"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80"/>
          </w:cols>
          <w:pgMar w:left="720" w:top="1440" w:right="740" w:bottom="175" w:gutter="0" w:footer="0" w:header="0"/>
          <w:type w:val="continuous"/>
        </w:sectPr>
      </w:pPr>
    </w:p>
    <w:bookmarkStart w:id="54" w:name="page55"/>
    <w:bookmarkEnd w:id="54"/>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b w:val="1"/>
          <w:bCs w:val="1"/>
          <w:color w:val="auto"/>
        </w:rPr>
        <w:t>PROPERTIES</w:t>
      </w:r>
    </w:p>
    <w:p>
      <w:pPr>
        <w:spacing w:after="0" w:line="234" w:lineRule="exact"/>
        <w:rPr>
          <w:sz w:val="20"/>
          <w:szCs w:val="20"/>
          <w:color w:val="auto"/>
        </w:rPr>
      </w:pPr>
    </w:p>
    <w:p>
      <w:pPr>
        <w:ind w:right="40" w:firstLine="720"/>
        <w:spacing w:after="0" w:line="263" w:lineRule="auto"/>
        <w:rPr>
          <w:sz w:val="20"/>
          <w:szCs w:val="20"/>
          <w:color w:val="auto"/>
        </w:rPr>
      </w:pPr>
      <w:r>
        <w:rPr>
          <w:rFonts w:ascii="Times New Roman" w:cs="Times New Roman" w:eastAsia="Times New Roman" w:hAnsi="Times New Roman"/>
          <w:sz w:val="20"/>
          <w:szCs w:val="20"/>
          <w:color w:val="auto"/>
        </w:rPr>
        <w:t>Our headquarters is located in Chicago, IL. The following table sets forth the Company’s principal cultivation and processing properties.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Production Properties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8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center"/>
              <w:ind w:right="1500"/>
              <w:spacing w:after="0" w:line="199" w:lineRule="exact"/>
              <w:rPr>
                <w:sz w:val="20"/>
                <w:szCs w:val="20"/>
                <w:color w:val="auto"/>
              </w:rPr>
            </w:pPr>
            <w:r>
              <w:rPr>
                <w:rFonts w:ascii="Times New Roman" w:cs="Times New Roman" w:eastAsia="Times New Roman" w:hAnsi="Times New Roman"/>
                <w:sz w:val="20"/>
                <w:szCs w:val="20"/>
                <w:color w:val="auto"/>
                <w:w w:val="97"/>
              </w:rPr>
              <w:t>Type</w:t>
            </w:r>
          </w:p>
        </w:tc>
        <w:tc>
          <w:tcPr>
            <w:tcW w:w="134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2"/>
          </w:tcPr>
          <w:p>
            <w:pPr>
              <w:jc w:val="center"/>
              <w:ind w:right="1440"/>
              <w:spacing w:after="0" w:line="199" w:lineRule="exact"/>
              <w:rPr>
                <w:sz w:val="20"/>
                <w:szCs w:val="20"/>
                <w:color w:val="auto"/>
              </w:rPr>
            </w:pPr>
            <w:r>
              <w:rPr>
                <w:rFonts w:ascii="Times New Roman" w:cs="Times New Roman" w:eastAsia="Times New Roman" w:hAnsi="Times New Roman"/>
                <w:sz w:val="20"/>
                <w:szCs w:val="20"/>
                <w:color w:val="auto"/>
                <w:w w:val="98"/>
              </w:rPr>
              <w:t>Location</w:t>
            </w:r>
          </w:p>
        </w:tc>
        <w:tc>
          <w:tcPr>
            <w:tcW w:w="2560" w:type="dxa"/>
            <w:vAlign w:val="bottom"/>
            <w:tcBorders>
              <w:top w:val="single" w:sz="8" w:color="auto"/>
            </w:tcBorders>
            <w:gridSpan w:val="2"/>
          </w:tcPr>
          <w:p>
            <w:pPr>
              <w:jc w:val="center"/>
              <w:ind w:left="1160"/>
              <w:spacing w:after="0" w:line="199" w:lineRule="exact"/>
              <w:rPr>
                <w:sz w:val="20"/>
                <w:szCs w:val="20"/>
                <w:color w:val="auto"/>
              </w:rPr>
            </w:pPr>
            <w:r>
              <w:rPr>
                <w:rFonts w:ascii="Times New Roman" w:cs="Times New Roman" w:eastAsia="Times New Roman" w:hAnsi="Times New Roman"/>
                <w:sz w:val="20"/>
                <w:szCs w:val="20"/>
                <w:color w:val="auto"/>
                <w:w w:val="99"/>
              </w:rPr>
              <w:t>Leased / Owned</w:t>
            </w:r>
          </w:p>
        </w:tc>
        <w:tc>
          <w:tcPr>
            <w:tcW w:w="1280" w:type="dxa"/>
            <w:vAlign w:val="bottom"/>
            <w:tcBorders>
              <w:top w:val="single" w:sz="8" w:color="auto"/>
            </w:tcBorders>
          </w:tcPr>
          <w:p>
            <w:pPr>
              <w:spacing w:after="0"/>
              <w:rPr>
                <w:sz w:val="17"/>
                <w:szCs w:val="17"/>
                <w:color w:val="auto"/>
              </w:rPr>
            </w:pPr>
          </w:p>
        </w:tc>
      </w:tr>
      <w:tr>
        <w:trPr>
          <w:trHeight w:val="230"/>
        </w:trPr>
        <w:tc>
          <w:tcPr>
            <w:tcW w:w="1880" w:type="dxa"/>
            <w:vAlign w:val="bottom"/>
            <w:gridSpan w:val="2"/>
            <w:shd w:val="clear" w:color="auto" w:fill="E6E6E6"/>
          </w:tcPr>
          <w:p>
            <w:pPr>
              <w:ind w:left="860"/>
              <w:spacing w:after="0"/>
              <w:rPr>
                <w:sz w:val="20"/>
                <w:szCs w:val="20"/>
                <w:color w:val="auto"/>
              </w:rPr>
            </w:pPr>
            <w:r>
              <w:rPr>
                <w:rFonts w:ascii="Times New Roman" w:cs="Times New Roman" w:eastAsia="Times New Roman" w:hAnsi="Times New Roman"/>
                <w:sz w:val="20"/>
                <w:szCs w:val="20"/>
                <w:color w:val="auto"/>
              </w:rPr>
              <w:t>West Haven</w:t>
            </w:r>
          </w:p>
        </w:tc>
        <w:tc>
          <w:tcPr>
            <w:tcW w:w="1600" w:type="dxa"/>
            <w:vAlign w:val="bottom"/>
            <w:shd w:val="clear" w:color="auto" w:fill="E6E6E6"/>
          </w:tcPr>
          <w:p>
            <w:pPr>
              <w:ind w:left="20"/>
              <w:spacing w:after="0"/>
              <w:rPr>
                <w:sz w:val="20"/>
                <w:szCs w:val="20"/>
                <w:color w:val="auto"/>
              </w:rPr>
            </w:pPr>
            <w:r>
              <w:rPr>
                <w:rFonts w:ascii="Times New Roman" w:cs="Times New Roman" w:eastAsia="Times New Roman" w:hAnsi="Times New Roman"/>
                <w:sz w:val="20"/>
                <w:szCs w:val="20"/>
                <w:color w:val="auto"/>
              </w:rPr>
              <w:t>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rPr>
              <w:t>West Haven, CT</w:t>
            </w:r>
          </w:p>
        </w:tc>
        <w:tc>
          <w:tcPr>
            <w:tcW w:w="1260" w:type="dxa"/>
            <w:vAlign w:val="bottom"/>
            <w:shd w:val="clear" w:color="auto" w:fill="E6E6E6"/>
          </w:tcPr>
          <w:p>
            <w:pPr>
              <w:spacing w:after="0"/>
              <w:rPr>
                <w:sz w:val="19"/>
                <w:szCs w:val="19"/>
                <w:color w:val="auto"/>
              </w:rPr>
            </w:pPr>
          </w:p>
        </w:tc>
        <w:tc>
          <w:tcPr>
            <w:tcW w:w="1300" w:type="dxa"/>
            <w:vAlign w:val="bottom"/>
            <w:tcBorders>
              <w:top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Homestead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8"/>
              </w:rPr>
              <w:t>Homestead, FL</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w w:val="99"/>
              </w:rPr>
              <w:t>Ocala Facility</w:t>
            </w:r>
          </w:p>
        </w:tc>
        <w:tc>
          <w:tcPr>
            <w:tcW w:w="3480" w:type="dxa"/>
            <w:vAlign w:val="bottom"/>
            <w:gridSpan w:val="3"/>
            <w:shd w:val="clear" w:color="auto" w:fill="E6E6E6"/>
          </w:tcPr>
          <w:p>
            <w:pPr>
              <w:jc w:val="center"/>
              <w:ind w:right="120"/>
              <w:spacing w:after="0"/>
              <w:rPr>
                <w:sz w:val="20"/>
                <w:szCs w:val="20"/>
                <w:color w:val="auto"/>
              </w:rPr>
            </w:pPr>
            <w:r>
              <w:rPr>
                <w:rFonts w:ascii="Times New Roman" w:cs="Times New Roman" w:eastAsia="Times New Roman" w:hAnsi="Times New Roman"/>
                <w:sz w:val="20"/>
                <w:szCs w:val="20"/>
                <w:color w:val="auto"/>
                <w:w w:val="99"/>
              </w:rPr>
              <w:t>Ocala, FL</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Oglesby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8"/>
              </w:rPr>
              <w:t>Oglesby, IL</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Rock Island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rPr>
              <w:t>Rock Island, IL</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Clinton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Clinton, MA</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rPr>
              <w:t>Holyoke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8"/>
              </w:rPr>
              <w:t>Holyoke, MA</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Centreville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Centreville, MD</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rPr>
              <w:t>Cottage Grove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9"/>
              </w:rPr>
              <w:t>Cottage Grove, MN</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Hackettstown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Hackettstown, NJ</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Carson City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9"/>
              </w:rPr>
              <w:t>Carson City, NV</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Las Vegas Facility 1</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9"/>
              </w:rPr>
              <w:t>Las Vegas, NV</w:t>
            </w:r>
          </w:p>
        </w:tc>
        <w:tc>
          <w:tcPr>
            <w:tcW w:w="1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tcPr>
          <w:p>
            <w:pPr>
              <w:spacing w:after="0"/>
              <w:rPr>
                <w:sz w:val="20"/>
                <w:szCs w:val="20"/>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w w:val="99"/>
              </w:rPr>
              <w:t>Las Vegas Facility 2</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9"/>
              </w:rPr>
              <w:t>Las Vegas, NV</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Paterson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rPr>
              <w:t>Paterson, NJ</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rPr>
              <w:t>Warwick Facility</w:t>
            </w:r>
          </w:p>
        </w:tc>
        <w:tc>
          <w:tcPr>
            <w:tcW w:w="3480" w:type="dxa"/>
            <w:vAlign w:val="bottom"/>
            <w:gridSpan w:val="3"/>
            <w:shd w:val="clear" w:color="auto" w:fill="E6E6E6"/>
          </w:tcPr>
          <w:p>
            <w:pPr>
              <w:jc w:val="center"/>
              <w:ind w:right="120"/>
              <w:spacing w:after="0"/>
              <w:rPr>
                <w:sz w:val="20"/>
                <w:szCs w:val="20"/>
                <w:color w:val="auto"/>
              </w:rPr>
            </w:pPr>
            <w:r>
              <w:rPr>
                <w:rFonts w:ascii="Times New Roman" w:cs="Times New Roman" w:eastAsia="Times New Roman" w:hAnsi="Times New Roman"/>
                <w:sz w:val="20"/>
                <w:szCs w:val="20"/>
                <w:color w:val="auto"/>
                <w:w w:val="99"/>
              </w:rPr>
              <w:t>Warwick, NY</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Toledo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8"/>
              </w:rPr>
              <w:t>Toledo, OH</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ind w:right="20"/>
              <w:spacing w:after="0"/>
              <w:rPr>
                <w:sz w:val="20"/>
                <w:szCs w:val="20"/>
                <w:color w:val="auto"/>
              </w:rPr>
            </w:pPr>
            <w:r>
              <w:rPr>
                <w:rFonts w:ascii="Times New Roman" w:cs="Times New Roman" w:eastAsia="Times New Roman" w:hAnsi="Times New Roman"/>
                <w:sz w:val="20"/>
                <w:szCs w:val="20"/>
                <w:color w:val="auto"/>
              </w:rPr>
              <w:t>Danville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rPr>
              <w:t>Danville, PA</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shd w:val="clear" w:color="auto" w:fill="E6E6E6"/>
          </w:tcPr>
          <w:p>
            <w:pPr>
              <w:spacing w:after="0"/>
              <w:rPr>
                <w:sz w:val="19"/>
                <w:szCs w:val="19"/>
                <w:color w:val="auto"/>
              </w:rPr>
            </w:pPr>
          </w:p>
        </w:tc>
      </w:tr>
      <w:tr>
        <w:trPr>
          <w:trHeight w:val="230"/>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Warwick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w w:val="98"/>
              </w:rPr>
              <w:t>Warwick, RI</w:t>
            </w:r>
          </w:p>
        </w:tc>
        <w:tc>
          <w:tcPr>
            <w:tcW w:w="1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Leased</w:t>
            </w:r>
          </w:p>
        </w:tc>
        <w:tc>
          <w:tcPr>
            <w:tcW w:w="1280" w:type="dxa"/>
            <w:vAlign w:val="bottom"/>
          </w:tcPr>
          <w:p>
            <w:pPr>
              <w:spacing w:after="0"/>
              <w:rPr>
                <w:sz w:val="19"/>
                <w:szCs w:val="19"/>
                <w:color w:val="auto"/>
              </w:rPr>
            </w:pPr>
          </w:p>
        </w:tc>
      </w:tr>
      <w:tr>
        <w:trPr>
          <w:trHeight w:val="230"/>
        </w:trPr>
        <w:tc>
          <w:tcPr>
            <w:tcW w:w="3480" w:type="dxa"/>
            <w:vAlign w:val="bottom"/>
            <w:gridSpan w:val="3"/>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Abingdon Facility</w:t>
            </w:r>
          </w:p>
        </w:tc>
        <w:tc>
          <w:tcPr>
            <w:tcW w:w="3480" w:type="dxa"/>
            <w:vAlign w:val="bottom"/>
            <w:gridSpan w:val="3"/>
            <w:shd w:val="clear" w:color="auto" w:fill="E6E6E6"/>
          </w:tcPr>
          <w:p>
            <w:pPr>
              <w:jc w:val="center"/>
              <w:ind w:right="100"/>
              <w:spacing w:after="0"/>
              <w:rPr>
                <w:sz w:val="20"/>
                <w:szCs w:val="20"/>
                <w:color w:val="auto"/>
              </w:rPr>
            </w:pPr>
            <w:r>
              <w:rPr>
                <w:rFonts w:ascii="Times New Roman" w:cs="Times New Roman" w:eastAsia="Times New Roman" w:hAnsi="Times New Roman"/>
                <w:sz w:val="20"/>
                <w:szCs w:val="20"/>
                <w:color w:val="auto"/>
                <w:w w:val="99"/>
              </w:rPr>
              <w:t>Abingdon, VA</w:t>
            </w:r>
          </w:p>
        </w:tc>
        <w:tc>
          <w:tcPr>
            <w:tcW w:w="1260" w:type="dxa"/>
            <w:vAlign w:val="bottom"/>
            <w:shd w:val="clear" w:color="auto" w:fill="E6E6E6"/>
          </w:tcPr>
          <w:p>
            <w:pPr>
              <w:spacing w:after="0"/>
              <w:rPr>
                <w:sz w:val="19"/>
                <w:szCs w:val="19"/>
                <w:color w:val="auto"/>
              </w:rPr>
            </w:pPr>
          </w:p>
        </w:tc>
        <w:tc>
          <w:tcPr>
            <w:tcW w:w="13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shd w:val="clear" w:color="auto" w:fill="E6E6E6"/>
          </w:tcPr>
          <w:p>
            <w:pPr>
              <w:spacing w:after="0"/>
              <w:rPr>
                <w:sz w:val="19"/>
                <w:szCs w:val="19"/>
                <w:color w:val="auto"/>
              </w:rPr>
            </w:pPr>
          </w:p>
        </w:tc>
      </w:tr>
      <w:tr>
        <w:trPr>
          <w:trHeight w:val="266"/>
        </w:trPr>
        <w:tc>
          <w:tcPr>
            <w:tcW w:w="348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Low Moor Facility</w:t>
            </w:r>
          </w:p>
        </w:tc>
        <w:tc>
          <w:tcPr>
            <w:tcW w:w="348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color w:val="auto"/>
              </w:rPr>
              <w:t>Low Moor, VA</w:t>
            </w:r>
          </w:p>
        </w:tc>
        <w:tc>
          <w:tcPr>
            <w:tcW w:w="12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Owned</w:t>
            </w:r>
          </w:p>
        </w:tc>
        <w:tc>
          <w:tcPr>
            <w:tcW w:w="1280" w:type="dxa"/>
            <w:vAlign w:val="bottom"/>
          </w:tcPr>
          <w:p>
            <w:pPr>
              <w:spacing w:after="0"/>
              <w:rPr>
                <w:sz w:val="23"/>
                <w:szCs w:val="23"/>
                <w:color w:val="auto"/>
              </w:rPr>
            </w:pPr>
          </w:p>
        </w:tc>
      </w:tr>
    </w:tbl>
    <w:p>
      <w:pPr>
        <w:spacing w:after="0" w:line="220" w:lineRule="exact"/>
        <w:rPr>
          <w:sz w:val="20"/>
          <w:szCs w:val="20"/>
          <w:color w:val="auto"/>
        </w:rPr>
      </w:pPr>
    </w:p>
    <w:p>
      <w:pPr>
        <w:ind w:right="560" w:firstLine="720"/>
        <w:spacing w:after="0" w:line="277" w:lineRule="auto"/>
        <w:rPr>
          <w:sz w:val="20"/>
          <w:szCs w:val="20"/>
          <w:color w:val="auto"/>
        </w:rPr>
      </w:pPr>
      <w:r>
        <w:rPr>
          <w:rFonts w:ascii="Times New Roman" w:cs="Times New Roman" w:eastAsia="Times New Roman" w:hAnsi="Times New Roman"/>
          <w:sz w:val="20"/>
          <w:szCs w:val="20"/>
          <w:color w:val="auto"/>
        </w:rPr>
        <w:t>In addition to the above properties, as of December 31, 2024, the Company has 101 open and operating retail stores, of which, the Company owns sixteen.</w:t>
      </w:r>
    </w:p>
    <w:p>
      <w:pPr>
        <w:spacing w:after="0" w:line="159"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Properties Subject to an Encumbrance. </w:t>
      </w:r>
      <w:r>
        <w:rPr>
          <w:rFonts w:ascii="Times New Roman" w:cs="Times New Roman" w:eastAsia="Times New Roman" w:hAnsi="Times New Roman"/>
          <w:sz w:val="20"/>
          <w:szCs w:val="20"/>
          <w:color w:val="auto"/>
        </w:rPr>
        <w:t>The Company has collateralized the properties in (i) Centreville, MD, (ii) Las Vegas,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NV, (iii) Low Moor, VA, (iv) Abingdon, VA, (v) Ocala, FL, (vi) Cottage Grove, MN and (vii) Warwick, NY. In addition, the Company has collateralized four retail stores, none of which are considered material.</w:t>
      </w:r>
    </w:p>
    <w:p>
      <w:pPr>
        <w:spacing w:after="0" w:line="200" w:lineRule="exact"/>
        <w:rPr>
          <w:sz w:val="20"/>
          <w:szCs w:val="20"/>
          <w:color w:val="auto"/>
        </w:rPr>
      </w:pPr>
    </w:p>
    <w:p>
      <w:pPr>
        <w:spacing w:after="0" w:line="20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LEGAL PROCEEDINGS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 Related to Contractual Obligations</w:t>
      </w:r>
    </w:p>
    <w:p>
      <w:pPr>
        <w:spacing w:after="0" w:line="234"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159" w:lineRule="exact"/>
        <w:rPr>
          <w:sz w:val="20"/>
          <w:szCs w:val="20"/>
          <w:color w:val="auto"/>
        </w:rPr>
      </w:pPr>
    </w:p>
    <w:p>
      <w:pPr>
        <w:ind w:left="720" w:right="60"/>
        <w:spacing w:after="0" w:line="246"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19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At December 31, 2024 and 2023,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800"/>
          </w:cols>
          <w:pgMar w:left="720" w:top="926" w:right="720" w:bottom="175"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0" w:lineRule="exact"/>
        <w:rPr>
          <w:sz w:val="20"/>
          <w:szCs w:val="20"/>
          <w:color w:val="auto"/>
        </w:rPr>
      </w:pPr>
    </w:p>
    <w:p>
      <w:pPr>
        <w:ind w:left="1100" w:right="24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THE REGISTRANT’s COMMON EQUITY, RELATED STOCKHOLDER MATTERS AND ISSUER PURCHASES OF EQUITY SECURITIES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Price and Volume</w:t>
      </w:r>
    </w:p>
    <w:p>
      <w:pPr>
        <w:spacing w:after="0" w:line="234" w:lineRule="exact"/>
        <w:rPr>
          <w:sz w:val="20"/>
          <w:szCs w:val="20"/>
          <w:color w:val="auto"/>
        </w:rPr>
      </w:pPr>
    </w:p>
    <w:p>
      <w:pPr>
        <w:ind w:right="320" w:firstLine="720"/>
        <w:spacing w:after="0" w:line="286" w:lineRule="auto"/>
        <w:rPr>
          <w:sz w:val="20"/>
          <w:szCs w:val="20"/>
          <w:color w:val="auto"/>
        </w:rPr>
      </w:pPr>
      <w:r>
        <w:rPr>
          <w:rFonts w:ascii="Times New Roman" w:cs="Times New Roman" w:eastAsia="Times New Roman" w:hAnsi="Times New Roman"/>
          <w:sz w:val="20"/>
          <w:szCs w:val="20"/>
          <w:color w:val="auto"/>
        </w:rPr>
        <w:t>The Subordinate Voting Shares of the Company are traded on the CSE under the symbol “GTII”. The following table sets forth trading information for the Subordinate Voting Shares for the periods indicated, as quoted on the CSE.</w:t>
      </w:r>
      <w:r>
        <w:rPr>
          <w:rFonts w:ascii="Times New Roman" w:cs="Times New Roman" w:eastAsia="Times New Roman" w:hAnsi="Times New Roman"/>
          <w:sz w:val="26"/>
          <w:szCs w:val="26"/>
          <w:color w:val="auto"/>
          <w:vertAlign w:val="superscript"/>
        </w:rPr>
        <w:t>(1)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tcPr>
          <w:p>
            <w:pPr>
              <w:spacing w:after="0"/>
              <w:rPr>
                <w:sz w:val="19"/>
                <w:szCs w:val="19"/>
                <w:color w:val="auto"/>
              </w:rPr>
            </w:pPr>
          </w:p>
        </w:tc>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Low Trading Price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High Trading Price</w:t>
            </w:r>
          </w:p>
        </w:tc>
        <w:tc>
          <w:tcPr>
            <w:tcW w:w="100" w:type="dxa"/>
            <w:vAlign w:val="bottom"/>
          </w:tcPr>
          <w:p>
            <w:pPr>
              <w:spacing w:after="0"/>
              <w:rPr>
                <w:sz w:val="19"/>
                <w:szCs w:val="19"/>
                <w:color w:val="auto"/>
              </w:rPr>
            </w:pP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0" w:type="dxa"/>
            <w:vAlign w:val="bottom"/>
          </w:tcPr>
          <w:p>
            <w:pPr>
              <w:spacing w:after="0"/>
              <w:rPr>
                <w:sz w:val="20"/>
                <w:szCs w:val="20"/>
                <w:color w:val="auto"/>
              </w:rPr>
            </w:pPr>
          </w:p>
        </w:tc>
        <w:tc>
          <w:tcPr>
            <w:tcW w:w="43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(C$)</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00" w:type="dxa"/>
            <w:vAlign w:val="bottom"/>
            <w:tcBorders>
              <w:top w:val="single" w:sz="8" w:color="E6E6E6"/>
              <w:bottom w:val="single" w:sz="8" w:color="E6E6E6"/>
            </w:tcBorders>
            <w:shd w:val="clear" w:color="auto" w:fill="E6E6E6"/>
          </w:tcPr>
          <w:p>
            <w:pPr>
              <w:spacing w:after="0"/>
              <w:rPr>
                <w:sz w:val="17"/>
                <w:szCs w:val="17"/>
                <w:color w:val="auto"/>
              </w:rPr>
            </w:pPr>
          </w:p>
        </w:tc>
        <w:tc>
          <w:tcPr>
            <w:tcW w:w="560" w:type="dxa"/>
            <w:vAlign w:val="bottom"/>
            <w:tcBorders>
              <w:top w:val="single" w:sz="8" w:color="auto"/>
              <w:bottom w:val="single" w:sz="8" w:color="auto"/>
            </w:tcBorders>
            <w:shd w:val="clear" w:color="auto" w:fill="E6E6E6"/>
          </w:tcPr>
          <w:p>
            <w:pPr>
              <w:spacing w:after="0" w:line="199" w:lineRule="exact"/>
              <w:rPr>
                <w:sz w:val="20"/>
                <w:szCs w:val="20"/>
                <w:color w:val="auto"/>
              </w:rPr>
            </w:pPr>
            <w:r>
              <w:rPr>
                <w:rFonts w:ascii="Times New Roman" w:cs="Times New Roman" w:eastAsia="Times New Roman" w:hAnsi="Times New Roman"/>
                <w:sz w:val="20"/>
                <w:szCs w:val="20"/>
                <w:b w:val="1"/>
                <w:bCs w:val="1"/>
                <w:color w:val="auto"/>
              </w:rPr>
              <w:t>Year</w:t>
            </w:r>
          </w:p>
        </w:tc>
        <w:tc>
          <w:tcPr>
            <w:tcW w:w="2140" w:type="dxa"/>
            <w:vAlign w:val="bottom"/>
            <w:tcBorders>
              <w:top w:val="single" w:sz="8" w:color="E6E6E6"/>
              <w:bottom w:val="single" w:sz="8" w:color="auto"/>
            </w:tcBorders>
            <w:shd w:val="clear" w:color="auto" w:fill="E6E6E6"/>
          </w:tcPr>
          <w:p>
            <w:pPr>
              <w:spacing w:after="0" w:line="199" w:lineRule="exact"/>
              <w:rPr>
                <w:sz w:val="20"/>
                <w:szCs w:val="20"/>
                <w:color w:val="auto"/>
              </w:rPr>
            </w:pPr>
            <w:r>
              <w:rPr>
                <w:rFonts w:ascii="Times New Roman" w:cs="Times New Roman" w:eastAsia="Times New Roman" w:hAnsi="Times New Roman"/>
                <w:sz w:val="20"/>
                <w:szCs w:val="20"/>
                <w:b w:val="1"/>
                <w:bCs w:val="1"/>
                <w:color w:val="auto"/>
                <w:w w:val="95"/>
              </w:rPr>
              <w:t>Ended December 31, 2024</w:t>
            </w:r>
          </w:p>
        </w:tc>
        <w:tc>
          <w:tcPr>
            <w:tcW w:w="1620" w:type="dxa"/>
            <w:vAlign w:val="bottom"/>
            <w:tcBorders>
              <w:top w:val="single" w:sz="8" w:color="E6E6E6"/>
              <w:bottom w:val="single" w:sz="8" w:color="E6E6E6"/>
            </w:tcBorders>
            <w:shd w:val="clear" w:color="auto" w:fill="E6E6E6"/>
          </w:tcPr>
          <w:p>
            <w:pPr>
              <w:spacing w:after="0"/>
              <w:rPr>
                <w:sz w:val="17"/>
                <w:szCs w:val="17"/>
                <w:color w:val="auto"/>
              </w:rPr>
            </w:pPr>
          </w:p>
        </w:tc>
        <w:tc>
          <w:tcPr>
            <w:tcW w:w="120" w:type="dxa"/>
            <w:vAlign w:val="bottom"/>
            <w:tcBorders>
              <w:top w:val="single" w:sz="8" w:color="auto"/>
              <w:bottom w:val="single" w:sz="8" w:color="E6E6E6"/>
            </w:tcBorders>
            <w:shd w:val="clear" w:color="auto" w:fill="E6E6E6"/>
          </w:tcPr>
          <w:p>
            <w:pPr>
              <w:spacing w:after="0"/>
              <w:rPr>
                <w:sz w:val="17"/>
                <w:szCs w:val="17"/>
                <w:color w:val="auto"/>
              </w:rPr>
            </w:pPr>
          </w:p>
        </w:tc>
        <w:tc>
          <w:tcPr>
            <w:tcW w:w="20" w:type="dxa"/>
            <w:vAlign w:val="bottom"/>
            <w:tcBorders>
              <w:top w:val="single" w:sz="8" w:color="auto"/>
              <w:bottom w:val="single" w:sz="8" w:color="E6E6E6"/>
            </w:tcBorders>
            <w:shd w:val="clear" w:color="auto" w:fill="E6E6E6"/>
          </w:tcPr>
          <w:p>
            <w:pPr>
              <w:spacing w:after="0"/>
              <w:rPr>
                <w:sz w:val="17"/>
                <w:szCs w:val="17"/>
                <w:color w:val="auto"/>
              </w:rPr>
            </w:pPr>
          </w:p>
        </w:tc>
        <w:tc>
          <w:tcPr>
            <w:tcW w:w="2000" w:type="dxa"/>
            <w:vAlign w:val="bottom"/>
            <w:tcBorders>
              <w:top w:val="single" w:sz="8" w:color="auto"/>
              <w:bottom w:val="single" w:sz="8" w:color="E6E6E6"/>
            </w:tcBorders>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E6E6E6"/>
              <w:bottom w:val="single" w:sz="8" w:color="E6E6E6"/>
            </w:tcBorders>
            <w:shd w:val="clear" w:color="auto" w:fill="E6E6E6"/>
          </w:tcPr>
          <w:p>
            <w:pPr>
              <w:spacing w:after="0"/>
              <w:rPr>
                <w:sz w:val="17"/>
                <w:szCs w:val="17"/>
                <w:color w:val="auto"/>
              </w:rPr>
            </w:pPr>
          </w:p>
        </w:tc>
        <w:tc>
          <w:tcPr>
            <w:tcW w:w="220" w:type="dxa"/>
            <w:vAlign w:val="bottom"/>
            <w:tcBorders>
              <w:top w:val="single" w:sz="8" w:color="auto"/>
              <w:bottom w:val="single" w:sz="8" w:color="E6E6E6"/>
            </w:tcBorders>
            <w:shd w:val="clear" w:color="auto" w:fill="E6E6E6"/>
          </w:tcPr>
          <w:p>
            <w:pPr>
              <w:spacing w:after="0"/>
              <w:rPr>
                <w:sz w:val="17"/>
                <w:szCs w:val="17"/>
                <w:color w:val="auto"/>
              </w:rPr>
            </w:pPr>
          </w:p>
        </w:tc>
        <w:tc>
          <w:tcPr>
            <w:tcW w:w="1860" w:type="dxa"/>
            <w:vAlign w:val="bottom"/>
            <w:tcBorders>
              <w:top w:val="single" w:sz="8" w:color="auto"/>
              <w:bottom w:val="single" w:sz="8" w:color="E6E6E6"/>
            </w:tcBorders>
            <w:shd w:val="clear" w:color="auto" w:fill="E6E6E6"/>
          </w:tcPr>
          <w:p>
            <w:pPr>
              <w:spacing w:after="0"/>
              <w:rPr>
                <w:sz w:val="17"/>
                <w:szCs w:val="17"/>
                <w:color w:val="auto"/>
              </w:rPr>
            </w:pPr>
          </w:p>
        </w:tc>
        <w:tc>
          <w:tcPr>
            <w:tcW w:w="100" w:type="dxa"/>
            <w:vAlign w:val="bottom"/>
            <w:tcBorders>
              <w:top w:val="single" w:sz="8" w:color="E6E6E6"/>
              <w:bottom w:val="single" w:sz="8" w:color="E6E6E6"/>
            </w:tcBorders>
            <w:shd w:val="clear" w:color="auto" w:fill="E6E6E6"/>
          </w:tcPr>
          <w:p>
            <w:pPr>
              <w:spacing w:after="0"/>
              <w:rPr>
                <w:sz w:val="17"/>
                <w:szCs w:val="17"/>
                <w:color w:val="auto"/>
              </w:rPr>
            </w:pPr>
          </w:p>
        </w:tc>
        <w:tc>
          <w:tcPr>
            <w:tcW w:w="1600" w:type="dxa"/>
            <w:vAlign w:val="bottom"/>
            <w:tcBorders>
              <w:top w:val="single" w:sz="8" w:color="auto"/>
              <w:bottom w:val="single" w:sz="8" w:color="E6E6E6"/>
            </w:tcBorders>
            <w:shd w:val="clear" w:color="auto" w:fill="E6E6E6"/>
          </w:tcPr>
          <w:p>
            <w:pPr>
              <w:spacing w:after="0"/>
              <w:rPr>
                <w:sz w:val="17"/>
                <w:szCs w:val="17"/>
                <w:color w:val="auto"/>
              </w:rPr>
            </w:pPr>
          </w:p>
        </w:tc>
        <w:tc>
          <w:tcPr>
            <w:tcW w:w="100" w:type="dxa"/>
            <w:vAlign w:val="bottom"/>
            <w:tcBorders>
              <w:top w:val="single" w:sz="8" w:color="E6E6E6"/>
              <w:bottom w:val="single" w:sz="8" w:color="E6E6E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First Quarter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27,562,844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Second Quarter (June 30, 2024)</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14.99</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21.16</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21,160,945</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Third Quarter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12.57</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16,563,755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Fourth Quarter (December 31, 2024)</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10.85</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15.59</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26,647,488</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gridSpan w:val="3"/>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2700" w:type="dxa"/>
            <w:vAlign w:val="bottom"/>
            <w:tcBorders>
              <w:top w:val="single" w:sz="8" w:color="auto"/>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First Quarter (March 31, 2023)</w:t>
            </w:r>
          </w:p>
        </w:tc>
        <w:tc>
          <w:tcPr>
            <w:tcW w:w="162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12.25</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21,160,377</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Second Quarter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25,159,806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Third Quarter (September 30, 2023)</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9"/>
                <w:szCs w:val="19"/>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16.05</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32,652,396</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Fourth Quarter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23,126,166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ind w:left="380" w:hanging="380"/>
        <w:spacing w:after="0" w:line="213" w:lineRule="auto"/>
        <w:tabs>
          <w:tab w:leader="none" w:pos="38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Source: Bloomberg.</w:t>
      </w:r>
    </w:p>
    <w:p>
      <w:pPr>
        <w:spacing w:after="0" w:line="195" w:lineRule="exact"/>
        <w:rPr>
          <w:sz w:val="20"/>
          <w:szCs w:val="20"/>
          <w:color w:val="auto"/>
        </w:rPr>
      </w:pPr>
    </w:p>
    <w:p>
      <w:pPr>
        <w:ind w:right="240" w:firstLine="720"/>
        <w:spacing w:after="0" w:line="286" w:lineRule="auto"/>
        <w:rPr>
          <w:sz w:val="20"/>
          <w:szCs w:val="20"/>
          <w:color w:val="auto"/>
        </w:rPr>
      </w:pPr>
      <w:r>
        <w:rPr>
          <w:rFonts w:ascii="Times New Roman" w:cs="Times New Roman" w:eastAsia="Times New Roman" w:hAnsi="Times New Roman"/>
          <w:sz w:val="20"/>
          <w:szCs w:val="20"/>
          <w:color w:val="auto"/>
        </w:rPr>
        <w:t>The Subordinate Voting Shares of the Company are also traded on the OTCQX under the symbol “GTBIF”. The following table sets forth trading information for the Subordinate Voting Shares for the periods indicated, as quoted on the OTCQX.</w:t>
      </w:r>
      <w:r>
        <w:rPr>
          <w:rFonts w:ascii="Times New Roman" w:cs="Times New Roman" w:eastAsia="Times New Roman" w:hAnsi="Times New Roman"/>
          <w:sz w:val="26"/>
          <w:szCs w:val="26"/>
          <w:color w:val="auto"/>
          <w:vertAlign w:val="superscript"/>
        </w:rPr>
        <w:t>(1),(2)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16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Low Trading Price</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High Trading Price</w:t>
            </w:r>
          </w:p>
        </w:tc>
        <w:tc>
          <w:tcPr>
            <w:tcW w:w="100" w:type="dxa"/>
            <w:vAlign w:val="bottom"/>
          </w:tcPr>
          <w:p>
            <w:pPr>
              <w:spacing w:after="0"/>
              <w:rPr>
                <w:sz w:val="17"/>
                <w:szCs w:val="17"/>
                <w:color w:val="auto"/>
              </w:rPr>
            </w:pPr>
          </w:p>
        </w:tc>
        <w:tc>
          <w:tcPr>
            <w:tcW w:w="16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700" w:type="dxa"/>
            <w:vAlign w:val="bottom"/>
            <w:tcBorders>
              <w:bottom w:val="single" w:sz="8" w:color="auto"/>
            </w:tcBorders>
            <w:gridSpan w:val="2"/>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Pr>
          <w:p>
            <w:pPr>
              <w:jc w:val="right"/>
              <w:ind w:right="8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tcPr>
          <w:p>
            <w:pPr>
              <w:jc w:val="right"/>
              <w:ind w:right="86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0" w:type="dxa"/>
            <w:vAlign w:val="bottom"/>
            <w:tcBorders>
              <w:top w:val="single" w:sz="8" w:color="E6E6E6"/>
              <w:bottom w:val="single" w:sz="8" w:color="E6E6E6"/>
            </w:tcBorders>
            <w:shd w:val="clear" w:color="auto" w:fill="E6E6E6"/>
          </w:tcPr>
          <w:p>
            <w:pPr>
              <w:spacing w:after="0"/>
              <w:rPr>
                <w:sz w:val="18"/>
                <w:szCs w:val="18"/>
                <w:color w:val="auto"/>
              </w:rPr>
            </w:pPr>
          </w:p>
        </w:tc>
        <w:tc>
          <w:tcPr>
            <w:tcW w:w="2700" w:type="dxa"/>
            <w:vAlign w:val="bottom"/>
            <w:tcBorders>
              <w:top w:val="single" w:sz="8" w:color="E6E6E6"/>
              <w:bottom w:val="single" w:sz="8" w:color="auto"/>
            </w:tcBorders>
            <w:gridSpan w:val="2"/>
            <w:shd w:val="clear" w:color="auto" w:fill="E6E6E6"/>
          </w:tcPr>
          <w:p>
            <w:pPr>
              <w:spacing w:after="0" w:line="208" w:lineRule="exact"/>
              <w:rPr>
                <w:sz w:val="20"/>
                <w:szCs w:val="20"/>
                <w:color w:val="auto"/>
              </w:rPr>
            </w:pPr>
            <w:r>
              <w:rPr>
                <w:rFonts w:ascii="Times New Roman" w:cs="Times New Roman" w:eastAsia="Times New Roman" w:hAnsi="Times New Roman"/>
                <w:sz w:val="20"/>
                <w:szCs w:val="20"/>
                <w:b w:val="1"/>
                <w:bCs w:val="1"/>
                <w:color w:val="auto"/>
                <w:w w:val="99"/>
              </w:rPr>
              <w:t>Year Ended December 31, 2024</w:t>
            </w:r>
          </w:p>
        </w:tc>
        <w:tc>
          <w:tcPr>
            <w:tcW w:w="1620" w:type="dxa"/>
            <w:vAlign w:val="bottom"/>
            <w:tcBorders>
              <w:top w:val="single" w:sz="8" w:color="E6E6E6"/>
              <w:bottom w:val="single" w:sz="8" w:color="E6E6E6"/>
            </w:tcBorders>
            <w:shd w:val="clear" w:color="auto" w:fill="E6E6E6"/>
          </w:tcPr>
          <w:p>
            <w:pPr>
              <w:spacing w:after="0"/>
              <w:rPr>
                <w:sz w:val="18"/>
                <w:szCs w:val="18"/>
                <w:color w:val="auto"/>
              </w:rPr>
            </w:pPr>
          </w:p>
        </w:tc>
        <w:tc>
          <w:tcPr>
            <w:tcW w:w="120" w:type="dxa"/>
            <w:vAlign w:val="bottom"/>
            <w:tcBorders>
              <w:top w:val="single" w:sz="8" w:color="auto"/>
              <w:bottom w:val="single" w:sz="8" w:color="E6E6E6"/>
            </w:tcBorders>
            <w:shd w:val="clear" w:color="auto" w:fill="E6E6E6"/>
          </w:tcPr>
          <w:p>
            <w:pPr>
              <w:spacing w:after="0"/>
              <w:rPr>
                <w:sz w:val="18"/>
                <w:szCs w:val="18"/>
                <w:color w:val="auto"/>
              </w:rPr>
            </w:pPr>
          </w:p>
        </w:tc>
        <w:tc>
          <w:tcPr>
            <w:tcW w:w="980" w:type="dxa"/>
            <w:vAlign w:val="bottom"/>
            <w:tcBorders>
              <w:top w:val="single" w:sz="8" w:color="auto"/>
              <w:bottom w:val="single" w:sz="8" w:color="E6E6E6"/>
            </w:tcBorders>
            <w:shd w:val="clear" w:color="auto" w:fill="E6E6E6"/>
          </w:tcPr>
          <w:p>
            <w:pPr>
              <w:spacing w:after="0"/>
              <w:rPr>
                <w:sz w:val="18"/>
                <w:szCs w:val="18"/>
                <w:color w:val="auto"/>
              </w:rPr>
            </w:pPr>
          </w:p>
        </w:tc>
        <w:tc>
          <w:tcPr>
            <w:tcW w:w="1040" w:type="dxa"/>
            <w:vAlign w:val="bottom"/>
            <w:tcBorders>
              <w:top w:val="single" w:sz="8" w:color="auto"/>
              <w:bottom w:val="single" w:sz="8" w:color="E6E6E6"/>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E6E6E6"/>
              <w:bottom w:val="single" w:sz="8" w:color="E6E6E6"/>
            </w:tcBorders>
            <w:shd w:val="clear" w:color="auto" w:fill="E6E6E6"/>
          </w:tcPr>
          <w:p>
            <w:pPr>
              <w:spacing w:after="0"/>
              <w:rPr>
                <w:sz w:val="18"/>
                <w:szCs w:val="18"/>
                <w:color w:val="auto"/>
              </w:rPr>
            </w:pPr>
          </w:p>
        </w:tc>
        <w:tc>
          <w:tcPr>
            <w:tcW w:w="220" w:type="dxa"/>
            <w:vAlign w:val="bottom"/>
            <w:tcBorders>
              <w:top w:val="single" w:sz="8" w:color="auto"/>
              <w:bottom w:val="single" w:sz="8" w:color="E6E6E6"/>
            </w:tcBorders>
            <w:shd w:val="clear" w:color="auto" w:fill="E6E6E6"/>
          </w:tcPr>
          <w:p>
            <w:pPr>
              <w:spacing w:after="0"/>
              <w:rPr>
                <w:sz w:val="18"/>
                <w:szCs w:val="18"/>
                <w:color w:val="auto"/>
              </w:rPr>
            </w:pPr>
          </w:p>
        </w:tc>
        <w:tc>
          <w:tcPr>
            <w:tcW w:w="1860" w:type="dxa"/>
            <w:vAlign w:val="bottom"/>
            <w:tcBorders>
              <w:top w:val="single" w:sz="8" w:color="auto"/>
              <w:bottom w:val="single" w:sz="8" w:color="E6E6E6"/>
            </w:tcBorders>
            <w:shd w:val="clear" w:color="auto" w:fill="E6E6E6"/>
          </w:tcPr>
          <w:p>
            <w:pPr>
              <w:spacing w:after="0"/>
              <w:rPr>
                <w:sz w:val="18"/>
                <w:szCs w:val="18"/>
                <w:color w:val="auto"/>
              </w:rPr>
            </w:pPr>
          </w:p>
        </w:tc>
        <w:tc>
          <w:tcPr>
            <w:tcW w:w="100" w:type="dxa"/>
            <w:vAlign w:val="bottom"/>
            <w:tcBorders>
              <w:top w:val="single" w:sz="8" w:color="E6E6E6"/>
              <w:bottom w:val="single" w:sz="8" w:color="E6E6E6"/>
            </w:tcBorders>
            <w:shd w:val="clear" w:color="auto" w:fill="E6E6E6"/>
          </w:tcPr>
          <w:p>
            <w:pPr>
              <w:spacing w:after="0"/>
              <w:rPr>
                <w:sz w:val="18"/>
                <w:szCs w:val="18"/>
                <w:color w:val="auto"/>
              </w:rPr>
            </w:pPr>
          </w:p>
        </w:tc>
        <w:tc>
          <w:tcPr>
            <w:tcW w:w="1600" w:type="dxa"/>
            <w:vAlign w:val="bottom"/>
            <w:tcBorders>
              <w:top w:val="single" w:sz="8" w:color="auto"/>
              <w:bottom w:val="single" w:sz="8" w:color="E6E6E6"/>
            </w:tcBorders>
            <w:shd w:val="clear" w:color="auto" w:fill="E6E6E6"/>
          </w:tcPr>
          <w:p>
            <w:pPr>
              <w:spacing w:after="0"/>
              <w:rPr>
                <w:sz w:val="18"/>
                <w:szCs w:val="18"/>
                <w:color w:val="auto"/>
              </w:rPr>
            </w:pPr>
          </w:p>
        </w:tc>
        <w:tc>
          <w:tcPr>
            <w:tcW w:w="100" w:type="dxa"/>
            <w:vAlign w:val="bottom"/>
            <w:tcBorders>
              <w:top w:val="single" w:sz="8" w:color="E6E6E6"/>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First Quarter (March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31,497,612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Second Quarter (June 30, 2024)</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10.95</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37,617,678</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Third Quarter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19,178,432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Fourth Quarter (December 31, 2024)</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7.70</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11.43</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30,527,315</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320" w:type="dxa"/>
            <w:vAlign w:val="bottom"/>
            <w:gridSpan w:val="3"/>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2700" w:type="dxa"/>
            <w:vAlign w:val="bottom"/>
            <w:tcBorders>
              <w:top w:val="single" w:sz="8" w:color="auto"/>
            </w:tcBorders>
            <w:gridSpan w:val="2"/>
            <w:shd w:val="clear" w:color="auto" w:fill="E6E6E6"/>
          </w:tcPr>
          <w:p>
            <w:pPr>
              <w:spacing w:after="0"/>
              <w:rPr>
                <w:sz w:val="20"/>
                <w:szCs w:val="20"/>
                <w:color w:val="auto"/>
              </w:rPr>
            </w:pPr>
            <w:r>
              <w:rPr>
                <w:rFonts w:ascii="Times New Roman" w:cs="Times New Roman" w:eastAsia="Times New Roman" w:hAnsi="Times New Roman"/>
                <w:sz w:val="20"/>
                <w:szCs w:val="20"/>
                <w:color w:val="auto"/>
              </w:rPr>
              <w:t>First Quarter (March 31, 2023)</w:t>
            </w:r>
          </w:p>
        </w:tc>
        <w:tc>
          <w:tcPr>
            <w:tcW w:w="1620" w:type="dxa"/>
            <w:vAlign w:val="bottom"/>
            <w:shd w:val="clear" w:color="auto" w:fill="E6E6E6"/>
          </w:tcPr>
          <w:p>
            <w:pPr>
              <w:spacing w:after="0"/>
              <w:rPr>
                <w:sz w:val="19"/>
                <w:szCs w:val="19"/>
                <w:color w:val="auto"/>
              </w:rPr>
            </w:pP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7.48</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27,968,283</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Second Quarter (June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18,713,212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E6E6E6"/>
          </w:tcPr>
          <w:p>
            <w:pPr>
              <w:spacing w:after="0"/>
              <w:rPr>
                <w:sz w:val="19"/>
                <w:szCs w:val="19"/>
                <w:color w:val="auto"/>
              </w:rPr>
            </w:pPr>
          </w:p>
        </w:tc>
        <w:tc>
          <w:tcPr>
            <w:tcW w:w="432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20"/>
                <w:szCs w:val="20"/>
                <w:color w:val="auto"/>
              </w:rPr>
              <w:t>Third Quarter (September 30, 2023)</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580" w:type="dxa"/>
            <w:vAlign w:val="bottom"/>
            <w:gridSpan w:val="3"/>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17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26,248,320</w:t>
            </w: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00" w:type="dxa"/>
            <w:vAlign w:val="bottom"/>
          </w:tcPr>
          <w:p>
            <w:pPr>
              <w:spacing w:after="0"/>
              <w:rPr>
                <w:sz w:val="23"/>
                <w:szCs w:val="23"/>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Fourth Quarter (December 31, 2023)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23,904,216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w:t>
      </w:r>
    </w:p>
    <w:p>
      <w:pPr>
        <w:ind w:left="400" w:hanging="400"/>
        <w:spacing w:after="0" w:line="207" w:lineRule="auto"/>
        <w:tabs>
          <w:tab w:leader="none" w:pos="400"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Source: Bloomberg.</w:t>
      </w:r>
    </w:p>
    <w:p>
      <w:pPr>
        <w:ind w:right="140"/>
        <w:spacing w:after="0" w:line="212" w:lineRule="auto"/>
        <w:tabs>
          <w:tab w:leader="none" w:pos="367" w:val="left"/>
        </w:tabs>
        <w:numPr>
          <w:ilvl w:val="0"/>
          <w:numId w:val="1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Over-the-counter market quotations reflect inter-dealer prices, without retail mark-up or mark-down or commission and may not necessarily represent actual transactions.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February 21, 2025, there are 816 holders of record of our Subordinate Voting Shares.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800"/>
          </w:cols>
          <w:pgMar w:left="720" w:top="926" w:right="720" w:bottom="17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4"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The Company has not declared distributions on Subordinate Voting Shares in the past. The Company currently intends to reinvest all future earnings to finance the development and growth of its business and repurchase outstanding shares. As a result, the Company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For more information on equity compensation plans, see Item 12 of Part III of the Annual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Peer Performance Table</w:t>
      </w:r>
    </w:p>
    <w:p>
      <w:pPr>
        <w:spacing w:after="0" w:line="23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following graph compares the cumulative total shareholder return on Green Thumb Industries Inc. Subordinate Voting Shares for the five years ended December 31, 2024, with the comparable cumulative return of the Russell 2000 Index and a selected peer group of companies. The comparison assumes all dividends have been reinvested (if any) and an initial investment of $100 on December 31, 2019. The returns of each company in the peer group have been weighted to reflect their market capitalizations. All amounts below are disclosed in U.S. dollars.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685863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6858635" cy="4197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Base Period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1860" w:type="dxa"/>
            <w:vAlign w:val="bottom"/>
            <w:tcBorders>
              <w:bottom w:val="single" w:sz="8" w:color="E6E6E6"/>
            </w:tcBorders>
          </w:tcPr>
          <w:p>
            <w:pPr>
              <w:spacing w:after="0"/>
              <w:rPr>
                <w:sz w:val="19"/>
                <w:szCs w:val="19"/>
                <w:color w:val="auto"/>
              </w:rPr>
            </w:pPr>
          </w:p>
        </w:tc>
        <w:tc>
          <w:tcPr>
            <w:tcW w:w="460" w:type="dxa"/>
            <w:vAlign w:val="bottom"/>
            <w:tcBorders>
              <w:bottom w:val="single" w:sz="8" w:color="E6E6E6"/>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12/31/19</w:t>
            </w:r>
          </w:p>
        </w:tc>
        <w:tc>
          <w:tcPr>
            <w:tcW w:w="260" w:type="dxa"/>
            <w:vAlign w:val="bottom"/>
            <w:tcBorders>
              <w:bottom w:val="single" w:sz="8" w:color="E6E6E6"/>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w:t>
            </w:r>
          </w:p>
        </w:tc>
        <w:tc>
          <w:tcPr>
            <w:tcW w:w="260" w:type="dxa"/>
            <w:vAlign w:val="bottom"/>
            <w:tcBorders>
              <w:bottom w:val="single" w:sz="8" w:color="E6E6E6"/>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12/31/21</w:t>
            </w:r>
          </w:p>
        </w:tc>
        <w:tc>
          <w:tcPr>
            <w:tcW w:w="220" w:type="dxa"/>
            <w:vAlign w:val="bottom"/>
            <w:tcBorders>
              <w:bottom w:val="single" w:sz="8" w:color="E6E6E6"/>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12/31/22</w:t>
            </w:r>
          </w:p>
        </w:tc>
        <w:tc>
          <w:tcPr>
            <w:tcW w:w="220" w:type="dxa"/>
            <w:vAlign w:val="bottom"/>
            <w:tcBorders>
              <w:bottom w:val="single" w:sz="8" w:color="E6E6E6"/>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12/31/23</w:t>
            </w:r>
          </w:p>
        </w:tc>
        <w:tc>
          <w:tcPr>
            <w:tcW w:w="200" w:type="dxa"/>
            <w:vAlign w:val="bottom"/>
            <w:tcBorders>
              <w:bottom w:val="single" w:sz="8" w:color="E6E6E6"/>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12/31/24</w:t>
            </w:r>
          </w:p>
        </w:tc>
      </w:tr>
      <w:tr>
        <w:trPr>
          <w:trHeight w:val="184"/>
        </w:trPr>
        <w:tc>
          <w:tcPr>
            <w:tcW w:w="1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Green Thumb Industries</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6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261.63</w:t>
            </w:r>
          </w:p>
        </w:tc>
        <w:tc>
          <w:tcPr>
            <w:tcW w:w="26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228.29</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94.5</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120.12</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84.33</w:t>
            </w:r>
          </w:p>
        </w:tc>
      </w:tr>
      <w:tr>
        <w:trPr>
          <w:trHeight w:val="18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Russell 2000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118.67</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138.31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108.82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126.65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141.83</w:t>
            </w:r>
          </w:p>
        </w:tc>
      </w:tr>
      <w:tr>
        <w:trPr>
          <w:trHeight w:val="184"/>
        </w:trPr>
        <w:tc>
          <w:tcPr>
            <w:tcW w:w="1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Peer Group</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26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199.93</w:t>
            </w:r>
          </w:p>
        </w:tc>
        <w:tc>
          <w:tcPr>
            <w:tcW w:w="26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119.75</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46.02</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43.79</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color w:val="auto"/>
                <w:w w:val="99"/>
              </w:rPr>
              <w:t>14.94</w:t>
            </w: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800"/>
          </w:cols>
          <w:pgMar w:left="720" w:top="926" w:right="720" w:bottom="175"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Below are the specific companies included in the peer group.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Peer Group Companies</w:t>
            </w:r>
          </w:p>
        </w:tc>
        <w:tc>
          <w:tcPr>
            <w:tcW w:w="28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w w:val="98"/>
              </w:rPr>
              <w:t>- Trulieve Cannabis Corp.</w:t>
            </w:r>
          </w:p>
        </w:tc>
        <w:tc>
          <w:tcPr>
            <w:tcW w:w="0" w:type="dxa"/>
            <w:vAlign w:val="bottom"/>
          </w:tcPr>
          <w:p>
            <w:pPr>
              <w:spacing w:after="0"/>
              <w:rPr>
                <w:sz w:val="1"/>
                <w:szCs w:val="1"/>
                <w:color w:val="auto"/>
              </w:rPr>
            </w:pPr>
          </w:p>
        </w:tc>
      </w:tr>
      <w:tr>
        <w:trPr>
          <w:trHeight w:val="240"/>
        </w:trPr>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 Cresco Labs Inc.</w:t>
            </w:r>
          </w:p>
        </w:tc>
        <w:tc>
          <w:tcPr>
            <w:tcW w:w="74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7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Curaleaf Holdings, Inc</w:t>
            </w:r>
          </w:p>
        </w:tc>
        <w:tc>
          <w:tcPr>
            <w:tcW w:w="28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 Verano Holdings Corp.</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This performance graph and other information furnished under this Part II Item 5 of this Annual Report on Form 10-K shall not be deemed to be “soliciting material” or to be “filed” with the SEC or subject to Regulation 14A or 14C, or to the liabilities of Section 18 of the Securities Exchange Act of 1934, as amended (the “Exchange 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4"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The following information represents securities sold by the Company for the period covered by this Annual Report on Form 10-K which were not registered under the Securities Act. Included are new issues, securities issued in exchange for property, services or other securities, securities issued upon conversion from other share classes and new securities resulting from the modification of outstanding securities. The Company sold all of the securities listed below pursuant to the exemption from registration provided by Section 4(a)(2) of the Securities Act, or Regulation D or Regulation S promulgated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Subordinate Voting Shares</w:t>
      </w:r>
    </w:p>
    <w:p>
      <w:pPr>
        <w:spacing w:after="0" w:line="23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Between October 1, 2024 and December 31, 2024, the Company converted 60 Multiple Voting Shares into 6,000 Subordinate Voting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Multiple Voting Shares</w:t>
      </w:r>
    </w:p>
    <w:p>
      <w:pPr>
        <w:spacing w:after="0" w:line="230" w:lineRule="exact"/>
        <w:rPr>
          <w:sz w:val="20"/>
          <w:szCs w:val="20"/>
          <w:color w:val="auto"/>
        </w:rPr>
      </w:pPr>
    </w:p>
    <w:p>
      <w:pPr>
        <w:ind w:firstLine="720"/>
        <w:spacing w:after="0" w:line="277" w:lineRule="auto"/>
        <w:rPr>
          <w:sz w:val="20"/>
          <w:szCs w:val="20"/>
          <w:color w:val="auto"/>
        </w:rPr>
      </w:pPr>
      <w:r>
        <w:rPr>
          <w:rFonts w:ascii="Times New Roman" w:cs="Times New Roman" w:eastAsia="Times New Roman" w:hAnsi="Times New Roman"/>
          <w:sz w:val="20"/>
          <w:szCs w:val="20"/>
          <w:color w:val="auto"/>
        </w:rPr>
        <w:t>Between October 1, 2024 and December 31, 2024, the Company converted 60 Multiple Voting Shares into 6,000 Subordinate Voting Shares.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Super Voting Shares</w:t>
      </w:r>
    </w:p>
    <w:p>
      <w:pPr>
        <w:spacing w:after="0" w:line="23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800"/>
          </w:cols>
          <w:pgMar w:left="720" w:top="930" w:right="720" w:bottom="175"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auto"/>
        </w:rPr>
        <w:t>Recent Issuer Purchases of Equity Securities</w:t>
      </w: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The following table sets forth repurchases of our Subordinate Voting Shares during the year ended December 31, 2024:</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(Dollars in thousands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Approximate Dollar Value</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84"/>
        </w:trPr>
        <w:tc>
          <w:tcPr>
            <w:tcW w:w="4120" w:type="dxa"/>
            <w:vAlign w:val="bottom"/>
            <w:vMerge w:val="restart"/>
          </w:tcPr>
          <w:p>
            <w:pPr>
              <w:ind w:left="18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5"/>
                <w:szCs w:val="15"/>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Price Purchased as Part of Publicly</w:t>
            </w:r>
          </w:p>
        </w:tc>
        <w:tc>
          <w:tcPr>
            <w:tcW w:w="1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 Under the</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 xml:space="preserve">Announced Program </w:t>
            </w:r>
            <w:r>
              <w:rPr>
                <w:rFonts w:ascii="Times New Roman" w:cs="Times New Roman" w:eastAsia="Times New Roman" w:hAnsi="Times New Roman"/>
                <w:sz w:val="10"/>
                <w:szCs w:val="10"/>
                <w:b w:val="1"/>
                <w:bCs w:val="1"/>
                <w:color w:val="auto"/>
              </w:rPr>
              <w:t>(1)</w:t>
            </w: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0" w:type="dxa"/>
            <w:vAlign w:val="bottom"/>
          </w:tcPr>
          <w:p>
            <w:pPr>
              <w:spacing w:after="0"/>
              <w:rPr>
                <w:sz w:val="1"/>
                <w:szCs w:val="1"/>
                <w:color w:val="auto"/>
              </w:rPr>
            </w:pPr>
          </w:p>
        </w:tc>
      </w:tr>
      <w:tr>
        <w:trPr>
          <w:trHeight w:val="174"/>
        </w:trPr>
        <w:tc>
          <w:tcPr>
            <w:tcW w:w="4120" w:type="dxa"/>
            <w:vAlign w:val="bottom"/>
          </w:tcPr>
          <w:p>
            <w:pPr>
              <w:spacing w:after="0" w:line="174" w:lineRule="exact"/>
              <w:rPr>
                <w:sz w:val="20"/>
                <w:szCs w:val="20"/>
                <w:color w:val="auto"/>
              </w:rPr>
            </w:pPr>
            <w:r>
              <w:rPr>
                <w:rFonts w:ascii="Times New Roman" w:cs="Times New Roman" w:eastAsia="Times New Roman" w:hAnsi="Times New Roman"/>
                <w:sz w:val="16"/>
                <w:szCs w:val="16"/>
                <w:color w:val="0D0D0D"/>
              </w:rPr>
              <w:t>January 1, 2024 through January 31, 2024</w:t>
            </w:r>
          </w:p>
        </w:tc>
        <w:tc>
          <w:tcPr>
            <w:tcW w:w="150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0D0D0D"/>
              </w:rPr>
              <w:t>— $</w:t>
            </w:r>
          </w:p>
        </w:tc>
        <w:tc>
          <w:tcPr>
            <w:tcW w:w="1180" w:type="dxa"/>
            <w:vAlign w:val="bottom"/>
          </w:tcPr>
          <w:p>
            <w:pPr>
              <w:jc w:val="right"/>
              <w:ind w:right="20"/>
              <w:spacing w:after="0" w:line="174" w:lineRule="exact"/>
              <w:rPr>
                <w:sz w:val="20"/>
                <w:szCs w:val="20"/>
                <w:color w:val="auto"/>
              </w:rPr>
            </w:pPr>
            <w:r>
              <w:rPr>
                <w:rFonts w:ascii="Times New Roman" w:cs="Times New Roman" w:eastAsia="Times New Roman" w:hAnsi="Times New Roman"/>
                <w:sz w:val="16"/>
                <w:szCs w:val="16"/>
                <w:color w:val="0D0D0D"/>
              </w:rPr>
              <w:t>—</w:t>
            </w:r>
          </w:p>
        </w:tc>
        <w:tc>
          <w:tcPr>
            <w:tcW w:w="214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6"/>
                <w:szCs w:val="16"/>
                <w:color w:val="0D0D0D"/>
              </w:rPr>
              <w:t>— $</w:t>
            </w:r>
          </w:p>
        </w:tc>
        <w:tc>
          <w:tcPr>
            <w:tcW w:w="186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0D0D0D"/>
              </w:rPr>
              <w:t>February 1, 2024 through February 29, 2024</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shd w:val="clear" w:color="auto" w:fill="E6E6E6"/>
          </w:tcPr>
          <w:p>
            <w:pPr>
              <w:spacing w:after="0"/>
              <w:rPr>
                <w:sz w:val="15"/>
                <w:szCs w:val="15"/>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0D0D0D"/>
              </w:rPr>
              <w:t>March 1, 2024 through 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1,067,000</w:t>
            </w:r>
          </w:p>
        </w:tc>
        <w:tc>
          <w:tcPr>
            <w:tcW w:w="200" w:type="dxa"/>
            <w:vAlign w:val="bottom"/>
          </w:tcPr>
          <w:p>
            <w:pPr>
              <w:spacing w:after="0"/>
              <w:rPr>
                <w:sz w:val="15"/>
                <w:szCs w:val="15"/>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D0D0D"/>
              </w:rPr>
              <w:t>12.71</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1,067,000</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46,600</w:t>
            </w:r>
          </w:p>
        </w:tc>
        <w:tc>
          <w:tcPr>
            <w:tcW w:w="0" w:type="dxa"/>
            <w:vAlign w:val="bottom"/>
          </w:tcPr>
          <w:p>
            <w:pPr>
              <w:spacing w:after="0"/>
              <w:rPr>
                <w:sz w:val="1"/>
                <w:szCs w:val="1"/>
                <w:color w:val="auto"/>
              </w:rPr>
            </w:pPr>
          </w:p>
        </w:tc>
      </w:tr>
      <w:tr>
        <w:trPr>
          <w:trHeight w:val="184"/>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0D0D0D"/>
              </w:rPr>
              <w:t>April 1, 2024 through April 30, 2024</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shd w:val="clear" w:color="auto" w:fill="E6E6E6"/>
          </w:tcPr>
          <w:p>
            <w:pPr>
              <w:spacing w:after="0"/>
              <w:rPr>
                <w:sz w:val="15"/>
                <w:szCs w:val="15"/>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0D0D0D"/>
              </w:rPr>
              <w:t>May 1, 2024 through May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659,100</w:t>
            </w:r>
          </w:p>
        </w:tc>
        <w:tc>
          <w:tcPr>
            <w:tcW w:w="200" w:type="dxa"/>
            <w:vAlign w:val="bottom"/>
          </w:tcPr>
          <w:p>
            <w:pPr>
              <w:spacing w:after="0"/>
              <w:rPr>
                <w:sz w:val="15"/>
                <w:szCs w:val="15"/>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D0D0D"/>
              </w:rPr>
              <w:t>12.05</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659,100</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38,660</w:t>
            </w:r>
          </w:p>
        </w:tc>
        <w:tc>
          <w:tcPr>
            <w:tcW w:w="0" w:type="dxa"/>
            <w:vAlign w:val="bottom"/>
          </w:tcPr>
          <w:p>
            <w:pPr>
              <w:spacing w:after="0"/>
              <w:rPr>
                <w:sz w:val="1"/>
                <w:szCs w:val="1"/>
                <w:color w:val="auto"/>
              </w:rPr>
            </w:pPr>
          </w:p>
        </w:tc>
      </w:tr>
      <w:tr>
        <w:trPr>
          <w:trHeight w:val="184"/>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0D0D0D"/>
              </w:rPr>
              <w:t>June 1, 2024 through June 30, 2024</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998,900</w:t>
            </w: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12.33</w:t>
            </w: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998,900</w:t>
            </w:r>
          </w:p>
        </w:tc>
        <w:tc>
          <w:tcPr>
            <w:tcW w:w="140" w:type="dxa"/>
            <w:vAlign w:val="bottom"/>
            <w:shd w:val="clear" w:color="auto" w:fill="E6E6E6"/>
          </w:tcPr>
          <w:p>
            <w:pPr>
              <w:spacing w:after="0"/>
              <w:rPr>
                <w:sz w:val="15"/>
                <w:szCs w:val="15"/>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26,700</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0D0D0D"/>
              </w:rPr>
              <w:t>July 1, 2024 through July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tcPr>
          <w:p>
            <w:pPr>
              <w:spacing w:after="0"/>
              <w:rPr>
                <w:sz w:val="15"/>
                <w:szCs w:val="15"/>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0D0D0D"/>
              </w:rPr>
              <w:t>August 1, 2024 through August 31, 2024</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shd w:val="clear" w:color="auto" w:fill="E6E6E6"/>
          </w:tcPr>
          <w:p>
            <w:pPr>
              <w:spacing w:after="0"/>
              <w:rPr>
                <w:sz w:val="15"/>
                <w:szCs w:val="15"/>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0D0D0D"/>
              </w:rPr>
              <w:t>September 1, 2024 through September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tcPr>
          <w:p>
            <w:pPr>
              <w:spacing w:after="0"/>
              <w:rPr>
                <w:sz w:val="15"/>
                <w:szCs w:val="15"/>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50,000</w:t>
            </w:r>
          </w:p>
        </w:tc>
        <w:tc>
          <w:tcPr>
            <w:tcW w:w="0" w:type="dxa"/>
            <w:vAlign w:val="bottom"/>
          </w:tcPr>
          <w:p>
            <w:pPr>
              <w:spacing w:after="0"/>
              <w:rPr>
                <w:sz w:val="1"/>
                <w:szCs w:val="1"/>
                <w:color w:val="auto"/>
              </w:rPr>
            </w:pPr>
          </w:p>
        </w:tc>
      </w:tr>
      <w:tr>
        <w:trPr>
          <w:trHeight w:val="184"/>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0D0D0D"/>
              </w:rPr>
              <w:t>October 1, 2024 through October 31, 2024</w:t>
            </w: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200" w:type="dxa"/>
            <w:vAlign w:val="bottom"/>
            <w:shd w:val="clear" w:color="auto" w:fill="E6E6E6"/>
          </w:tcPr>
          <w:p>
            <w:pPr>
              <w:spacing w:after="0"/>
              <w:rPr>
                <w:sz w:val="15"/>
                <w:szCs w:val="15"/>
                <w:color w:val="auto"/>
              </w:rPr>
            </w:pPr>
          </w:p>
        </w:tc>
        <w:tc>
          <w:tcPr>
            <w:tcW w:w="11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w:t>
            </w: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140" w:type="dxa"/>
            <w:vAlign w:val="bottom"/>
            <w:shd w:val="clear" w:color="auto" w:fill="E6E6E6"/>
          </w:tcPr>
          <w:p>
            <w:pPr>
              <w:spacing w:after="0"/>
              <w:rPr>
                <w:sz w:val="15"/>
                <w:szCs w:val="15"/>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w:t>
            </w:r>
          </w:p>
        </w:tc>
        <w:tc>
          <w:tcPr>
            <w:tcW w:w="0" w:type="dxa"/>
            <w:vAlign w:val="bottom"/>
          </w:tcPr>
          <w:p>
            <w:pPr>
              <w:spacing w:after="0"/>
              <w:rPr>
                <w:sz w:val="1"/>
                <w:szCs w:val="1"/>
                <w:color w:val="auto"/>
              </w:rPr>
            </w:pPr>
          </w:p>
        </w:tc>
      </w:tr>
      <w:tr>
        <w:trPr>
          <w:trHeight w:val="184"/>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0D0D0D"/>
              </w:rPr>
              <w:t>November 1, 2024 through November 30,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56,000</w:t>
            </w:r>
          </w:p>
        </w:tc>
        <w:tc>
          <w:tcPr>
            <w:tcW w:w="200" w:type="dxa"/>
            <w:vAlign w:val="bottom"/>
          </w:tcPr>
          <w:p>
            <w:pPr>
              <w:spacing w:after="0"/>
              <w:rPr>
                <w:sz w:val="16"/>
                <w:szCs w:val="16"/>
                <w:color w:val="auto"/>
              </w:rPr>
            </w:pP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0D0D0D"/>
              </w:rPr>
              <w:t>9.01</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56,000</w:t>
            </w:r>
          </w:p>
        </w:tc>
        <w:tc>
          <w:tcPr>
            <w:tcW w:w="1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0D0D0D"/>
              </w:rPr>
              <w:t>49,495</w:t>
            </w:r>
          </w:p>
        </w:tc>
        <w:tc>
          <w:tcPr>
            <w:tcW w:w="0" w:type="dxa"/>
            <w:vAlign w:val="bottom"/>
          </w:tcPr>
          <w:p>
            <w:pPr>
              <w:spacing w:after="0"/>
              <w:rPr>
                <w:sz w:val="1"/>
                <w:szCs w:val="1"/>
                <w:color w:val="auto"/>
              </w:rPr>
            </w:pPr>
          </w:p>
        </w:tc>
      </w:tr>
      <w:tr>
        <w:trPr>
          <w:trHeight w:val="184"/>
        </w:trPr>
        <w:tc>
          <w:tcPr>
            <w:tcW w:w="41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0D0D0D"/>
              </w:rPr>
              <w:t>December 1, 2024 through December 31, 2024</w:t>
            </w:r>
          </w:p>
        </w:tc>
        <w:tc>
          <w:tcPr>
            <w:tcW w:w="1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1,191,000</w:t>
            </w:r>
          </w:p>
        </w:tc>
        <w:tc>
          <w:tcPr>
            <w:tcW w:w="200" w:type="dxa"/>
            <w:vAlign w:val="bottom"/>
            <w:tcBorders>
              <w:bottom w:val="single" w:sz="8" w:color="auto"/>
            </w:tcBorders>
            <w:shd w:val="clear" w:color="auto" w:fill="E6E6E6"/>
          </w:tcPr>
          <w:p>
            <w:pPr>
              <w:spacing w:after="0"/>
              <w:rPr>
                <w:sz w:val="15"/>
                <w:szCs w:val="15"/>
                <w:color w:val="auto"/>
              </w:rPr>
            </w:pPr>
          </w:p>
        </w:tc>
        <w:tc>
          <w:tcPr>
            <w:tcW w:w="1180" w:type="dxa"/>
            <w:vAlign w:val="bottom"/>
            <w:tcBorders>
              <w:bottom w:val="single" w:sz="8" w:color="auto"/>
            </w:tcBorders>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color w:val="0D0D0D"/>
              </w:rPr>
              <w:t>7.66</w:t>
            </w: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1,191,000</w:t>
            </w:r>
          </w:p>
        </w:tc>
        <w:tc>
          <w:tcPr>
            <w:tcW w:w="140" w:type="dxa"/>
            <w:vAlign w:val="bottom"/>
            <w:tcBorders>
              <w:bottom w:val="single" w:sz="8" w:color="auto"/>
            </w:tcBorders>
            <w:shd w:val="clear" w:color="auto" w:fill="E6E6E6"/>
          </w:tcPr>
          <w:p>
            <w:pPr>
              <w:spacing w:after="0"/>
              <w:rPr>
                <w:sz w:val="15"/>
                <w:szCs w:val="15"/>
                <w:color w:val="auto"/>
              </w:rPr>
            </w:pPr>
          </w:p>
        </w:tc>
        <w:tc>
          <w:tcPr>
            <w:tcW w:w="1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0D0D0D"/>
              </w:rPr>
              <w:t>40,400</w:t>
            </w: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13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0D0D0D"/>
              </w:rPr>
              <w:t>3,972,000</w:t>
            </w:r>
          </w:p>
        </w:tc>
        <w:tc>
          <w:tcPr>
            <w:tcW w:w="2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0D0D0D"/>
              </w:rPr>
              <w:t>$</w:t>
            </w:r>
          </w:p>
        </w:tc>
        <w:tc>
          <w:tcPr>
            <w:tcW w:w="1180" w:type="dxa"/>
            <w:vAlign w:val="bottom"/>
            <w:tcBorders>
              <w:bottom w:val="single" w:sz="8" w:color="auto"/>
            </w:tcBorders>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0D0D0D"/>
              </w:rPr>
              <w:t>10.85</w:t>
            </w:r>
          </w:p>
        </w:tc>
        <w:tc>
          <w:tcPr>
            <w:tcW w:w="200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0D0D0D"/>
              </w:rPr>
              <w:t>3,972,000</w:t>
            </w:r>
          </w:p>
        </w:tc>
        <w:tc>
          <w:tcPr>
            <w:tcW w:w="14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0D0D0D"/>
              </w:rPr>
              <w:t>$</w:t>
            </w:r>
          </w:p>
        </w:tc>
        <w:tc>
          <w:tcPr>
            <w:tcW w:w="186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0D0D0D"/>
              </w:rPr>
              <w:t>40,400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right="20"/>
        <w:spacing w:after="0" w:line="246" w:lineRule="auto"/>
        <w:tabs>
          <w:tab w:leader="none" w:pos="202"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September 5, 2023, the Company announced that the Board authorized the repurchase of 10,486,951 of its Subordinate Voting Shares, over a 12-month period at a cost of up to $50,000 thousand, which authorization was increased to up to $100,000 thousand on February 28, 2024. By the time that program expired on September 10, 2024, the Company had repurchased a total of 6,568,125 Subordinate Voting Shares for $73,304 thousand including 2,725,000 Subordinate Voting Shares for $33,448 thousand during the nine months ended September 30, 2024.</w:t>
      </w:r>
    </w:p>
    <w:p>
      <w:pPr>
        <w:spacing w:after="0" w:line="189"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Following the expiration of the Company’s previous share repurchase program on September 10, 2024, the Board authorized a new share repurchase program on September 13, 2024, authorizing the repurchase of up to 10,573,860 of its Subordinate Voting Shares, over a 12-month period at an aggregate cost of up to $50,000 thousand. From September 13, 2024 through December 31, 2024, the Company repurchased a total of 1,247,000 Subordinate Voting Shares at an average price of $7.72 per share, bringing the total remaining repurchase authority to approximately $40,400 thousand.</w:t>
      </w:r>
    </w:p>
    <w:p>
      <w:pPr>
        <w:spacing w:after="0" w:line="18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Reserved.</w:t>
      </w:r>
    </w:p>
    <w:p>
      <w:pPr>
        <w:spacing w:after="0" w:line="226" w:lineRule="exact"/>
        <w:rPr>
          <w:sz w:val="20"/>
          <w:szCs w:val="20"/>
          <w:color w:val="auto"/>
        </w:rPr>
      </w:pPr>
    </w:p>
    <w:p>
      <w:pPr>
        <w:ind w:left="1100" w:right="820" w:hanging="1108"/>
        <w:spacing w:after="0" w:line="28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 DISCUSSION AND ANALYSIS OF FINANCIAL CONDITION AND RESULTS OF OPERATION</w:t>
      </w:r>
    </w:p>
    <w:p>
      <w:pPr>
        <w:spacing w:after="0" w:line="148" w:lineRule="exact"/>
        <w:rPr>
          <w:sz w:val="20"/>
          <w:szCs w:val="20"/>
          <w:color w:val="auto"/>
        </w:rPr>
      </w:pPr>
    </w:p>
    <w:p>
      <w:pPr>
        <w:ind w:right="60" w:firstLine="720"/>
        <w:spacing w:after="0" w:line="275" w:lineRule="auto"/>
        <w:rPr>
          <w:sz w:val="20"/>
          <w:szCs w:val="20"/>
          <w:color w:val="auto"/>
        </w:rPr>
      </w:pPr>
      <w:r>
        <w:rPr>
          <w:rFonts w:ascii="Times New Roman" w:cs="Times New Roman" w:eastAsia="Times New Roman" w:hAnsi="Times New Roman"/>
          <w:sz w:val="20"/>
          <w:szCs w:val="20"/>
          <w:i w:val="1"/>
          <w:iCs w:val="1"/>
          <w:color w:val="auto"/>
        </w:rPr>
        <w:t>The following information should be read in conjunction with the consolidated financial statements and related notes thereto included in this Annual Report on Form 10-K.</w:t>
      </w:r>
    </w:p>
    <w:p>
      <w:pPr>
        <w:spacing w:after="0" w:line="163"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In addition to historical information, this report contains forward-looking statements that involve risks and uncertainties which may cause our actual results to differ materially from plans and results discussed from those forecast in forward-looking statements or implied in historical results and trends. We encourage you to review the risks and uncertainties discussed in the sections entitled Item 1A. “Risk Factors” and “Disclosure Regarding Forward-Looking Statements” included at the beginning of this Annual Report on Form 10-K.</w:t>
      </w:r>
    </w:p>
    <w:p>
      <w:pPr>
        <w:spacing w:after="0" w:line="192" w:lineRule="exact"/>
        <w:rPr>
          <w:sz w:val="20"/>
          <w:szCs w:val="20"/>
          <w:color w:val="auto"/>
        </w:rPr>
      </w:pPr>
    </w:p>
    <w:p>
      <w:pPr>
        <w:ind w:right="220" w:firstLine="720"/>
        <w:spacing w:after="0" w:line="248" w:lineRule="auto"/>
        <w:rPr>
          <w:sz w:val="20"/>
          <w:szCs w:val="20"/>
          <w:color w:val="auto"/>
        </w:rPr>
      </w:pPr>
      <w:r>
        <w:rPr>
          <w:rFonts w:ascii="Times New Roman" w:cs="Times New Roman" w:eastAsia="Times New Roman" w:hAnsi="Times New Roman"/>
          <w:sz w:val="20"/>
          <w:szCs w:val="20"/>
          <w:i w:val="1"/>
          <w:iCs w:val="1"/>
          <w:color w:val="auto"/>
        </w:rPr>
        <w:t>We caution readers not to place undue reliance on any forward-looking statements made by us, which speak only as of the date they are made. We disclaim any obligation, except as specifically required by law and the rules of the U.S. Securities and Exchange Commission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90"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This management discussion and analysis (“MD&amp;A”) of the financial condition and results of operations of Green Thumb Industries Inc. (the “Company” or “Green Thumb”) is for the years ended December 31, 2024, 2023 and 2022. It is supplemental to, and should be read in conjunction with, the Company’s consolidated financial statements for the years ended December 31, 2024, 2023 and 2022 and the accompanying notes for each respective period. The Company’s financial statements are prepared in accordance with accounting principles generally accepted in the United States of America (“GAAP”). Financial information presented in this MD&amp;A is presented in thousands of United States dollars (“$” or “US$”), unless otherwise indicated.</w:t>
      </w:r>
    </w:p>
    <w:p>
      <w:pPr>
        <w:sectPr>
          <w:pgSz w:w="12240" w:h="15840" w:orient="portrait"/>
          <w:cols w:equalWidth="0" w:num="1">
            <w:col w:w="10800"/>
          </w:cols>
          <w:pgMar w:left="720" w:top="930" w:right="720" w:bottom="175"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800"/>
          </w:cols>
          <w:pgMar w:left="720" w:top="930" w:right="720" w:bottom="17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OVERVIEW OF THE COMPANY</w:t>
      </w:r>
    </w:p>
    <w:p>
      <w:pPr>
        <w:spacing w:after="0" w:line="234"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December 31, 2024, Green Thumb has operations in fourteen U.S. markets, employs approximately 4,800 people and serves millions of patients and customers annually.</w:t>
      </w:r>
    </w:p>
    <w:p>
      <w:pPr>
        <w:spacing w:after="0" w:line="18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Green Thumb’s core business is manufacturing, distributing and marketing a portfolio of owned cannabis consumer packaged goods brands (which we refer to as our Consumer Packaged Goods business), including &amp;Shine, Beboe, Dogwalkers,</w:t>
      </w:r>
    </w:p>
    <w:p>
      <w:pPr>
        <w:spacing w:after="0" w:line="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Doctor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90" w:lineRule="exact"/>
        <w:rPr>
          <w:sz w:val="20"/>
          <w:szCs w:val="20"/>
          <w:color w:val="auto"/>
        </w:rPr>
      </w:pPr>
    </w:p>
    <w:p>
      <w:pPr>
        <w:ind w:right="220" w:firstLine="720"/>
        <w:spacing w:after="0" w:line="277" w:lineRule="auto"/>
        <w:rPr>
          <w:sz w:val="20"/>
          <w:szCs w:val="20"/>
          <w:color w:val="auto"/>
        </w:rPr>
      </w:pPr>
      <w:r>
        <w:rPr>
          <w:rFonts w:ascii="Times New Roman" w:cs="Times New Roman" w:eastAsia="Times New Roman" w:hAnsi="Times New Roman"/>
          <w:sz w:val="20"/>
          <w:szCs w:val="20"/>
          <w:color w:val="auto"/>
        </w:rPr>
        <w:t>In addition, an immaterial portion of the Company’s business in the last fiscal year involved producing products containing hemp-derived tetrahydrocannabinol (“THC”) such as Delta-8 THC and Delta-9 THC.</w:t>
      </w:r>
    </w:p>
    <w:p>
      <w:pPr>
        <w:spacing w:after="0" w:line="159"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The Company’s Consumer Packaged Goods segment is primarily generated from plant material that Green Thumb grows and processes itself, which we use to produce our consumer packaged goods in twenty manufacturing facilities. This portfolio consists of cannabis product categories, including flower, pre-rolls, concentrates, vape, capsules, tinctures, edibles, topicals and other cannabis-related products across a range of stock keeping units (“SKUs”) (none of which are individually material to the Company).</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Green Thumb owns and operates a national cannabis retail chain called RISE Dispensaries that aims to bring patients and customers a variety of high-quality products at a multiple price points and provide excellent service. In addition, Green Thumb owns stores under other names, primarily where naming is subject to licensing or similar restrictions. The income from Green Thumb’s retail stores is primarily derived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RISE Dispensaries are located in the fourteen states in which we operate. As of December 31, 2024, the Company had 101 open and operating retail locations. The Company’s new store opening plans will remain fluid depending on market conditions, obtaining local licensing, construction and other permissions and subject to the Company’s capital allocation plans as described above and under the heading “Liquidity, Financing Activities During the Period, and Capital Resources” below.</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800"/>
          </w:cols>
          <w:pgMar w:left="720" w:top="926" w:right="720" w:bottom="17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Operations – Consolidated</w:t>
      </w:r>
    </w:p>
    <w:p>
      <w:pPr>
        <w:spacing w:after="0" w:line="230" w:lineRule="exact"/>
        <w:rPr>
          <w:sz w:val="20"/>
          <w:szCs w:val="20"/>
          <w:color w:val="auto"/>
        </w:rPr>
      </w:pPr>
    </w:p>
    <w:p>
      <w:pPr>
        <w:ind w:right="180" w:firstLine="720"/>
        <w:spacing w:after="0" w:line="252" w:lineRule="auto"/>
        <w:rPr>
          <w:sz w:val="20"/>
          <w:szCs w:val="20"/>
          <w:color w:val="auto"/>
        </w:rPr>
      </w:pPr>
      <w:r>
        <w:rPr>
          <w:rFonts w:ascii="Times New Roman" w:cs="Times New Roman" w:eastAsia="Times New Roman" w:hAnsi="Times New Roman"/>
          <w:sz w:val="20"/>
          <w:szCs w:val="20"/>
          <w:color w:val="auto"/>
        </w:rPr>
        <w:t>The following table sets forth the Company’s selected consolidated financial results for the periods, and as of the dates, indicated. The (i) consolidated statements of operations for the years ended December 31, 2024, 2023 and 2022 and (ii) consolidated balance sheet as of December 31, 2024 and 2023 have been derived from, and should be read in conjunction with the consolidated financial statements and accompanying notes presented in Item 8 of this Annual Report on Form 10-K.</w:t>
      </w:r>
    </w:p>
    <w:p>
      <w:pPr>
        <w:spacing w:after="0" w:line="207"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in accordance with U.S. GAAP and on a going-concern basis that contemplates continuity of operations and realization of assets and liquidation of liabilities in the ordinary course of business. Amounts have been presented in thousands of U.S. dollars except for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15"/>
          </w:tcPr>
          <w:p>
            <w:pPr>
              <w:ind w:left="8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8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20" w:type="dxa"/>
            <w:vAlign w:val="bottom"/>
            <w:tcBorders>
              <w:bottom w:val="single" w:sz="8" w:color="E6E6E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20"/>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tc>
        <w:tc>
          <w:tcPr>
            <w:tcW w:w="22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w w:val="89"/>
              </w:rPr>
              <w:t>Increase</w:t>
            </w:r>
          </w:p>
        </w:tc>
        <w:tc>
          <w:tcPr>
            <w:tcW w:w="160" w:type="dxa"/>
            <w:vAlign w:val="bottom"/>
            <w:tcBorders>
              <w:bottom w:val="single" w:sz="8" w:color="auto"/>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w w:val="80"/>
              </w:rPr>
              <w:t>(Decrease)</w:t>
            </w:r>
          </w:p>
        </w:tc>
        <w:tc>
          <w:tcPr>
            <w:tcW w:w="620" w:type="dxa"/>
            <w:vAlign w:val="bottom"/>
            <w:tcBorders>
              <w:bottom w:val="single" w:sz="8" w:color="auto"/>
            </w:tcBorders>
          </w:tcPr>
          <w:p>
            <w:pPr>
              <w:spacing w:after="0"/>
              <w:rPr>
                <w:sz w:val="15"/>
                <w:szCs w:val="15"/>
                <w:color w:val="auto"/>
              </w:rPr>
            </w:pPr>
          </w:p>
        </w:tc>
        <w:tc>
          <w:tcPr>
            <w:tcW w:w="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Revenues, Net of Discounts</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6"/>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1,137,141</w:t>
            </w: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0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1,054,553</w:t>
            </w:r>
          </w:p>
        </w:tc>
        <w:tc>
          <w:tcPr>
            <w:tcW w:w="220" w:type="dxa"/>
            <w:vAlign w:val="bottom"/>
            <w:gridSpan w:val="4"/>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1,017,375</w:t>
            </w:r>
          </w:p>
        </w:tc>
        <w:tc>
          <w:tcPr>
            <w:tcW w:w="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82,588</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37,178</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7"/>
                <w:szCs w:val="17"/>
                <w:color w:val="auto"/>
              </w:rPr>
            </w:pP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(536,032)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(528,058)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(513,412)</w:t>
            </w: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top w:val="single" w:sz="8" w:color="E6E6E6"/>
            </w:tcBorders>
            <w:shd w:val="clear" w:color="auto" w:fill="E6E6E6"/>
          </w:tcPr>
          <w:p>
            <w:pPr>
              <w:spacing w:after="0"/>
              <w:rPr>
                <w:sz w:val="16"/>
                <w:szCs w:val="16"/>
                <w:color w:val="auto"/>
              </w:rPr>
            </w:pPr>
          </w:p>
        </w:tc>
        <w:tc>
          <w:tcPr>
            <w:tcW w:w="4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10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601,109</w:t>
            </w:r>
          </w:p>
        </w:tc>
        <w:tc>
          <w:tcPr>
            <w:tcW w:w="20" w:type="dxa"/>
            <w:vAlign w:val="bottom"/>
            <w:shd w:val="clear" w:color="auto" w:fill="E6E6E6"/>
          </w:tcPr>
          <w:p>
            <w:pPr>
              <w:spacing w:after="0"/>
              <w:rPr>
                <w:sz w:val="16"/>
                <w:szCs w:val="16"/>
                <w:color w:val="auto"/>
              </w:rPr>
            </w:pPr>
          </w:p>
        </w:tc>
        <w:tc>
          <w:tcPr>
            <w:tcW w:w="14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1080" w:type="dxa"/>
            <w:vAlign w:val="bottom"/>
            <w:tcBorders>
              <w:top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526,495</w:t>
            </w: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6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160" w:type="dxa"/>
            <w:vAlign w:val="bottom"/>
            <w:tcBorders>
              <w:top w:val="single" w:sz="8" w:color="auto"/>
            </w:tcBorders>
            <w:shd w:val="clear" w:color="auto" w:fill="E6E6E6"/>
          </w:tcPr>
          <w:p>
            <w:pPr>
              <w:spacing w:after="0"/>
              <w:rPr>
                <w:sz w:val="16"/>
                <w:szCs w:val="16"/>
                <w:color w:val="auto"/>
              </w:rPr>
            </w:pPr>
          </w:p>
        </w:tc>
        <w:tc>
          <w:tcPr>
            <w:tcW w:w="8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503,963</w:t>
            </w:r>
          </w:p>
        </w:tc>
        <w:tc>
          <w:tcPr>
            <w:tcW w:w="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600" w:type="dxa"/>
            <w:vAlign w:val="bottom"/>
            <w:tcBorders>
              <w:top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74,614</w:t>
            </w:r>
          </w:p>
        </w:tc>
        <w:tc>
          <w:tcPr>
            <w:tcW w:w="5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Borders>
              <w:top w:val="single" w:sz="8" w:color="auto"/>
            </w:tcBorders>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tcBorders>
              <w:top w:val="single" w:sz="8" w:color="E6E6E6"/>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20" w:type="dxa"/>
            <w:vAlign w:val="bottom"/>
            <w:tcBorders>
              <w:top w:val="single" w:sz="8" w:color="auto"/>
            </w:tcBorders>
            <w:shd w:val="clear" w:color="auto" w:fill="E6E6E6"/>
          </w:tcPr>
          <w:p>
            <w:pPr>
              <w:spacing w:after="0"/>
              <w:rPr>
                <w:sz w:val="16"/>
                <w:szCs w:val="16"/>
                <w:color w:val="auto"/>
              </w:rPr>
            </w:pPr>
          </w:p>
        </w:tc>
        <w:tc>
          <w:tcPr>
            <w:tcW w:w="6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22,532</w:t>
            </w:r>
          </w:p>
        </w:tc>
        <w:tc>
          <w:tcPr>
            <w:tcW w:w="6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Borders>
              <w:top w:val="single" w:sz="8" w:color="auto"/>
            </w:tcBorders>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E6E6E6"/>
          </w:tcPr>
          <w:p>
            <w:pPr>
              <w:spacing w:after="0"/>
              <w:rPr>
                <w:sz w:val="17"/>
                <w:szCs w:val="17"/>
                <w:color w:val="auto"/>
              </w:rPr>
            </w:pPr>
          </w:p>
        </w:tc>
        <w:tc>
          <w:tcPr>
            <w:tcW w:w="1180" w:type="dxa"/>
            <w:vAlign w:val="bottom"/>
            <w:gridSpan w:val="6"/>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376,684</w:t>
            </w: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341,863</w:t>
            </w: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294,396</w:t>
            </w:r>
          </w:p>
        </w:tc>
        <w:tc>
          <w:tcPr>
            <w:tcW w:w="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60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47,467</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88,503</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(88,503)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820" w:type="dxa"/>
            <w:vAlign w:val="bottom"/>
            <w:tcBorders>
              <w:top w:val="single" w:sz="8" w:color="E6E6E6"/>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E6E6E6"/>
              <w:bottom w:val="single" w:sz="8" w:color="E6E6E6"/>
            </w:tcBorders>
            <w:shd w:val="clear" w:color="auto" w:fill="E6E6E6"/>
          </w:tcPr>
          <w:p>
            <w:pPr>
              <w:spacing w:after="0"/>
              <w:rPr>
                <w:sz w:val="18"/>
                <w:szCs w:val="18"/>
                <w:color w:val="auto"/>
              </w:rPr>
            </w:pPr>
          </w:p>
        </w:tc>
        <w:tc>
          <w:tcPr>
            <w:tcW w:w="4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376,684</w:t>
            </w:r>
          </w:p>
        </w:tc>
        <w:tc>
          <w:tcPr>
            <w:tcW w:w="2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341,863</w:t>
            </w: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E6E6E6"/>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160" w:type="dxa"/>
            <w:vAlign w:val="bottom"/>
            <w:tcBorders>
              <w:top w:val="single" w:sz="8" w:color="auto"/>
              <w:bottom w:val="single" w:sz="8" w:color="auto"/>
            </w:tcBorders>
            <w:shd w:val="clear" w:color="auto" w:fill="E6E6E6"/>
          </w:tcPr>
          <w:p>
            <w:pPr>
              <w:spacing w:after="0"/>
              <w:rPr>
                <w:sz w:val="18"/>
                <w:szCs w:val="18"/>
                <w:color w:val="auto"/>
              </w:rPr>
            </w:pPr>
          </w:p>
        </w:tc>
        <w:tc>
          <w:tcPr>
            <w:tcW w:w="8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382,899</w:t>
            </w:r>
          </w:p>
        </w:tc>
        <w:tc>
          <w:tcPr>
            <w:tcW w:w="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600" w:type="dxa"/>
            <w:vAlign w:val="bottom"/>
            <w:tcBorders>
              <w:top w:val="single" w:sz="8" w:color="auto"/>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34,821</w:t>
            </w:r>
          </w:p>
        </w:tc>
        <w:tc>
          <w:tcPr>
            <w:tcW w:w="5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top w:val="single" w:sz="8" w:color="E6E6E6"/>
              <w:bottom w:val="single" w:sz="8" w:color="E6E6E6"/>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top w:val="single" w:sz="8" w:color="auto"/>
              <w:bottom w:val="single" w:sz="8" w:color="auto"/>
            </w:tcBorders>
            <w:shd w:val="clear" w:color="auto" w:fill="E6E6E6"/>
          </w:tcPr>
          <w:p>
            <w:pPr>
              <w:spacing w:after="0"/>
              <w:rPr>
                <w:sz w:val="18"/>
                <w:szCs w:val="18"/>
                <w:color w:val="auto"/>
              </w:rPr>
            </w:pPr>
          </w:p>
        </w:tc>
        <w:tc>
          <w:tcPr>
            <w:tcW w:w="6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(41,036)</w:t>
            </w:r>
          </w:p>
        </w:tc>
        <w:tc>
          <w:tcPr>
            <w:tcW w:w="6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Borders>
              <w:top w:val="single" w:sz="8" w:color="auto"/>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auto"/>
              </w:rPr>
              <w:t>224,425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184,632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121,064</w:t>
            </w: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auto"/>
              </w:rPr>
              <w:t>39,793</w:t>
            </w: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63,568</w:t>
            </w:r>
          </w:p>
        </w:tc>
        <w:tc>
          <w:tcPr>
            <w:tcW w:w="6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8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Total Other Expense</w:t>
            </w:r>
          </w:p>
        </w:tc>
        <w:tc>
          <w:tcPr>
            <w:tcW w:w="240" w:type="dxa"/>
            <w:vAlign w:val="bottom"/>
            <w:tcBorders>
              <w:bottom w:val="single" w:sz="8" w:color="E6E6E6"/>
            </w:tcBorders>
            <w:shd w:val="clear" w:color="auto" w:fill="E6E6E6"/>
          </w:tcPr>
          <w:p>
            <w:pPr>
              <w:spacing w:after="0"/>
              <w:rPr>
                <w:sz w:val="18"/>
                <w:szCs w:val="18"/>
                <w:color w:val="auto"/>
              </w:rPr>
            </w:pPr>
          </w:p>
        </w:tc>
        <w:tc>
          <w:tcPr>
            <w:tcW w:w="60" w:type="dxa"/>
            <w:vAlign w:val="bottom"/>
            <w:tcBorders>
              <w:bottom w:val="single" w:sz="8" w:color="E6E6E6"/>
            </w:tcBorders>
            <w:gridSpan w:val="2"/>
            <w:shd w:val="clear" w:color="auto" w:fill="E6E6E6"/>
          </w:tcPr>
          <w:p>
            <w:pPr>
              <w:spacing w:after="0"/>
              <w:rPr>
                <w:sz w:val="18"/>
                <w:szCs w:val="18"/>
                <w:color w:val="auto"/>
              </w:rPr>
            </w:pPr>
          </w:p>
        </w:tc>
        <w:tc>
          <w:tcPr>
            <w:tcW w:w="1120" w:type="dxa"/>
            <w:vAlign w:val="bottom"/>
            <w:tcBorders>
              <w:bottom w:val="single" w:sz="8" w:color="auto"/>
            </w:tcBorders>
            <w:gridSpan w:val="4"/>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(24,286)</w:t>
            </w:r>
          </w:p>
        </w:tc>
        <w:tc>
          <w:tcPr>
            <w:tcW w:w="2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080" w:type="dxa"/>
            <w:vAlign w:val="bottom"/>
            <w:tcBorders>
              <w:bottom w:val="single" w:sz="8" w:color="auto"/>
            </w:tcBorders>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(28,583)</w:t>
            </w: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6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160" w:type="dxa"/>
            <w:vAlign w:val="bottom"/>
            <w:tcBorders>
              <w:bottom w:val="single" w:sz="8" w:color="auto"/>
            </w:tcBorders>
            <w:shd w:val="clear" w:color="auto" w:fill="E6E6E6"/>
          </w:tcPr>
          <w:p>
            <w:pPr>
              <w:spacing w:after="0"/>
              <w:rPr>
                <w:sz w:val="18"/>
                <w:szCs w:val="18"/>
                <w:color w:val="auto"/>
              </w:rPr>
            </w:pPr>
          </w:p>
        </w:tc>
        <w:tc>
          <w:tcPr>
            <w:tcW w:w="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(12,632)</w:t>
            </w:r>
          </w:p>
        </w:tc>
        <w:tc>
          <w:tcPr>
            <w:tcW w:w="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22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600" w:type="dxa"/>
            <w:vAlign w:val="bottom"/>
            <w:tcBorders>
              <w:bottom w:val="single" w:sz="8" w:color="auto"/>
            </w:tcBorders>
            <w:gridSpan w:val="3"/>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(4,297)</w:t>
            </w: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140" w:type="dxa"/>
            <w:vAlign w:val="bottom"/>
            <w:tcBorders>
              <w:bottom w:val="single" w:sz="8" w:color="E6E6E6"/>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auto"/>
            </w:tcBorders>
            <w:shd w:val="clear" w:color="auto" w:fill="E6E6E6"/>
          </w:tcPr>
          <w:p>
            <w:pPr>
              <w:spacing w:after="0"/>
              <w:rPr>
                <w:sz w:val="18"/>
                <w:szCs w:val="18"/>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15,951</w:t>
            </w: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Borders>
              <w:bottom w:val="single" w:sz="8" w:color="auto"/>
            </w:tcBorders>
            <w:shd w:val="clear" w:color="auto" w:fill="E6E6E6"/>
          </w:tcPr>
          <w:p>
            <w:pPr>
              <w:spacing w:after="0"/>
              <w:rPr>
                <w:sz w:val="18"/>
                <w:szCs w:val="18"/>
                <w:color w:val="auto"/>
              </w:rPr>
            </w:pPr>
          </w:p>
        </w:tc>
        <w:tc>
          <w:tcPr>
            <w:tcW w:w="20" w:type="dxa"/>
            <w:vAlign w:val="bottom"/>
            <w:tcBorders>
              <w:bottom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820" w:type="dxa"/>
            <w:vAlign w:val="bottom"/>
          </w:tcPr>
          <w:p>
            <w:pPr>
              <w:spacing w:after="0" w:line="153" w:lineRule="exact"/>
              <w:rPr>
                <w:sz w:val="20"/>
                <w:szCs w:val="20"/>
                <w:color w:val="auto"/>
              </w:rPr>
            </w:pPr>
            <w:r>
              <w:rPr>
                <w:rFonts w:ascii="Times New Roman" w:cs="Times New Roman" w:eastAsia="Times New Roman" w:hAnsi="Times New Roman"/>
                <w:sz w:val="16"/>
                <w:szCs w:val="16"/>
                <w:color w:val="auto"/>
              </w:rPr>
              <w:t>Income Before Provision for Income Taxes And Non-</w:t>
            </w:r>
          </w:p>
        </w:tc>
        <w:tc>
          <w:tcPr>
            <w:tcW w:w="240" w:type="dxa"/>
            <w:vAlign w:val="bottom"/>
          </w:tcPr>
          <w:p>
            <w:pPr>
              <w:spacing w:after="0"/>
              <w:rPr>
                <w:sz w:val="13"/>
                <w:szCs w:val="13"/>
                <w:color w:val="auto"/>
              </w:rPr>
            </w:pP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200,139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156,049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108,432</w:t>
            </w: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44,090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47,617</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240" w:type="dxa"/>
            <w:vAlign w:val="bottom"/>
          </w:tcPr>
          <w:p>
            <w:pPr>
              <w:spacing w:after="0"/>
              <w:rPr>
                <w:sz w:val="17"/>
                <w:szCs w:val="17"/>
                <w:color w:val="auto"/>
              </w:rPr>
            </w:pPr>
          </w:p>
        </w:tc>
        <w:tc>
          <w:tcPr>
            <w:tcW w:w="118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shd w:val="clear" w:color="auto" w:fill="E6E6E6"/>
          </w:tcPr>
          <w:p>
            <w:pPr>
              <w:spacing w:after="0"/>
              <w:rPr>
                <w:sz w:val="18"/>
                <w:szCs w:val="18"/>
                <w:color w:val="auto"/>
              </w:rPr>
            </w:pPr>
          </w:p>
        </w:tc>
        <w:tc>
          <w:tcPr>
            <w:tcW w:w="1180" w:type="dxa"/>
            <w:vAlign w:val="bottom"/>
            <w:gridSpan w:val="6"/>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118,630</w:t>
            </w: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94,777</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7,658</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23,853</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820" w:type="dxa"/>
            <w:vAlign w:val="bottom"/>
            <w:tcBorders>
              <w:top w:val="single" w:sz="8" w:color="E6E6E6"/>
            </w:tcBorders>
          </w:tcPr>
          <w:p>
            <w:pPr>
              <w:spacing w:after="0" w:line="168" w:lineRule="exact"/>
              <w:rPr>
                <w:sz w:val="20"/>
                <w:szCs w:val="20"/>
                <w:color w:val="auto"/>
              </w:rPr>
            </w:pPr>
            <w:r>
              <w:rPr>
                <w:rFonts w:ascii="Times New Roman" w:cs="Times New Roman" w:eastAsia="Times New Roman" w:hAnsi="Times New Roman"/>
                <w:sz w:val="16"/>
                <w:szCs w:val="16"/>
                <w:color w:val="auto"/>
              </w:rPr>
              <w:t>Net Income Before Non-Controlling Interest</w:t>
            </w:r>
          </w:p>
        </w:tc>
        <w:tc>
          <w:tcPr>
            <w:tcW w:w="240" w:type="dxa"/>
            <w:vAlign w:val="bottom"/>
            <w:tcBorders>
              <w:top w:val="single" w:sz="8" w:color="E6E6E6"/>
            </w:tcBorders>
          </w:tcPr>
          <w:p>
            <w:pPr>
              <w:spacing w:after="0"/>
              <w:rPr>
                <w:sz w:val="14"/>
                <w:szCs w:val="14"/>
                <w:color w:val="auto"/>
              </w:rPr>
            </w:pPr>
          </w:p>
        </w:tc>
        <w:tc>
          <w:tcPr>
            <w:tcW w:w="40" w:type="dxa"/>
            <w:vAlign w:val="bottom"/>
            <w:tcBorders>
              <w:top w:val="single" w:sz="8" w:color="E6E6E6"/>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1120" w:type="dxa"/>
            <w:vAlign w:val="bottom"/>
            <w:tcBorders>
              <w:top w:val="single" w:sz="8" w:color="auto"/>
            </w:tcBorders>
            <w:gridSpan w:val="4"/>
          </w:tcPr>
          <w:p>
            <w:pPr>
              <w:jc w:val="right"/>
              <w:spacing w:after="0" w:line="168" w:lineRule="exact"/>
              <w:rPr>
                <w:sz w:val="20"/>
                <w:szCs w:val="20"/>
                <w:color w:val="auto"/>
              </w:rPr>
            </w:pPr>
            <w:r>
              <w:rPr>
                <w:rFonts w:ascii="Times New Roman" w:cs="Times New Roman" w:eastAsia="Times New Roman" w:hAnsi="Times New Roman"/>
                <w:sz w:val="16"/>
                <w:szCs w:val="16"/>
                <w:color w:val="auto"/>
              </w:rPr>
              <w:t>73,851</w:t>
            </w:r>
          </w:p>
        </w:tc>
        <w:tc>
          <w:tcPr>
            <w:tcW w:w="20" w:type="dxa"/>
            <w:vAlign w:val="bottom"/>
            <w:tcBorders>
              <w:top w:val="single" w:sz="8" w:color="E6E6E6"/>
            </w:tcBorders>
          </w:tcPr>
          <w:p>
            <w:pPr>
              <w:spacing w:after="0"/>
              <w:rPr>
                <w:sz w:val="14"/>
                <w:szCs w:val="14"/>
                <w:color w:val="auto"/>
              </w:rPr>
            </w:pPr>
          </w:p>
        </w:tc>
        <w:tc>
          <w:tcPr>
            <w:tcW w:w="140" w:type="dxa"/>
            <w:vAlign w:val="bottom"/>
            <w:tcBorders>
              <w:top w:val="single" w:sz="8" w:color="E6E6E6"/>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37,419</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160" w:type="dxa"/>
            <w:vAlign w:val="bottom"/>
            <w:tcBorders>
              <w:top w:val="single" w:sz="8" w:color="E6E6E6"/>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13,655</w:t>
            </w:r>
          </w:p>
        </w:tc>
        <w:tc>
          <w:tcPr>
            <w:tcW w:w="0" w:type="dxa"/>
            <w:vAlign w:val="bottom"/>
            <w:tcBorders>
              <w:top w:val="single" w:sz="8" w:color="auto"/>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220" w:type="dxa"/>
            <w:vAlign w:val="bottom"/>
            <w:tcBorders>
              <w:top w:val="single" w:sz="8" w:color="E6E6E6"/>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auto"/>
              </w:rPr>
              <w:t>36,432</w:t>
            </w:r>
          </w:p>
        </w:tc>
        <w:tc>
          <w:tcPr>
            <w:tcW w:w="5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97%</w:t>
            </w:r>
          </w:p>
        </w:tc>
        <w:tc>
          <w:tcPr>
            <w:tcW w:w="0" w:type="dxa"/>
            <w:vAlign w:val="bottom"/>
            <w:tcBorders>
              <w:top w:val="single" w:sz="8" w:color="auto"/>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140" w:type="dxa"/>
            <w:vAlign w:val="bottom"/>
            <w:tcBorders>
              <w:top w:val="single" w:sz="8" w:color="E6E6E6"/>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23,764</w:t>
            </w:r>
          </w:p>
        </w:tc>
        <w:tc>
          <w:tcPr>
            <w:tcW w:w="6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174%</w:t>
            </w:r>
          </w:p>
        </w:tc>
        <w:tc>
          <w:tcPr>
            <w:tcW w:w="0" w:type="dxa"/>
            <w:vAlign w:val="bottom"/>
            <w:tcBorders>
              <w:top w:val="single" w:sz="8" w:color="auto"/>
            </w:tcBorders>
          </w:tcPr>
          <w:p>
            <w:pPr>
              <w:spacing w:after="0"/>
              <w:rPr>
                <w:sz w:val="14"/>
                <w:szCs w:val="14"/>
                <w:color w:val="auto"/>
              </w:rPr>
            </w:pPr>
          </w:p>
        </w:tc>
        <w:tc>
          <w:tcPr>
            <w:tcW w:w="20" w:type="dxa"/>
            <w:vAlign w:val="bottom"/>
            <w:tcBorders>
              <w:top w:val="single" w:sz="8" w:color="E6E6E6"/>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240" w:type="dxa"/>
            <w:vAlign w:val="bottom"/>
            <w:shd w:val="clear" w:color="auto" w:fill="E6E6E6"/>
          </w:tcPr>
          <w:p>
            <w:pPr>
              <w:spacing w:after="0"/>
              <w:rPr>
                <w:sz w:val="18"/>
                <w:szCs w:val="18"/>
                <w:color w:val="auto"/>
              </w:rPr>
            </w:pPr>
          </w:p>
        </w:tc>
        <w:tc>
          <w:tcPr>
            <w:tcW w:w="1180" w:type="dxa"/>
            <w:vAlign w:val="bottom"/>
            <w:gridSpan w:val="6"/>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0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60" w:type="dxa"/>
            <w:vAlign w:val="bottom"/>
            <w:shd w:val="clear" w:color="auto" w:fill="E6E6E6"/>
          </w:tcPr>
          <w:p>
            <w:pPr>
              <w:spacing w:after="0"/>
              <w:rPr>
                <w:sz w:val="18"/>
                <w:szCs w:val="18"/>
                <w:color w:val="auto"/>
              </w:rPr>
            </w:pPr>
          </w:p>
        </w:tc>
        <w:tc>
          <w:tcPr>
            <w:tcW w:w="44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shd w:val="clear" w:color="auto" w:fill="E6E6E6"/>
          </w:tcPr>
          <w:p>
            <w:pPr>
              <w:spacing w:after="0"/>
              <w:rPr>
                <w:sz w:val="18"/>
                <w:szCs w:val="18"/>
                <w:color w:val="auto"/>
              </w:rPr>
            </w:pPr>
          </w:p>
        </w:tc>
        <w:tc>
          <w:tcPr>
            <w:tcW w:w="2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20" w:type="dxa"/>
            <w:vAlign w:val="bottom"/>
            <w:tcBorders>
              <w:top w:val="single" w:sz="8" w:color="E6E6E6"/>
            </w:tcBorders>
          </w:tcPr>
          <w:p>
            <w:pPr>
              <w:spacing w:after="0" w:line="168" w:lineRule="exact"/>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240" w:type="dxa"/>
            <w:vAlign w:val="bottom"/>
            <w:tcBorders>
              <w:top w:val="single" w:sz="8" w:color="E6E6E6"/>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E6E6E6"/>
            </w:tcBorders>
          </w:tcPr>
          <w:p>
            <w:pPr>
              <w:spacing w:after="0"/>
              <w:rPr>
                <w:sz w:val="18"/>
                <w:szCs w:val="18"/>
                <w:color w:val="auto"/>
              </w:rPr>
            </w:pPr>
          </w:p>
        </w:tc>
        <w:tc>
          <w:tcPr>
            <w:tcW w:w="1140" w:type="dxa"/>
            <w:vAlign w:val="bottom"/>
            <w:tcBorders>
              <w:top w:val="single" w:sz="8" w:color="auto"/>
            </w:tcBorders>
            <w:gridSpan w:val="5"/>
          </w:tcPr>
          <w:p>
            <w:pPr>
              <w:jc w:val="right"/>
              <w:spacing w:after="0" w:line="168" w:lineRule="exact"/>
              <w:rPr>
                <w:sz w:val="20"/>
                <w:szCs w:val="20"/>
                <w:color w:val="auto"/>
              </w:rPr>
            </w:pPr>
            <w:r>
              <w:rPr>
                <w:rFonts w:ascii="Times New Roman" w:cs="Times New Roman" w:eastAsia="Times New Roman" w:hAnsi="Times New Roman"/>
                <w:sz w:val="16"/>
                <w:szCs w:val="16"/>
                <w:color w:val="auto"/>
              </w:rPr>
              <w:t>73,083</w:t>
            </w:r>
          </w:p>
        </w:tc>
        <w:tc>
          <w:tcPr>
            <w:tcW w:w="20" w:type="dxa"/>
            <w:vAlign w:val="bottom"/>
            <w:tcBorders>
              <w:top w:val="single" w:sz="8" w:color="E6E6E6"/>
            </w:tcBorders>
          </w:tcPr>
          <w:p>
            <w:pPr>
              <w:spacing w:after="0"/>
              <w:rPr>
                <w:sz w:val="18"/>
                <w:szCs w:val="18"/>
                <w:color w:val="auto"/>
              </w:rPr>
            </w:pPr>
          </w:p>
        </w:tc>
        <w:tc>
          <w:tcPr>
            <w:tcW w:w="140" w:type="dxa"/>
            <w:vAlign w:val="bottom"/>
            <w:tcBorders>
              <w:top w:val="single" w:sz="8" w:color="E6E6E6"/>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color w:val="auto"/>
              </w:rPr>
              <w:t>36,267</w:t>
            </w:r>
          </w:p>
        </w:tc>
        <w:tc>
          <w:tcPr>
            <w:tcW w:w="220" w:type="dxa"/>
            <w:vAlign w:val="bottom"/>
            <w:tcBorders>
              <w:top w:val="single" w:sz="8" w:color="E6E6E6"/>
            </w:tcBorders>
            <w:gridSpan w:val="4"/>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11,978</w:t>
            </w:r>
          </w:p>
        </w:tc>
        <w:tc>
          <w:tcPr>
            <w:tcW w:w="0" w:type="dxa"/>
            <w:vAlign w:val="bottom"/>
            <w:tcBorders>
              <w:top w:val="single" w:sz="8" w:color="E6E6E6"/>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220" w:type="dxa"/>
            <w:vAlign w:val="bottom"/>
            <w:tcBorders>
              <w:top w:val="single" w:sz="8" w:color="E6E6E6"/>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line="168" w:lineRule="exact"/>
              <w:rPr>
                <w:sz w:val="20"/>
                <w:szCs w:val="20"/>
                <w:color w:val="auto"/>
              </w:rPr>
            </w:pPr>
            <w:r>
              <w:rPr>
                <w:rFonts w:ascii="Times New Roman" w:cs="Times New Roman" w:eastAsia="Times New Roman" w:hAnsi="Times New Roman"/>
                <w:sz w:val="16"/>
                <w:szCs w:val="16"/>
                <w:color w:val="auto"/>
              </w:rPr>
              <w:t>36,816</w:t>
            </w:r>
          </w:p>
        </w:tc>
        <w:tc>
          <w:tcPr>
            <w:tcW w:w="56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102%</w:t>
            </w:r>
          </w:p>
        </w:tc>
        <w:tc>
          <w:tcPr>
            <w:tcW w:w="0" w:type="dxa"/>
            <w:vAlign w:val="bottom"/>
            <w:tcBorders>
              <w:top w:val="single" w:sz="8" w:color="E6E6E6"/>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140" w:type="dxa"/>
            <w:vAlign w:val="bottom"/>
            <w:tcBorders>
              <w:top w:val="single" w:sz="8" w:color="E6E6E6"/>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24,289</w:t>
            </w:r>
          </w:p>
        </w:tc>
        <w:tc>
          <w:tcPr>
            <w:tcW w:w="6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color w:val="auto"/>
              </w:rPr>
              <w:t>203%</w:t>
            </w:r>
          </w:p>
        </w:tc>
        <w:tc>
          <w:tcPr>
            <w:tcW w:w="0" w:type="dxa"/>
            <w:vAlign w:val="bottom"/>
            <w:tcBorders>
              <w:top w:val="single" w:sz="8" w:color="E6E6E6"/>
            </w:tcBorders>
          </w:tcPr>
          <w:p>
            <w:pPr>
              <w:spacing w:after="0"/>
              <w:rPr>
                <w:sz w:val="18"/>
                <w:szCs w:val="18"/>
                <w:color w:val="auto"/>
              </w:rPr>
            </w:pPr>
          </w:p>
        </w:tc>
        <w:tc>
          <w:tcPr>
            <w:tcW w:w="20" w:type="dxa"/>
            <w:vAlign w:val="bottom"/>
            <w:tcBorders>
              <w:top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E6E6E6"/>
            </w:tcBorders>
            <w:shd w:val="clear" w:color="auto" w:fill="E6E6E6"/>
          </w:tcPr>
          <w:p>
            <w:pPr>
              <w:spacing w:after="0" w:line="183" w:lineRule="exact"/>
              <w:rPr>
                <w:sz w:val="20"/>
                <w:szCs w:val="20"/>
                <w:color w:val="auto"/>
              </w:rPr>
            </w:pPr>
            <w:r>
              <w:rPr>
                <w:rFonts w:ascii="Times New Roman" w:cs="Times New Roman" w:eastAsia="Times New Roman" w:hAnsi="Times New Roman"/>
                <w:sz w:val="16"/>
                <w:szCs w:val="16"/>
                <w:color w:val="auto"/>
              </w:rPr>
              <w:t>Net Income Per Share - Basic</w:t>
            </w:r>
          </w:p>
        </w:tc>
        <w:tc>
          <w:tcPr>
            <w:tcW w:w="240" w:type="dxa"/>
            <w:vAlign w:val="bottom"/>
            <w:tcBorders>
              <w:top w:val="single" w:sz="8" w:color="E6E6E6"/>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bottom w:val="single" w:sz="8" w:color="auto"/>
            </w:tcBorders>
            <w:shd w:val="clear" w:color="auto" w:fill="E6E6E6"/>
          </w:tcPr>
          <w:p>
            <w:pPr>
              <w:spacing w:after="0"/>
              <w:rPr>
                <w:sz w:val="15"/>
                <w:szCs w:val="15"/>
                <w:color w:val="auto"/>
              </w:rPr>
            </w:pPr>
          </w:p>
        </w:tc>
        <w:tc>
          <w:tcPr>
            <w:tcW w:w="106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0.31</w:t>
            </w:r>
          </w:p>
        </w:tc>
        <w:tc>
          <w:tcPr>
            <w:tcW w:w="20" w:type="dxa"/>
            <w:vAlign w:val="bottom"/>
            <w:tcBorders>
              <w:top w:val="single" w:sz="8" w:color="auto"/>
            </w:tcBorders>
            <w:shd w:val="clear" w:color="auto" w:fill="E6E6E6"/>
          </w:tcPr>
          <w:p>
            <w:pPr>
              <w:spacing w:after="0"/>
              <w:rPr>
                <w:sz w:val="15"/>
                <w:szCs w:val="15"/>
                <w:color w:val="auto"/>
              </w:rPr>
            </w:pPr>
          </w:p>
        </w:tc>
        <w:tc>
          <w:tcPr>
            <w:tcW w:w="140" w:type="dxa"/>
            <w:vAlign w:val="bottom"/>
            <w:tcBorders>
              <w:top w:val="single" w:sz="8" w:color="E6E6E6"/>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6E6E6"/>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080" w:type="dxa"/>
            <w:vAlign w:val="bottom"/>
            <w:tcBorders>
              <w:top w:val="single" w:sz="8" w:color="auto"/>
              <w:bottom w:val="single" w:sz="8" w:color="auto"/>
            </w:tcBorders>
            <w:gridSpan w:val="2"/>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0.15</w:t>
            </w: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60" w:type="dxa"/>
            <w:vAlign w:val="bottom"/>
            <w:tcBorders>
              <w:top w:val="single" w:sz="8" w:color="E6E6E6"/>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60" w:type="dxa"/>
            <w:vAlign w:val="bottom"/>
            <w:tcBorders>
              <w:top w:val="single" w:sz="8" w:color="auto"/>
              <w:bottom w:val="single" w:sz="8" w:color="auto"/>
            </w:tcBorders>
            <w:shd w:val="clear" w:color="auto" w:fill="E6E6E6"/>
          </w:tcPr>
          <w:p>
            <w:pPr>
              <w:spacing w:after="0"/>
              <w:rPr>
                <w:sz w:val="15"/>
                <w:szCs w:val="15"/>
                <w:color w:val="auto"/>
              </w:rPr>
            </w:pPr>
          </w:p>
        </w:tc>
        <w:tc>
          <w:tcPr>
            <w:tcW w:w="88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0.05</w:t>
            </w:r>
          </w:p>
        </w:tc>
        <w:tc>
          <w:tcPr>
            <w:tcW w:w="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20" w:type="dxa"/>
            <w:vAlign w:val="bottom"/>
            <w:tcBorders>
              <w:top w:val="single" w:sz="8" w:color="E6E6E6"/>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60" w:type="dxa"/>
            <w:vAlign w:val="bottom"/>
            <w:tcBorders>
              <w:top w:val="single" w:sz="8" w:color="auto"/>
              <w:bottom w:val="single" w:sz="8" w:color="auto"/>
            </w:tcBorders>
            <w:shd w:val="clear" w:color="auto" w:fill="E6E6E6"/>
          </w:tcPr>
          <w:p>
            <w:pPr>
              <w:spacing w:after="0"/>
              <w:rPr>
                <w:sz w:val="15"/>
                <w:szCs w:val="15"/>
                <w:color w:val="auto"/>
              </w:rPr>
            </w:pPr>
          </w:p>
        </w:tc>
        <w:tc>
          <w:tcPr>
            <w:tcW w:w="440" w:type="dxa"/>
            <w:vAlign w:val="bottom"/>
            <w:tcBorders>
              <w:top w:val="single" w:sz="8" w:color="auto"/>
              <w:bottom w:val="single" w:sz="8" w:color="auto"/>
            </w:tcBorders>
            <w:gridSpan w:val="2"/>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0.16</w:t>
            </w:r>
          </w:p>
        </w:tc>
        <w:tc>
          <w:tcPr>
            <w:tcW w:w="56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107%</w:t>
            </w:r>
          </w:p>
        </w:tc>
        <w:tc>
          <w:tcPr>
            <w:tcW w:w="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40" w:type="dxa"/>
            <w:vAlign w:val="bottom"/>
            <w:tcBorders>
              <w:top w:val="single" w:sz="8" w:color="E6E6E6"/>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64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0.10</w:t>
            </w:r>
          </w:p>
        </w:tc>
        <w:tc>
          <w:tcPr>
            <w:tcW w:w="62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gridSpan w:val="4"/>
          </w:tcPr>
          <w:p>
            <w:pPr>
              <w:spacing w:after="0"/>
              <w:rPr>
                <w:sz w:val="19"/>
                <w:szCs w:val="19"/>
                <w:color w:val="auto"/>
              </w:rPr>
            </w:pPr>
          </w:p>
        </w:tc>
        <w:tc>
          <w:tcPr>
            <w:tcW w:w="10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0.30</w:t>
            </w:r>
          </w:p>
        </w:tc>
        <w:tc>
          <w:tcPr>
            <w:tcW w:w="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0.15</w:t>
            </w:r>
          </w:p>
        </w:tc>
        <w:tc>
          <w:tcPr>
            <w:tcW w:w="40" w:type="dxa"/>
            <w:vAlign w:val="bottom"/>
            <w:gridSpan w:val="2"/>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0.15</w:t>
            </w:r>
          </w:p>
        </w:tc>
        <w:tc>
          <w:tcPr>
            <w:tcW w:w="5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0.10</w:t>
            </w:r>
          </w:p>
        </w:tc>
        <w:tc>
          <w:tcPr>
            <w:tcW w:w="6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E6E6E6"/>
            </w:tcBorders>
            <w:shd w:val="clear" w:color="auto" w:fill="E6E6E6"/>
          </w:tcPr>
          <w:p>
            <w:pPr>
              <w:spacing w:after="0" w:line="183" w:lineRule="exact"/>
              <w:rPr>
                <w:sz w:val="20"/>
                <w:szCs w:val="20"/>
                <w:color w:val="auto"/>
              </w:rPr>
            </w:pPr>
            <w:r>
              <w:rPr>
                <w:rFonts w:ascii="Times New Roman" w:cs="Times New Roman" w:eastAsia="Times New Roman" w:hAnsi="Times New Roman"/>
                <w:sz w:val="16"/>
                <w:szCs w:val="16"/>
                <w:color w:val="auto"/>
              </w:rPr>
              <w:t>Weighted Average Number of Shares Outstanding – Basic</w:t>
            </w:r>
          </w:p>
        </w:tc>
        <w:tc>
          <w:tcPr>
            <w:tcW w:w="240" w:type="dxa"/>
            <w:vAlign w:val="bottom"/>
            <w:tcBorders>
              <w:top w:val="single" w:sz="8" w:color="E6E6E6"/>
            </w:tcBorders>
            <w:shd w:val="clear" w:color="auto" w:fill="E6E6E6"/>
          </w:tcPr>
          <w:p>
            <w:pPr>
              <w:spacing w:after="0"/>
              <w:rPr>
                <w:sz w:val="15"/>
                <w:szCs w:val="15"/>
                <w:color w:val="auto"/>
              </w:rPr>
            </w:pPr>
          </w:p>
        </w:tc>
        <w:tc>
          <w:tcPr>
            <w:tcW w:w="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06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236,827,774</w:t>
            </w:r>
          </w:p>
        </w:tc>
        <w:tc>
          <w:tcPr>
            <w:tcW w:w="20" w:type="dxa"/>
            <w:vAlign w:val="bottom"/>
            <w:shd w:val="clear" w:color="auto" w:fill="E6E6E6"/>
          </w:tcPr>
          <w:p>
            <w:pPr>
              <w:spacing w:after="0"/>
              <w:rPr>
                <w:sz w:val="15"/>
                <w:szCs w:val="15"/>
                <w:color w:val="auto"/>
              </w:rPr>
            </w:pPr>
          </w:p>
        </w:tc>
        <w:tc>
          <w:tcPr>
            <w:tcW w:w="1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080" w:type="dxa"/>
            <w:vAlign w:val="bottom"/>
            <w:tcBorders>
              <w:top w:val="single" w:sz="8" w:color="auto"/>
              <w:bottom w:val="single" w:sz="8" w:color="auto"/>
            </w:tcBorders>
            <w:gridSpan w:val="2"/>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237,927,867</w:t>
            </w: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6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160" w:type="dxa"/>
            <w:vAlign w:val="bottom"/>
            <w:tcBorders>
              <w:top w:val="single" w:sz="8" w:color="auto"/>
              <w:bottom w:val="single" w:sz="8" w:color="auto"/>
            </w:tcBorders>
            <w:shd w:val="clear" w:color="auto" w:fill="E6E6E6"/>
          </w:tcPr>
          <w:p>
            <w:pPr>
              <w:spacing w:after="0"/>
              <w:rPr>
                <w:sz w:val="15"/>
                <w:szCs w:val="15"/>
                <w:color w:val="auto"/>
              </w:rPr>
            </w:pPr>
          </w:p>
        </w:tc>
        <w:tc>
          <w:tcPr>
            <w:tcW w:w="880" w:type="dxa"/>
            <w:vAlign w:val="bottom"/>
            <w:tcBorders>
              <w:top w:val="single" w:sz="8" w:color="auto"/>
              <w:bottom w:val="single" w:sz="8" w:color="auto"/>
            </w:tcBorders>
            <w:shd w:val="clear" w:color="auto" w:fill="E6E6E6"/>
          </w:tcPr>
          <w:p>
            <w:pPr>
              <w:jc w:val="right"/>
              <w:spacing w:after="0" w:line="183" w:lineRule="exact"/>
              <w:rPr>
                <w:sz w:val="20"/>
                <w:szCs w:val="20"/>
                <w:color w:val="auto"/>
              </w:rPr>
            </w:pPr>
            <w:r>
              <w:rPr>
                <w:rFonts w:ascii="Times New Roman" w:cs="Times New Roman" w:eastAsia="Times New Roman" w:hAnsi="Times New Roman"/>
                <w:sz w:val="16"/>
                <w:szCs w:val="16"/>
                <w:color w:val="auto"/>
              </w:rPr>
              <w:t>236,713,056</w:t>
            </w:r>
          </w:p>
        </w:tc>
        <w:tc>
          <w:tcPr>
            <w:tcW w:w="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bottom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160" w:type="dxa"/>
            <w:vAlign w:val="bottom"/>
            <w:tcBorders>
              <w:top w:val="single" w:sz="8" w:color="auto"/>
            </w:tcBorders>
            <w:shd w:val="clear" w:color="auto" w:fill="E6E6E6"/>
          </w:tcPr>
          <w:p>
            <w:pPr>
              <w:spacing w:after="0"/>
              <w:rPr>
                <w:sz w:val="15"/>
                <w:szCs w:val="15"/>
                <w:color w:val="auto"/>
              </w:rPr>
            </w:pPr>
          </w:p>
        </w:tc>
        <w:tc>
          <w:tcPr>
            <w:tcW w:w="260" w:type="dxa"/>
            <w:vAlign w:val="bottom"/>
            <w:tcBorders>
              <w:top w:val="single" w:sz="8" w:color="auto"/>
            </w:tcBorders>
            <w:shd w:val="clear" w:color="auto" w:fill="E6E6E6"/>
          </w:tcPr>
          <w:p>
            <w:pPr>
              <w:spacing w:after="0"/>
              <w:rPr>
                <w:sz w:val="15"/>
                <w:szCs w:val="15"/>
                <w:color w:val="auto"/>
              </w:rPr>
            </w:pPr>
          </w:p>
        </w:tc>
        <w:tc>
          <w:tcPr>
            <w:tcW w:w="180" w:type="dxa"/>
            <w:vAlign w:val="bottom"/>
            <w:tcBorders>
              <w:top w:val="single" w:sz="8" w:color="auto"/>
            </w:tcBorders>
            <w:shd w:val="clear" w:color="auto" w:fill="E6E6E6"/>
          </w:tcPr>
          <w:p>
            <w:pPr>
              <w:spacing w:after="0"/>
              <w:rPr>
                <w:sz w:val="15"/>
                <w:szCs w:val="15"/>
                <w:color w:val="auto"/>
              </w:rPr>
            </w:pPr>
          </w:p>
        </w:tc>
        <w:tc>
          <w:tcPr>
            <w:tcW w:w="560" w:type="dxa"/>
            <w:vAlign w:val="bottom"/>
            <w:tcBorders>
              <w:top w:val="single" w:sz="8" w:color="auto"/>
            </w:tcBorders>
            <w:shd w:val="clear" w:color="auto" w:fill="E6E6E6"/>
          </w:tcPr>
          <w:p>
            <w:pPr>
              <w:spacing w:after="0"/>
              <w:rPr>
                <w:sz w:val="15"/>
                <w:szCs w:val="15"/>
                <w:color w:val="auto"/>
              </w:rPr>
            </w:pPr>
          </w:p>
        </w:tc>
        <w:tc>
          <w:tcPr>
            <w:tcW w:w="0" w:type="dxa"/>
            <w:vAlign w:val="bottom"/>
            <w:tcBorders>
              <w:top w:val="single" w:sz="8" w:color="auto"/>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640" w:type="dxa"/>
            <w:vAlign w:val="bottom"/>
            <w:tcBorders>
              <w:top w:val="single" w:sz="8" w:color="auto"/>
            </w:tcBorders>
            <w:shd w:val="clear" w:color="auto" w:fill="E6E6E6"/>
          </w:tcPr>
          <w:p>
            <w:pPr>
              <w:spacing w:after="0"/>
              <w:rPr>
                <w:sz w:val="15"/>
                <w:szCs w:val="15"/>
                <w:color w:val="auto"/>
              </w:rPr>
            </w:pPr>
          </w:p>
        </w:tc>
        <w:tc>
          <w:tcPr>
            <w:tcW w:w="620" w:type="dxa"/>
            <w:vAlign w:val="bottom"/>
            <w:tcBorders>
              <w:top w:val="single" w:sz="8" w:color="auto"/>
            </w:tcBorders>
            <w:shd w:val="clear" w:color="auto" w:fill="E6E6E6"/>
          </w:tcPr>
          <w:p>
            <w:pPr>
              <w:spacing w:after="0"/>
              <w:rPr>
                <w:sz w:val="15"/>
                <w:szCs w:val="15"/>
                <w:color w:val="auto"/>
              </w:rPr>
            </w:pPr>
          </w:p>
        </w:tc>
        <w:tc>
          <w:tcPr>
            <w:tcW w:w="0" w:type="dxa"/>
            <w:vAlign w:val="bottom"/>
            <w:tcBorders>
              <w:top w:val="single" w:sz="8" w:color="auto"/>
            </w:tcBorders>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241,925,957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239,827,390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238,080,030</w:t>
            </w: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rPr>
                <w:sz w:val="17"/>
                <w:szCs w:val="17"/>
                <w:color w:val="auto"/>
              </w:rPr>
            </w:pPr>
          </w:p>
        </w:tc>
        <w:tc>
          <w:tcPr>
            <w:tcW w:w="1180" w:type="dxa"/>
            <w:vAlign w:val="bottom"/>
            <w:gridSpan w:val="6"/>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7"/>
        </w:trPr>
        <w:tc>
          <w:tcPr>
            <w:tcW w:w="3820" w:type="dxa"/>
            <w:vAlign w:val="bottom"/>
            <w:tcBorders>
              <w:bottom w:val="single" w:sz="8" w:color="E6E6E6"/>
            </w:tcBorders>
          </w:tcPr>
          <w:p>
            <w:pPr>
              <w:spacing w:after="0"/>
              <w:rPr>
                <w:sz w:val="17"/>
                <w:szCs w:val="17"/>
                <w:color w:val="auto"/>
              </w:rPr>
            </w:pPr>
          </w:p>
        </w:tc>
        <w:tc>
          <w:tcPr>
            <w:tcW w:w="240" w:type="dxa"/>
            <w:vAlign w:val="bottom"/>
            <w:tcBorders>
              <w:bottom w:val="single" w:sz="8" w:color="E6E6E6"/>
            </w:tcBorders>
          </w:tcPr>
          <w:p>
            <w:pPr>
              <w:spacing w:after="0"/>
              <w:rPr>
                <w:sz w:val="17"/>
                <w:szCs w:val="17"/>
                <w:color w:val="auto"/>
              </w:rPr>
            </w:pPr>
          </w:p>
        </w:tc>
        <w:tc>
          <w:tcPr>
            <w:tcW w:w="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06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14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720" w:type="dxa"/>
            <w:vAlign w:val="bottom"/>
            <w:tcBorders>
              <w:bottom w:val="single" w:sz="8" w:color="E6E6E6"/>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5"/>
          </w:tcPr>
          <w:p>
            <w:pPr>
              <w:jc w:val="right"/>
              <w:ind w:right="100"/>
              <w:spacing w:after="0" w:line="197" w:lineRule="exact"/>
              <w:rPr>
                <w:sz w:val="20"/>
                <w:szCs w:val="20"/>
                <w:color w:val="auto"/>
              </w:rPr>
            </w:pPr>
            <w:r>
              <w:rPr>
                <w:rFonts w:ascii="Times New Roman" w:cs="Times New Roman" w:eastAsia="Times New Roman" w:hAnsi="Times New Roman"/>
                <w:sz w:val="18"/>
                <w:szCs w:val="18"/>
                <w:b w:val="1"/>
                <w:bCs w:val="1"/>
                <w:color w:val="auto"/>
              </w:rPr>
              <w:t>(in</w:t>
            </w:r>
          </w:p>
        </w:tc>
        <w:tc>
          <w:tcPr>
            <w:tcW w:w="1020" w:type="dxa"/>
            <w:vAlign w:val="bottom"/>
            <w:tcBorders>
              <w:bottom w:val="single" w:sz="8" w:color="auto"/>
            </w:tcBorders>
            <w:gridSpan w:val="5"/>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820" w:type="dxa"/>
            <w:vAlign w:val="bottom"/>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1360" w:type="dxa"/>
            <w:vAlign w:val="bottom"/>
            <w:gridSpan w:val="9"/>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2,537,012</w:t>
            </w:r>
          </w:p>
        </w:tc>
        <w:tc>
          <w:tcPr>
            <w:tcW w:w="2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1260" w:type="dxa"/>
            <w:vAlign w:val="bottom"/>
            <w:gridSpan w:val="3"/>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2,490,057</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582,963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660,751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Streams</w:t>
      </w:r>
    </w:p>
    <w:p>
      <w:pPr>
        <w:spacing w:after="0" w:line="234"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The Company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to the Year Ended December 31,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Revenue for the year ended December 31, 2024 was $1,137,141 thousand, up 8% from $1,054,553 thousand for the year ended December 31, 2023. The increase in revenue was largely due to legalization of adult-use sales in Maryland that began on July 1, 2023 and in Ohio that began on August 6, 2024, continued growth in existing markets, particularly in New York, as well as revenue generated from new Retail stores opened in the current period, partially offset by price compression.</w:t>
      </w:r>
    </w:p>
    <w:p>
      <w:pPr>
        <w:spacing w:after="0" w:line="18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The Company generated revenue from 101 Retail locations during the year compared to 91 in the prior year. During the year ended December 31, 2024, Retail revenue made up 73% of total revenue as compared to 75% of total revenue in 2023. Since December 31, 2023, the Company opened seven new Retail locations in Florida, one in Minnesota, one in Nevada, and one in New York that contributed to the increase in Retail revenues.</w:t>
      </w:r>
    </w:p>
    <w:p>
      <w:pPr>
        <w:spacing w:after="0" w:line="184" w:lineRule="exact"/>
        <w:rPr>
          <w:sz w:val="20"/>
          <w:szCs w:val="20"/>
          <w:color w:val="auto"/>
        </w:rPr>
      </w:pPr>
    </w:p>
    <w:p>
      <w:pPr>
        <w:ind w:right="340" w:firstLine="720"/>
        <w:spacing w:after="0" w:line="277"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 was the launch of adult-use sales in Maryland and Ohio, as described above, as well as continued growth in existing markets, particularly in New York, partially offset by price</w:t>
      </w:r>
    </w:p>
    <w:p>
      <w:pPr>
        <w:sectPr>
          <w:pgSz w:w="12240" w:h="15840" w:orient="portrait"/>
          <w:cols w:equalWidth="0" w:num="1">
            <w:col w:w="10800"/>
          </w:cols>
          <w:pgMar w:left="720" w:top="930" w:right="720" w:bottom="175" w:gutter="0" w:footer="0" w:header="0"/>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800"/>
          </w:cols>
          <w:pgMar w:left="720" w:top="930" w:right="720" w:bottom="175" w:gutter="0" w:footer="0" w:header="0"/>
          <w:type w:val="continuous"/>
        </w:sectPr>
      </w:pPr>
    </w:p>
    <w:bookmarkStart w:id="61" w:name="page62"/>
    <w:bookmarkEnd w:id="61"/>
    <w:p>
      <w:pPr>
        <w:ind w:right="620"/>
        <w:spacing w:after="0" w:line="277" w:lineRule="auto"/>
        <w:rPr>
          <w:sz w:val="20"/>
          <w:szCs w:val="20"/>
          <w:color w:val="auto"/>
        </w:rPr>
      </w:pPr>
      <w:r>
        <w:rPr>
          <w:rFonts w:ascii="Times New Roman" w:cs="Times New Roman" w:eastAsia="Times New Roman" w:hAnsi="Times New Roman"/>
          <w:sz w:val="20"/>
          <w:szCs w:val="20"/>
          <w:color w:val="auto"/>
        </w:rPr>
        <w:t>compression. During the year ended December 31, 2024, Consumer Packaged Goods revenue made up 27% of total revenue as compared to 25% of total revenue in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2024 was $536,032 thousand, up 2% from $528,058 thousand for the year ended December 31, 2023, driven by increased volume from open and operating Retail stores, and new Retail store openings in Florida, Minnesota, Nevada, and New York.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Gross profit for the year ended December 31, 2024 was $601,109 thousand, representing a gross margin on the sale of branded cannabis flower and processed and packaged products including concentrates, edibles, topicals and other cannabis products, of 53%. This is compared to gross profit for the year ended December 31, 2023 of $526,495 thousand, or a 50% gross margin. The increase in gross profit (dollars) was directly attributable to the revenue increase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expenses for the year ended December 31, 2024 were $376,684 thousand or 33% of revenues, net of discounts,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resulting in an increase of $34,821 thousand compared to the prior year. Total expenses for the year ended December 31, 2023 were</w:t>
      </w:r>
    </w:p>
    <w:p>
      <w:pPr>
        <w:spacing w:after="0"/>
        <w:rPr>
          <w:sz w:val="20"/>
          <w:szCs w:val="20"/>
          <w:color w:val="auto"/>
        </w:rPr>
      </w:pPr>
      <w:r>
        <w:rPr>
          <w:rFonts w:ascii="Times New Roman" w:cs="Times New Roman" w:eastAsia="Times New Roman" w:hAnsi="Times New Roman"/>
          <w:sz w:val="20"/>
          <w:szCs w:val="20"/>
          <w:color w:val="auto"/>
        </w:rPr>
        <w:t>$341,863 thousand or 32% of revenues, net of discounts. The increase in total expenses was attributable to Retail salaries and benefits,</w:t>
      </w:r>
    </w:p>
    <w:p>
      <w:pPr>
        <w:spacing w:after="0"/>
        <w:rPr>
          <w:sz w:val="20"/>
          <w:szCs w:val="20"/>
          <w:color w:val="auto"/>
        </w:rPr>
      </w:pPr>
      <w:r>
        <w:rPr>
          <w:rFonts w:ascii="Times New Roman" w:cs="Times New Roman" w:eastAsia="Times New Roman" w:hAnsi="Times New Roman"/>
          <w:sz w:val="20"/>
          <w:szCs w:val="20"/>
          <w:color w:val="auto"/>
        </w:rPr>
        <w:t>depreciation expense and other operational and facility expenses mainly as a result of the Company’s addition of ten new Retail stores</w:t>
      </w:r>
    </w:p>
    <w:p>
      <w:pPr>
        <w:spacing w:after="0"/>
        <w:rPr>
          <w:sz w:val="20"/>
          <w:szCs w:val="20"/>
          <w:color w:val="auto"/>
        </w:rPr>
      </w:pPr>
      <w:r>
        <w:rPr>
          <w:rFonts w:ascii="Times New Roman" w:cs="Times New Roman" w:eastAsia="Times New Roman" w:hAnsi="Times New Roman"/>
          <w:sz w:val="20"/>
          <w:szCs w:val="20"/>
          <w:color w:val="auto"/>
        </w:rPr>
        <w:t>in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Total other expense for the year ended December 31, 2024 was $24,286 thousand, a decrease of $4,297 thousand, primarily due to fair value adjustments on the Company’s equity investments partially offset by increased interest cost due to a reduction in capitalized interest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2024 was $200,139 thousand, an increase of $44,090 thousand compared to the year ended December 31, 2023.</w:t>
      </w:r>
    </w:p>
    <w:p>
      <w:pPr>
        <w:spacing w:after="0" w:line="159"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$33,312 thousand and $28,189 thousand for the years ended December 31, 2024 and 2023, respectively, other non-operating items of $371 thousand and $12,228 thousand, Adjusted Earnings Before Interest, Taxes, Depreciation, and Amortization (“Adjusted EBITDA”) was $371,318 thousand and $325,839 thousand for the years ended December 31, 2024 and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2024, federal and state income tax expense totaled $126,288 thousand compared to expense of $118,630 thousand for the year ended December 31, 2023.</w:t>
      </w:r>
    </w:p>
    <w:p>
      <w:pPr>
        <w:spacing w:after="0" w:line="178"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$126,288 thousand for the year ended December 31, 2024 includes current tax expense of $132,338 thousand and deferred tax expense of $(6,050) thousand in the current period.</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800"/>
          </w:cols>
          <w:pgMar w:left="720" w:top="930" w:right="720" w:bottom="17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to the Year Ended December 31,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Revenue for the year ended December 31, 2023 was $1,054,553 thousand, up 4% from $1,017,375 thousand for the year ended December 31, 2022. The increase in revenue was largely due to legalization of adult-use sales in New Jersey that began on April 21, 2022, Rhode Island that began on December 1, 2022, Connecticut that began on January 10, 2023 and Maryland that began on July 1, 2023, continued growth in existing markets, as well as revenue generated from new Retail stores opened in the current period, partially offset by price compression.</w:t>
      </w:r>
    </w:p>
    <w:p>
      <w:pPr>
        <w:spacing w:after="0" w:line="187"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The Company generated revenue from 91 Retail locations during 2023 compared to 77 in the prior year. During the year ended December 31, 2023, Retail revenue made up 75% of total revenue as compared to 75% of total revenue in 2022. During 2023, the Company opened seven new Retail locations in Florida, two in Nevada, two in Virginia, two in Pennsylvania, one in Minnesota, and one in New York that contributed to the increase in Retail revenues. The Company also disposed of one Retail store in Massachusetts.</w:t>
      </w:r>
    </w:p>
    <w:p>
      <w:pPr>
        <w:spacing w:after="0" w:line="18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revenues was the launch of adult-use sales in New Jersey, Connecticut, and Maryland as described above, as well as continued growth in existing markets partially offset by price compression. Consumer Packaged Goods revenue made up 25% of total revenues in 2023 and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2023 was $528,058 thousand, up 3% from $513,412 thousand for the year ended December 31, 2022, driven by increased volume from open and operating Retail stores, new Retail store openings in Florida, Nevada, Virginia, Pennsylvania, Minnesota and New York, and legalization of adult-use sales in New Jersey, Rhode Island, Connecticut, and Maryland.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200" w:firstLine="720"/>
        <w:spacing w:after="0" w:line="252" w:lineRule="auto"/>
        <w:rPr>
          <w:sz w:val="20"/>
          <w:szCs w:val="20"/>
          <w:color w:val="auto"/>
        </w:rPr>
      </w:pPr>
      <w:r>
        <w:rPr>
          <w:rFonts w:ascii="Times New Roman" w:cs="Times New Roman" w:eastAsia="Times New Roman" w:hAnsi="Times New Roman"/>
          <w:sz w:val="20"/>
          <w:szCs w:val="20"/>
          <w:color w:val="auto"/>
        </w:rPr>
        <w:t>Gross profit for the year ended December 31, 2023 was $526,495 thousand, representing a gross margin on the sale of branded cannabis flower and processed and packaged products including concentrates, edibles, topicals and other cannabis products, of 50%. This is compared to gross profit for the year ended December 31, 2022 of $503,963 thousand or a 50% gross margin. The increase in gross profit (dollars) was directly attributable to the revenue increase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Total expenses for the year ended December 31, 2023 were $341,863 thousand or 32% of revenues, net of discounts, resulting in a decrease of $41,036 thousand compared to the prior year. Total expenses for the year ended December 31, 2022 were $382,899 thousand or 38% of revenues, net of discounts. The decrease in total expenses was primarily due to the impairment charges of $88,503 thousand associated with the Company’s goodwill and intangible assets, partially offset by the impact of acquisition related non-cash credits, both recorded during the year ended December 31, 2022. The net decrease was partially offset by an increase in expense attributable to retail salaries and benefits, depreciation expense and other operational and facility expenses mainly as a result of the launch of adult-use sales in New Jersey, Rhode Island, Connecticut and Maryland, as well as the additional Retail stores opened during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Total other income (expense) for the year ended December 31, 2023 was $(28,583) thousand, a change of $15,951 thousand, primarily due to fair value adjustments on the Company’s equity investments.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800"/>
          </w:cols>
          <w:pgMar w:left="720" w:top="930" w:right="720" w:bottom="175"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2023 was $156,049 thousand, an increase of $47,617 thousand compared to the year ended December 31, 2022.</w:t>
      </w:r>
    </w:p>
    <w:p>
      <w:pPr>
        <w:spacing w:after="0" w:line="159"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$28,189 thousand and $27,140 thousand for the years ended December 31, 2023 and 2022, respectively, as well as other nonoperating items of $12,228 thousand and $(21,893) thousand, respectively, and impairment of goodwill and intangible assets of $0 thousand and $88,503 thousand, respectively, Adjusted Earnings Before Interest, Taxes, Depreciation, and Amortization (“Adjusted EBITDA”) was $325,839 thousand and $311,478 thousand for the years ended December 31, 2023 and 2022,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2023, federal and state income tax expense totaled $118,630 thousand compared to expense of $94,777 thousand for the year ended December 31, 2022.</w:t>
      </w:r>
    </w:p>
    <w:p>
      <w:pPr>
        <w:spacing w:after="0" w:line="178" w:lineRule="exact"/>
        <w:rPr>
          <w:sz w:val="20"/>
          <w:szCs w:val="20"/>
          <w:color w:val="auto"/>
        </w:rPr>
      </w:pPr>
    </w:p>
    <w:p>
      <w:pPr>
        <w:ind w:right="5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$118,630 thousand for the year ended December 31, 2023 includes current tax expense of $133,073 thousand and deferred tax benefit of $(14,443) thousand in the current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 Compared with Year Ended December 31,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p>
      <w:pPr>
        <w:spacing w:after="0" w:line="228" w:lineRule="exact"/>
        <w:rPr>
          <w:sz w:val="20"/>
          <w:szCs w:val="20"/>
          <w:color w:val="auto"/>
        </w:rPr>
      </w:pPr>
    </w:p>
    <w:p>
      <w:pPr>
        <w:ind w:right="100" w:firstLine="720"/>
        <w:spacing w:after="0" w:line="247" w:lineRule="auto"/>
        <w:rPr>
          <w:sz w:val="20"/>
          <w:szCs w:val="20"/>
          <w:color w:val="auto"/>
        </w:rPr>
      </w:pPr>
      <w:r>
        <w:rPr>
          <w:rFonts w:ascii="Times New Roman" w:cs="Times New Roman" w:eastAsia="Times New Roman" w:hAnsi="Times New Roman"/>
          <w:sz w:val="20"/>
          <w:szCs w:val="20"/>
          <w:color w:val="auto"/>
        </w:rPr>
        <w:t>Revenue for the year ended December 31, 2022 was $1,017,375 thousand, up 14% from $893,560 thousand for the year ended December 31, 2021, driven by contributions from both Retail and Consumer Packaged Goods, largely due to continued growth in New Jersey, Illinois, Minnesota and Virginia. Key performance drivers for the Retail revenues in 2022 were: legalization of adult-use sales in New Jersey, which began on April 21, 2022, increased store traffic to Green Thumb’s open and operating Retail stores, particularly in Illinois, and new store openings including acquired stores, particularly in Minnesota, Massachusetts, Virginia, Rhode Island and Maryland.</w:t>
      </w:r>
    </w:p>
    <w:p>
      <w:pPr>
        <w:spacing w:after="0" w:line="190" w:lineRule="exact"/>
        <w:rPr>
          <w:sz w:val="20"/>
          <w:szCs w:val="20"/>
          <w:color w:val="auto"/>
        </w:rPr>
      </w:pPr>
    </w:p>
    <w:p>
      <w:pPr>
        <w:ind w:right="440" w:firstLine="720"/>
        <w:spacing w:after="0" w:line="252" w:lineRule="auto"/>
        <w:rPr>
          <w:sz w:val="20"/>
          <w:szCs w:val="20"/>
          <w:color w:val="auto"/>
        </w:rPr>
      </w:pPr>
      <w:r>
        <w:rPr>
          <w:rFonts w:ascii="Times New Roman" w:cs="Times New Roman" w:eastAsia="Times New Roman" w:hAnsi="Times New Roman"/>
          <w:sz w:val="20"/>
          <w:szCs w:val="20"/>
          <w:color w:val="auto"/>
        </w:rPr>
        <w:t>The Company generated revenue from 77 Retail locations during 2022 compared to 73 in the prior year. During the year ended December 31, 2022, Retail revenue made up 75% of total revenue as compared to 69% of total revenue in 2021. Since December 31, 2021, the Company acquired one Retail store in Illinois, opened two new Retail locations in Virginia and one in Minnesota that contributed to the increase in Retail revenues.</w:t>
      </w:r>
    </w:p>
    <w:p>
      <w:pPr>
        <w:spacing w:after="0" w:line="18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key drivers for the increase in Consumer Packaged Goods revenues was increased sales in New Jersey due to legalization of adult-use sales that began on April 21, 2022, and growth in Illinois and Virginia. Consumer Packaged Goods revenue made up 25% of total revenues in 2022 as compared to 31% in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p>
      <w:pPr>
        <w:spacing w:after="0" w:line="228"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Cost of goods sold are derived from Retail purchases made by the Company from its third-party licensed producers operating within our state markets and costs related to the internal cultivation and production of cannabis. Cost of goods sold for the year ended December 31, 2022 was $513,412 thousand, up 28% from $401,631 thousand for the year ended December 31, 2021, driven by increased volume from open and operating Retail stores, new and acquired Retail store openings in Illinois, Minnesota and Virginia, legalization of adult-use sales in New Jersey, and expansion of the consumer products sales primarily in New Jersey and Illinois as described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200" w:firstLine="720"/>
        <w:spacing w:after="0" w:line="249" w:lineRule="auto"/>
        <w:rPr>
          <w:sz w:val="20"/>
          <w:szCs w:val="20"/>
          <w:color w:val="auto"/>
        </w:rPr>
      </w:pPr>
      <w:r>
        <w:rPr>
          <w:rFonts w:ascii="Times New Roman" w:cs="Times New Roman" w:eastAsia="Times New Roman" w:hAnsi="Times New Roman"/>
          <w:sz w:val="20"/>
          <w:szCs w:val="20"/>
          <w:color w:val="auto"/>
        </w:rPr>
        <w:t>Gross profit for the year ended December 31, 2022 was $503,963 thousand, representing a gross margin on the sale of branded cannabis flower and processed and packaged products including concentrates, edibles, topicals and other cannabis products, of 50%. This is compared to gross profit for the year ended December 31, 2021 of $491,929 thousand or a 55% gross margin. The increase in gross profit (dollars) was directly attributable to the revenue increase as described above. The decline in gross margin (percent) was primarily driven by price compression.</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800"/>
          </w:cols>
          <w:pgMar w:left="720" w:top="932" w:right="720" w:bottom="175"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Total expenses for the year ended December 31, 2022 were $382,899 thousand or 38% of revenues, net of discounts, resulting in an increase of $105,812 thousand compared to the prior year. Total expenses for the year ended December 31, 2021 were $277,087 thousand or 31% of revenues, net of discounts. The increase in total expenses was primarily due to an impairment charge to goodwill of $57,372 thousand and an impairment charge associated with the Company’s trade name intangible assets of $31,131 thousand. The remaining increase is attributable to Retail salaries and benefits, stock-based compensation expense, depreciation expense and other operational and facility expenses mainly as a result of the Company’s addition of three new and one acquired Retail store during 2022 as well as the five Retail stores associated with LeafLine Industries, LLC, which were acquired on December 30, 2021. In addition, an increase in intangible amortization expense and corporate staff salaries also contributed to the overall increase in total expenses, which was partially offset by the remeasurement of the Company’s contingent consideration arrangements associated with two acquisitions that occurred in 2021. The reduction in expenses as a percentage of revenue was attributable to measures deployed to control variable expenses as well as inherent operating leverage caused by the significant increase in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(Expense)</w:t>
      </w:r>
    </w:p>
    <w:p>
      <w:pPr>
        <w:spacing w:after="0" w:line="228" w:lineRule="exact"/>
        <w:rPr>
          <w:sz w:val="20"/>
          <w:szCs w:val="20"/>
          <w:color w:val="auto"/>
        </w:rPr>
      </w:pPr>
    </w:p>
    <w:p>
      <w:pPr>
        <w:jc w:val="both"/>
        <w:ind w:right="200" w:firstLine="720"/>
        <w:spacing w:after="0" w:line="258" w:lineRule="auto"/>
        <w:rPr>
          <w:sz w:val="20"/>
          <w:szCs w:val="20"/>
          <w:color w:val="auto"/>
        </w:rPr>
      </w:pPr>
      <w:r>
        <w:rPr>
          <w:rFonts w:ascii="Times New Roman" w:cs="Times New Roman" w:eastAsia="Times New Roman" w:hAnsi="Times New Roman"/>
          <w:sz w:val="20"/>
          <w:szCs w:val="20"/>
          <w:color w:val="auto"/>
        </w:rPr>
        <w:t>Total other income (expense) for the year ended December 31, 2022 was $(12,632) thousand, a change of $2,765 thousand, primarily due to fair value adjustments on the Company’s equity investments, partially offset by favorable fair value adjustments on the Company’s warrant liability.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Before Provision for Income Taxes and Non-Controlling Interest</w:t>
      </w:r>
    </w:p>
    <w:p>
      <w:pPr>
        <w:spacing w:after="0" w:line="228" w:lineRule="exact"/>
        <w:rPr>
          <w:sz w:val="20"/>
          <w:szCs w:val="20"/>
          <w:color w:val="auto"/>
        </w:rPr>
      </w:pPr>
    </w:p>
    <w:p>
      <w:pPr>
        <w:ind w:right="180" w:firstLine="720"/>
        <w:spacing w:after="0" w:line="277" w:lineRule="auto"/>
        <w:rPr>
          <w:sz w:val="20"/>
          <w:szCs w:val="20"/>
          <w:color w:val="auto"/>
        </w:rPr>
      </w:pPr>
      <w:r>
        <w:rPr>
          <w:rFonts w:ascii="Times New Roman" w:cs="Times New Roman" w:eastAsia="Times New Roman" w:hAnsi="Times New Roman"/>
          <w:sz w:val="20"/>
          <w:szCs w:val="20"/>
          <w:color w:val="auto"/>
        </w:rPr>
        <w:t>Income before provision for income taxes and non-controlling interest for the year ended December 31, 2022 was $108,432 thousand, a decrease of $96,543 thousand compared to the year ended December 31, 2021.</w:t>
      </w:r>
    </w:p>
    <w:p>
      <w:pPr>
        <w:spacing w:after="0" w:line="159"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presented under the heading “Non-GAAP Measures” below, after adjusting for non-cash equity incentive compensation of $27,140 thousand and $19,600 thousand for the years ended December 31, 2022 and 2021, respectively, as well as other nonoperating items of $(21,893) thousand and $4,934 thousand, respectively, and impairment of goodwill and intangible assets of $88,503 thousand and $0 thousand, respectively, Adjusted EBITDA was $311,478 thousand and $307,834 thousand for the years ended December 31, 2022 and 2021,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420" w:firstLine="720"/>
        <w:spacing w:after="0" w:line="258" w:lineRule="auto"/>
        <w:rPr>
          <w:sz w:val="20"/>
          <w:szCs w:val="20"/>
          <w:color w:val="auto"/>
        </w:rPr>
      </w:pPr>
      <w:r>
        <w:rPr>
          <w:rFonts w:ascii="Times New Roman" w:cs="Times New Roman" w:eastAsia="Times New Roman" w:hAnsi="Times New Roman"/>
          <w:sz w:val="20"/>
          <w:szCs w:val="20"/>
          <w:color w:val="auto"/>
        </w:rPr>
        <w:t>Income tax expense is recognized based on the expected tax payable on the taxable income for the year, using tax rates enacted or substantively enacted at year-end. For the year ended December 31, 2022, federal and state income tax expense totaled $94,777 thousand compared to expense of $124,612 thousand for the year ended December 31, 2021.</w:t>
      </w:r>
    </w:p>
    <w:p>
      <w:pPr>
        <w:spacing w:after="0" w:line="178" w:lineRule="exact"/>
        <w:rPr>
          <w:sz w:val="20"/>
          <w:szCs w:val="20"/>
          <w:color w:val="auto"/>
        </w:rPr>
      </w:pPr>
    </w:p>
    <w:p>
      <w:pPr>
        <w:ind w:right="640" w:firstLine="720"/>
        <w:spacing w:after="0" w:line="277" w:lineRule="auto"/>
        <w:rPr>
          <w:sz w:val="20"/>
          <w:szCs w:val="20"/>
          <w:color w:val="auto"/>
        </w:rPr>
      </w:pPr>
      <w:r>
        <w:rPr>
          <w:rFonts w:ascii="Times New Roman" w:cs="Times New Roman" w:eastAsia="Times New Roman" w:hAnsi="Times New Roman"/>
          <w:sz w:val="20"/>
          <w:szCs w:val="20"/>
          <w:color w:val="auto"/>
        </w:rPr>
        <w:t>The net expense of $94,777 thousand for the year ended December 31, 2022 includes current tax expense of $142,861 thousand and deferred tax benefit of $(48,084) thousand in the current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Results of Operation by Segment</w:t>
      </w:r>
    </w:p>
    <w:p>
      <w:pPr>
        <w:spacing w:after="0" w:line="230"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revenues net of sales discounts by segment for the years ended December 31, 2024, 2023 and 2022:</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60" w:type="dxa"/>
            <w:vAlign w:val="bottom"/>
            <w:gridSpan w:val="5"/>
          </w:tcPr>
          <w:p>
            <w:pPr>
              <w:jc w:val="center"/>
              <w:ind w:left="8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20" w:type="dxa"/>
            <w:vAlign w:val="bottom"/>
          </w:tcPr>
          <w:p>
            <w:pPr>
              <w:spacing w:after="0"/>
              <w:rPr>
                <w:sz w:val="17"/>
                <w:szCs w:val="17"/>
                <w:color w:val="auto"/>
              </w:rPr>
            </w:pPr>
          </w:p>
        </w:tc>
        <w:tc>
          <w:tcPr>
            <w:tcW w:w="160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Borders>
              <w:top w:val="single" w:sz="8" w:color="auto"/>
            </w:tcBorders>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4"/>
                <w:szCs w:val="14"/>
                <w:color w:val="auto"/>
              </w:rPr>
            </w:pPr>
          </w:p>
        </w:tc>
        <w:tc>
          <w:tcPr>
            <w:tcW w:w="15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89"/>
              </w:rPr>
              <w:t xml:space="preserve">$ Change </w:t>
            </w:r>
            <w:r>
              <w:rPr>
                <w:rFonts w:ascii="Times New Roman" w:cs="Times New Roman" w:eastAsia="Times New Roman" w:hAnsi="Times New Roman"/>
                <w:sz w:val="32"/>
                <w:szCs w:val="32"/>
                <w:b w:val="1"/>
                <w:bCs w:val="1"/>
                <w:color w:val="auto"/>
                <w:w w:val="89"/>
                <w:vertAlign w:val="subscript"/>
              </w:rPr>
              <w:t>% Change</w:t>
            </w:r>
          </w:p>
        </w:tc>
        <w:tc>
          <w:tcPr>
            <w:tcW w:w="20" w:type="dxa"/>
            <w:vAlign w:val="bottom"/>
            <w:tcBorders>
              <w:top w:val="single" w:sz="8" w:color="auto"/>
            </w:tcBorders>
            <w:vMerge w:val="restart"/>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tcBorders>
          </w:tcPr>
          <w:p>
            <w:pPr>
              <w:jc w:val="right"/>
              <w:ind w:right="32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ind w:right="26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bottom w:val="single" w:sz="8" w:color="auto"/>
            </w:tcBorders>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Retail</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Increase (Decrease)</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824,726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791,480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763,166</w:t>
            </w:r>
          </w:p>
        </w:tc>
        <w:tc>
          <w:tcPr>
            <w:tcW w:w="200" w:type="dxa"/>
            <w:vAlign w:val="bottom"/>
            <w:vMerge w:val="continue"/>
          </w:tcPr>
          <w:p>
            <w:pPr>
              <w:spacing w:after="0"/>
              <w:rPr>
                <w:sz w:val="16"/>
                <w:szCs w:val="16"/>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33,246</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6"/>
                <w:szCs w:val="16"/>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Consumer Packaged Goods</w:t>
            </w:r>
          </w:p>
        </w:tc>
        <w:tc>
          <w:tcPr>
            <w:tcW w:w="460" w:type="dxa"/>
            <w:vAlign w:val="bottom"/>
            <w:shd w:val="clear" w:color="auto" w:fill="E6E6E6"/>
          </w:tcPr>
          <w:p>
            <w:pPr>
              <w:spacing w:after="0"/>
              <w:rPr>
                <w:sz w:val="17"/>
                <w:szCs w:val="17"/>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648,388</w:t>
            </w:r>
          </w:p>
        </w:tc>
        <w:tc>
          <w:tcPr>
            <w:tcW w:w="180" w:type="dxa"/>
            <w:vAlign w:val="bottom"/>
            <w:shd w:val="clear" w:color="auto" w:fill="E6E6E6"/>
          </w:tcPr>
          <w:p>
            <w:pPr>
              <w:spacing w:after="0"/>
              <w:rPr>
                <w:sz w:val="17"/>
                <w:szCs w:val="17"/>
                <w:color w:val="auto"/>
              </w:rPr>
            </w:pPr>
          </w:p>
        </w:tc>
        <w:tc>
          <w:tcPr>
            <w:tcW w:w="1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559,480</w:t>
            </w:r>
          </w:p>
        </w:tc>
        <w:tc>
          <w:tcPr>
            <w:tcW w:w="18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495,101</w:t>
            </w:r>
          </w:p>
        </w:tc>
        <w:tc>
          <w:tcPr>
            <w:tcW w:w="200" w:type="dxa"/>
            <w:vAlign w:val="bottom"/>
            <w:shd w:val="clear" w:color="auto" w:fill="E6E6E6"/>
          </w:tcPr>
          <w:p>
            <w:pPr>
              <w:spacing w:after="0"/>
              <w:rPr>
                <w:sz w:val="17"/>
                <w:szCs w:val="17"/>
                <w:color w:val="auto"/>
              </w:rPr>
            </w:pPr>
          </w:p>
        </w:tc>
        <w:tc>
          <w:tcPr>
            <w:tcW w:w="88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16"/>
                <w:szCs w:val="16"/>
                <w:color w:val="auto"/>
              </w:rPr>
              <w:t>88,908</w:t>
            </w:r>
          </w:p>
        </w:tc>
        <w:tc>
          <w:tcPr>
            <w:tcW w:w="6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64,379</w:t>
            </w:r>
          </w:p>
        </w:tc>
        <w:tc>
          <w:tcPr>
            <w:tcW w:w="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5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Intersegment Eliminations</w:t>
            </w:r>
          </w:p>
        </w:tc>
        <w:tc>
          <w:tcPr>
            <w:tcW w:w="460" w:type="dxa"/>
            <w:vAlign w:val="bottom"/>
            <w:tcBorders>
              <w:bottom w:val="single" w:sz="8" w:color="E6E6E6"/>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(335,973)</w:t>
            </w:r>
          </w:p>
        </w:tc>
        <w:tc>
          <w:tcPr>
            <w:tcW w:w="180" w:type="dxa"/>
            <w:vAlign w:val="bottom"/>
            <w:tcBorders>
              <w:bottom w:val="single" w:sz="8" w:color="E6E6E6"/>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(296,407)</w:t>
            </w:r>
          </w:p>
        </w:tc>
        <w:tc>
          <w:tcPr>
            <w:tcW w:w="180" w:type="dxa"/>
            <w:vAlign w:val="bottom"/>
            <w:tcBorders>
              <w:bottom w:val="single" w:sz="8" w:color="E6E6E6"/>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(240,892)</w:t>
            </w:r>
          </w:p>
        </w:tc>
        <w:tc>
          <w:tcPr>
            <w:tcW w:w="200" w:type="dxa"/>
            <w:vAlign w:val="bottom"/>
            <w:tcBorders>
              <w:bottom w:val="single" w:sz="8" w:color="E6E6E6"/>
            </w:tcBorders>
          </w:tcPr>
          <w:p>
            <w:pPr>
              <w:spacing w:after="0"/>
              <w:rPr>
                <w:sz w:val="17"/>
                <w:szCs w:val="17"/>
                <w:color w:val="auto"/>
              </w:rPr>
            </w:pP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39,566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(55,515)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rPr>
              <w:t>Total Revenues, Net of Discounts</w:t>
            </w:r>
          </w:p>
        </w:tc>
        <w:tc>
          <w:tcPr>
            <w:tcW w:w="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1,137,141</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1,054,553</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tcBorders>
            <w:shd w:val="clear" w:color="auto" w:fill="E6E6E6"/>
          </w:tcPr>
          <w:p>
            <w:pPr>
              <w:spacing w:after="0"/>
              <w:rPr>
                <w:sz w:val="16"/>
                <w:szCs w:val="16"/>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1,017,375</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auto"/>
            </w:tcBorders>
            <w:shd w:val="clear" w:color="auto" w:fill="E6E6E6"/>
          </w:tcPr>
          <w:p>
            <w:pPr>
              <w:ind w:left="300"/>
              <w:spacing w:after="0"/>
              <w:rPr>
                <w:sz w:val="20"/>
                <w:szCs w:val="20"/>
                <w:color w:val="auto"/>
              </w:rPr>
            </w:pPr>
            <w:r>
              <w:rPr>
                <w:rFonts w:ascii="Times New Roman" w:cs="Times New Roman" w:eastAsia="Times New Roman" w:hAnsi="Times New Roman"/>
                <w:sz w:val="16"/>
                <w:szCs w:val="16"/>
                <w:b w:val="1"/>
                <w:bCs w:val="1"/>
                <w:color w:val="auto"/>
              </w:rPr>
              <w:t>82,588</w:t>
            </w:r>
          </w:p>
        </w:tc>
        <w:tc>
          <w:tcPr>
            <w:tcW w:w="6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20" w:type="dxa"/>
            <w:vAlign w:val="bottom"/>
            <w:tcBorders>
              <w:bottom w:val="single" w:sz="8" w:color="auto"/>
            </w:tcBorders>
            <w:shd w:val="clear" w:color="auto" w:fill="E6E6E6"/>
          </w:tcPr>
          <w:p>
            <w:pPr>
              <w:spacing w:after="0"/>
              <w:rPr>
                <w:sz w:val="16"/>
                <w:szCs w:val="16"/>
                <w:color w:val="auto"/>
              </w:rPr>
            </w:pPr>
          </w:p>
        </w:tc>
        <w:tc>
          <w:tcPr>
            <w:tcW w:w="2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37,178</w:t>
            </w:r>
          </w:p>
        </w:tc>
        <w:tc>
          <w:tcPr>
            <w:tcW w:w="7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800"/>
          </w:cols>
          <w:pgMar w:left="720" w:top="932" w:right="720" w:bottom="175"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2024 Compared with the Year Ended December 31, 2023</w:t>
      </w:r>
    </w:p>
    <w:p>
      <w:pPr>
        <w:spacing w:after="0" w:line="230"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Revenues, net of discounts, for the Retail segment were $824,726 thousand for the year ended December 31, 2024, an increase of $33,246 thousand or 4%, compared to the year ended December 31, 2023. The increase in revenue was largely due to the continued impact of adult-use sales in Maryland that began on July 1, 2023 and in Ohio, which began on August 6, 2024, increased store traffic to Green Thumb’s open and operating Retail stores, particularly in New York, and revenue generated from new Retail stores opened in the current period, partially offset by price compression.</w:t>
      </w:r>
    </w:p>
    <w:p>
      <w:pPr>
        <w:spacing w:after="0" w:line="187" w:lineRule="exact"/>
        <w:rPr>
          <w:sz w:val="20"/>
          <w:szCs w:val="20"/>
          <w:color w:val="auto"/>
        </w:rPr>
      </w:pPr>
    </w:p>
    <w:p>
      <w:pPr>
        <w:ind w:right="32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$648,388 thousand for the year ended December 31, 2024, an increase of $88,908 thousand or 16%, compared to the year ended December 31, 2023. The increase in revenue was largely due to the launch of adult-use sales in Maryland, and Ohio, as described above, as well as continued growth in existing markets, particularly in New York, partially offset by price compression.</w:t>
      </w:r>
    </w:p>
    <w:p>
      <w:pPr>
        <w:spacing w:after="0" w:line="194"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Intersegment eliminations associated with the Consumer Packaged Goods segment were $335,973 thousand for the year ended December 31, 2024, an increase of $39,566 thousand or 13% compared to the year ended December 31, 2023. The increase in intersegment eliminations was driven by increased intercompany sales to Company-owned Retail stores primarily in Florida, Maryland, Pennsylvania and New York. Consumer Packaged Goods revenues, net of intersegment eliminations, made up 27% of total revenues for the year ended December 31, 2024, as compared to 25% for the year ended December 31, 2023.</w:t>
      </w:r>
    </w:p>
    <w:p>
      <w:pPr>
        <w:spacing w:after="0" w:line="187" w:lineRule="exact"/>
        <w:rPr>
          <w:sz w:val="20"/>
          <w:szCs w:val="20"/>
          <w:color w:val="auto"/>
        </w:rPr>
      </w:pPr>
    </w:p>
    <w:p>
      <w:pPr>
        <w:ind w:right="800" w:firstLine="720"/>
        <w:spacing w:after="0" w:line="277"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2023 Compared with the Year Ended December 31, 2022</w:t>
      </w:r>
    </w:p>
    <w:p>
      <w:pPr>
        <w:spacing w:after="0" w:line="230" w:lineRule="exact"/>
        <w:rPr>
          <w:sz w:val="20"/>
          <w:szCs w:val="20"/>
          <w:color w:val="auto"/>
        </w:rPr>
      </w:pPr>
    </w:p>
    <w:p>
      <w:pPr>
        <w:ind w:right="220" w:firstLine="720"/>
        <w:spacing w:after="0" w:line="249" w:lineRule="auto"/>
        <w:rPr>
          <w:sz w:val="20"/>
          <w:szCs w:val="20"/>
          <w:color w:val="auto"/>
        </w:rPr>
      </w:pPr>
      <w:r>
        <w:rPr>
          <w:rFonts w:ascii="Times New Roman" w:cs="Times New Roman" w:eastAsia="Times New Roman" w:hAnsi="Times New Roman"/>
          <w:sz w:val="20"/>
          <w:szCs w:val="20"/>
          <w:color w:val="auto"/>
        </w:rPr>
        <w:t>Revenues, net of discounts, for the Retail segment were $791,480 thousand for the year ended December 31, 2023, an increase of $28,314 thousand or 4%, compared to the year ended December 31, 2022. The increase in revenue was largely due to legalization of adult-use sales in New Jersey, which began on April 21, 2022, Rhode Island which began on December 1, 2022, Connecticut, which began on January 10, 2023, and Maryland, which began on July 1, 2023, as well as revenue generated from new Retail stores opened in the current period, partially offset by price compression.</w:t>
      </w:r>
    </w:p>
    <w:p>
      <w:pPr>
        <w:spacing w:after="0" w:line="187" w:lineRule="exact"/>
        <w:rPr>
          <w:sz w:val="20"/>
          <w:szCs w:val="20"/>
          <w:color w:val="auto"/>
        </w:rPr>
      </w:pPr>
    </w:p>
    <w:p>
      <w:pPr>
        <w:ind w:right="50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$559,480 thousand for the year ended December 31, 2023, an increase of $64,379 thousand or 13%, compared to the year ended December 31, 2022. The increase in revenue was largely due to legalization of adult-use sales in New Jersey, Connecticut and Maryland as discussed above, partially offset by price compression.</w:t>
      </w:r>
    </w:p>
    <w:p>
      <w:pPr>
        <w:spacing w:after="0" w:line="184" w:lineRule="exact"/>
        <w:rPr>
          <w:sz w:val="20"/>
          <w:szCs w:val="20"/>
          <w:color w:val="auto"/>
        </w:rPr>
      </w:pPr>
    </w:p>
    <w:p>
      <w:pPr>
        <w:ind w:right="800" w:firstLine="720"/>
        <w:spacing w:after="0" w:line="277"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2022 Compared with the Year Ended December 31, 2021</w:t>
      </w:r>
    </w:p>
    <w:p>
      <w:pPr>
        <w:spacing w:after="0" w:line="230"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Revenues, net of discounts, for the Retail segment were $763,166 thousand for the year ended December 31, 2022, an increase of $148,427 thousand or 24%, compared to the year ended December 31, 2021.The increase in Retail revenues, net of discounts, was primarily driven by legalization of adult-use sales in New Jersey, which began on April 21, 2022, increased store traffic to Green Thumb’s open and operating Retail stores, particularly in Illinois, and new Retail store openings including acquired Retail stores, particularly in Minnesota, Virginia and Illinois.</w:t>
      </w:r>
    </w:p>
    <w:p>
      <w:pPr>
        <w:spacing w:after="0" w:line="187"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Revenues, net of discounts, for the Consumer Packaged Goods segment were $495,101 thousand for the year ended December 31, 2022, an increase of $27,843 thousand or 6%, compared to the year ended December 31, 2021. The increase in Consumer Packaged Goods revenues, net of discounts, was primarily driven by legalization of adult-use sales in New Jersey, which began on April 21, 2022 and continued growth in Illinois and Minnesota.</w:t>
      </w:r>
    </w:p>
    <w:p>
      <w:pPr>
        <w:spacing w:after="0" w:line="184" w:lineRule="exact"/>
        <w:rPr>
          <w:sz w:val="20"/>
          <w:szCs w:val="20"/>
          <w:color w:val="auto"/>
        </w:rPr>
      </w:pPr>
    </w:p>
    <w:p>
      <w:pPr>
        <w:ind w:right="800" w:firstLine="720"/>
        <w:spacing w:after="0" w:line="277" w:lineRule="auto"/>
        <w:rPr>
          <w:sz w:val="20"/>
          <w:szCs w:val="20"/>
          <w:color w:val="auto"/>
        </w:rPr>
      </w:pPr>
      <w:r>
        <w:rPr>
          <w:rFonts w:ascii="Times New Roman" w:cs="Times New Roman" w:eastAsia="Times New Roman" w:hAnsi="Times New Roman"/>
          <w:sz w:val="20"/>
          <w:szCs w:val="20"/>
          <w:color w:val="auto"/>
        </w:rPr>
        <w:t>Due to the vertically integrated nature of the business, the Company reviews its revenue at the Retail and Consumer Packaged Goods level while reviewing its operating results on a consolidated basis.</w:t>
      </w:r>
    </w:p>
    <w:p>
      <w:pPr>
        <w:sectPr>
          <w:pgSz w:w="12240" w:h="15840" w:orient="portrait"/>
          <w:cols w:equalWidth="0" w:num="1">
            <w:col w:w="10800"/>
          </w:cols>
          <w:pgMar w:left="720" w:top="930"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800"/>
          </w:cols>
          <w:pgMar w:left="720" w:top="930" w:right="720" w:bottom="17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auto"/>
        </w:rPr>
        <w:t>Drivers of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w:t>
      </w:r>
    </w:p>
    <w:p>
      <w:pPr>
        <w:spacing w:after="0" w:line="22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Company derives its revenue from two revenue streams: a Retail business in which it sells finished goods sourced from third-party cannabis manufacturers in addition to the Company’s own Consumer Packaged Goods products direct to the end consumer in its Retail stores; and a Consumer Packaged Goods business in which it manufactures, sells and distributes its portfolio of Consumer Packaged Goods brands including &amp;Shine, Beboe, Dogwalkers, Doctor Solomon’s, Good Green incredibles, and RYTHM, primarily to third-party retail customers, as well as direct-to-consumer delivery where allowed by state law.</w:t>
      </w:r>
    </w:p>
    <w:p>
      <w:pPr>
        <w:spacing w:after="0" w:line="187"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2024, revenue was contributed from Retail and Consumer Packaged Goods sales across California, Connecticut, Florida, Illinois, Maryland, Massachusetts, Minnesota, Nevada, New Jersey, New York, Ohio, Pennsylvania, Rhode Island and Virginia.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Gross Profit</w:t>
      </w:r>
    </w:p>
    <w:p>
      <w:pPr>
        <w:spacing w:after="0" w:line="228"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13"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the Company continued to focus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Expenses</w:t>
      </w:r>
    </w:p>
    <w:p>
      <w:pPr>
        <w:spacing w:after="0" w:line="228" w:lineRule="exact"/>
        <w:rPr>
          <w:sz w:val="20"/>
          <w:szCs w:val="20"/>
          <w:color w:val="auto"/>
        </w:rPr>
      </w:pPr>
    </w:p>
    <w:p>
      <w:pPr>
        <w:jc w:val="both"/>
        <w:ind w:right="40" w:firstLine="720"/>
        <w:spacing w:after="0" w:line="258" w:lineRule="auto"/>
        <w:rPr>
          <w:sz w:val="20"/>
          <w:szCs w:val="20"/>
          <w:color w:val="auto"/>
        </w:rPr>
      </w:pPr>
      <w:r>
        <w:rPr>
          <w:rFonts w:ascii="Times New Roman" w:cs="Times New Roman" w:eastAsia="Times New Roman" w:hAnsi="Times New Roman"/>
          <w:sz w:val="20"/>
          <w:szCs w:val="20"/>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78" w:lineRule="exact"/>
        <w:rPr>
          <w:sz w:val="20"/>
          <w:szCs w:val="20"/>
          <w:color w:val="auto"/>
        </w:rPr>
      </w:pPr>
    </w:p>
    <w:p>
      <w:pPr>
        <w:ind w:right="260" w:firstLine="720"/>
        <w:spacing w:after="0" w:line="252" w:lineRule="auto"/>
        <w:rPr>
          <w:sz w:val="20"/>
          <w:szCs w:val="20"/>
          <w:color w:val="auto"/>
        </w:rPr>
      </w:pPr>
      <w:r>
        <w:rPr>
          <w:rFonts w:ascii="Times New Roman" w:cs="Times New Roman" w:eastAsia="Times New Roman" w:hAnsi="Times New Roman"/>
          <w:sz w:val="20"/>
          <w:szCs w:val="20"/>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higher in the newer locations as the business continues to grow.</w:t>
      </w:r>
    </w:p>
    <w:p>
      <w:pPr>
        <w:spacing w:after="0" w:line="18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General and administrative expenses include costs incurred at the Company’s corporate offices, primarily related to back office personnel costs, including salaries, incentive compensation, benefits, stock-based compensation and other professional service costs, and fair value adjustments on the Company’s contingent consideration arrangements. The Company expects to continue to invest considerably in this area, in particular, stock-based compensation expense is expected to continue to increase in order to support the business by attracting and retaining top-tier talent. General and administrative expenses also include professional fees associated with being a publicly traded company in Canada and registered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22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of 1986, as amended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ectPr>
          <w:pgSz w:w="12240" w:h="15840" w:orient="portrait"/>
          <w:cols w:equalWidth="0" w:num="1">
            <w:col w:w="10780"/>
          </w:cols>
          <w:pgMar w:left="720" w:top="92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780"/>
          </w:cols>
          <w:pgMar w:left="720" w:top="926" w:right="740" w:bottom="175"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34" w:lineRule="exact"/>
        <w:rPr>
          <w:sz w:val="20"/>
          <w:szCs w:val="20"/>
          <w:color w:val="auto"/>
        </w:rPr>
      </w:pPr>
    </w:p>
    <w:p>
      <w:pPr>
        <w:ind w:right="300" w:firstLine="720"/>
        <w:spacing w:after="0" w:line="244" w:lineRule="auto"/>
        <w:rPr>
          <w:sz w:val="20"/>
          <w:szCs w:val="20"/>
          <w:color w:val="auto"/>
        </w:rPr>
      </w:pPr>
      <w:r>
        <w:rPr>
          <w:rFonts w:ascii="Times New Roman" w:cs="Times New Roman" w:eastAsia="Times New Roman" w:hAnsi="Times New Roman"/>
          <w:sz w:val="20"/>
          <w:szCs w:val="20"/>
          <w:color w:val="auto"/>
        </w:rPr>
        <w:t>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ectPr>
          <w:pgSz w:w="12240" w:h="15840" w:orient="portrait"/>
          <w:cols w:equalWidth="0" w:num="1">
            <w:col w:w="10800"/>
          </w:cols>
          <w:pgMar w:left="720" w:top="949"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Income Before Non-Controlling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-119380</wp:posOffset>
                </wp:positionV>
                <wp:extent cx="3980815" cy="13144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0815" cy="131445"/>
                        </a:xfrm>
                        <a:prstGeom prst="rect">
                          <a:avLst/>
                        </a:prstGeom>
                        <a:solidFill>
                          <a:srgbClr val="E6E6E6"/>
                        </a:solidFill>
                      </wps:spPr>
                      <wps:bodyPr/>
                    </wps:wsp>
                  </a:graphicData>
                </a:graphic>
              </wp:anchor>
            </w:drawing>
          </mc:Choice>
          <mc:Fallback>
            <w:pict>
              <v:rect id="Shape 22" o:spid="_x0000_s1047" style="position:absolute;margin-left:0pt;margin-top:-9.3999pt;width:313.45pt;height:10.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Provision for Income Taxes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Other (Income)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3980815" cy="24892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80815" cy="248920"/>
                        </a:xfrm>
                        <a:prstGeom prst="rect">
                          <a:avLst/>
                        </a:prstGeom>
                        <a:solidFill>
                          <a:srgbClr val="E6E6E6"/>
                        </a:solidFill>
                      </wps:spPr>
                      <wps:bodyPr/>
                    </wps:wsp>
                  </a:graphicData>
                </a:graphic>
              </wp:anchor>
            </w:drawing>
          </mc:Choice>
          <mc:Fallback>
            <w:pict>
              <v:rect id="Shape 23" o:spid="_x0000_s1048" style="position:absolute;margin-left:0pt;margin-top:0pt;width:313.45pt;height:1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jc w:val="right"/>
        <w:ind w:right="2080"/>
        <w:spacing w:after="0" w:line="275" w:lineRule="auto"/>
        <w:rPr>
          <w:sz w:val="20"/>
          <w:szCs w:val="20"/>
          <w:color w:val="auto"/>
        </w:rPr>
      </w:pPr>
      <w:r>
        <w:rPr>
          <w:rFonts w:ascii="Times New Roman" w:cs="Times New Roman" w:eastAsia="Times New Roman" w:hAnsi="Times New Roman"/>
          <w:sz w:val="16"/>
          <w:szCs w:val="16"/>
          <w:b w:val="1"/>
          <w:bCs w:val="1"/>
          <w:color w:val="auto"/>
        </w:rPr>
        <w:t>Earnings before interest, taxes, depreciation and amortization (EBITDA) (non-GAAP measure)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Goodwill Impairment Charges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Write-off of Trade Names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Non-cash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Acquisition, Transaction and Other Non-operating Costs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Adjusted EBITDA (Non-GAAP Measure)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52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6"/>
                <w:szCs w:val="16"/>
                <w:color w:val="auto"/>
              </w:rPr>
            </w:pPr>
          </w:p>
        </w:tc>
        <w:tc>
          <w:tcPr>
            <w:tcW w:w="1280" w:type="dxa"/>
            <w:vAlign w:val="bottom"/>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88"/>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00" w:type="dxa"/>
            <w:vAlign w:val="bottom"/>
            <w:tcBorders>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 w:type="dxa"/>
            <w:vAlign w:val="bottom"/>
            <w:vMerge w:val="continue"/>
          </w:tcPr>
          <w:p>
            <w:pPr>
              <w:spacing w:after="0"/>
              <w:rPr>
                <w:sz w:val="16"/>
                <w:szCs w:val="16"/>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73,851</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37,419</w:t>
            </w: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16"/>
                <w:szCs w:val="16"/>
                <w:color w:val="auto"/>
              </w:rPr>
              <w:t>13,655</w:t>
            </w:r>
          </w:p>
        </w:tc>
        <w:tc>
          <w:tcPr>
            <w:tcW w:w="0" w:type="dxa"/>
            <w:vAlign w:val="bottom"/>
          </w:tcPr>
          <w:p>
            <w:pPr>
              <w:spacing w:after="0"/>
              <w:rPr>
                <w:sz w:val="1"/>
                <w:szCs w:val="1"/>
                <w:color w:val="auto"/>
              </w:rPr>
            </w:pPr>
          </w:p>
        </w:tc>
      </w:tr>
      <w:tr>
        <w:trPr>
          <w:trHeight w:val="197"/>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(9,074)</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(4,070)</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24,266</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19,073</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21,201</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118,630</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94,777</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9,094</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16,207</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(4,499)</w:t>
            </w: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113,210</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100,790</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96,664</w:t>
            </w:r>
          </w:p>
        </w:tc>
        <w:tc>
          <w:tcPr>
            <w:tcW w:w="0" w:type="dxa"/>
            <w:vAlign w:val="bottom"/>
          </w:tcPr>
          <w:p>
            <w:pPr>
              <w:spacing w:after="0"/>
              <w:rPr>
                <w:sz w:val="1"/>
                <w:szCs w:val="1"/>
                <w:color w:val="auto"/>
              </w:rPr>
            </w:pPr>
          </w:p>
        </w:tc>
      </w:tr>
      <w:tr>
        <w:trPr>
          <w:trHeight w:val="297"/>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337,635</w:t>
            </w:r>
          </w:p>
        </w:tc>
        <w:tc>
          <w:tcPr>
            <w:tcW w:w="1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top w:val="single" w:sz="8" w:color="E6E6E6"/>
            </w:tcBorders>
            <w:shd w:val="clear" w:color="auto" w:fill="E6E6E6"/>
          </w:tcPr>
          <w:p>
            <w:pPr>
              <w:spacing w:after="0"/>
              <w:rPr>
                <w:sz w:val="24"/>
                <w:szCs w:val="24"/>
                <w:color w:val="auto"/>
              </w:rPr>
            </w:pPr>
          </w:p>
        </w:tc>
        <w:tc>
          <w:tcPr>
            <w:tcW w:w="13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285,422</w:t>
            </w: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top w:val="single" w:sz="8" w:color="auto"/>
            </w:tcBorders>
            <w:shd w:val="clear" w:color="auto" w:fill="E6E6E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217,728</w:t>
            </w: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1520" w:type="dxa"/>
            <w:vAlign w:val="bottom"/>
            <w:tcBorders>
              <w:bottom w:val="single" w:sz="8" w:color="auto"/>
            </w:tcBorders>
            <w:shd w:val="clear" w:color="auto" w:fill="E6E6E6"/>
          </w:tcPr>
          <w:p>
            <w:pPr>
              <w:spacing w:after="0"/>
              <w:rPr>
                <w:sz w:val="6"/>
                <w:szCs w:val="6"/>
                <w:color w:val="auto"/>
              </w:rPr>
            </w:pPr>
          </w:p>
        </w:tc>
        <w:tc>
          <w:tcPr>
            <w:tcW w:w="180" w:type="dxa"/>
            <w:vAlign w:val="bottom"/>
            <w:shd w:val="clear" w:color="auto" w:fill="E6E6E6"/>
          </w:tcPr>
          <w:p>
            <w:pPr>
              <w:spacing w:after="0"/>
              <w:rPr>
                <w:sz w:val="6"/>
                <w:szCs w:val="6"/>
                <w:color w:val="auto"/>
              </w:rPr>
            </w:pPr>
          </w:p>
        </w:tc>
        <w:tc>
          <w:tcPr>
            <w:tcW w:w="20" w:type="dxa"/>
            <w:vAlign w:val="bottom"/>
            <w:shd w:val="clear" w:color="auto" w:fill="E6E6E6"/>
          </w:tcPr>
          <w:p>
            <w:pPr>
              <w:spacing w:after="0"/>
              <w:rPr>
                <w:sz w:val="6"/>
                <w:szCs w:val="6"/>
                <w:color w:val="auto"/>
              </w:rPr>
            </w:pPr>
          </w:p>
        </w:tc>
        <w:tc>
          <w:tcPr>
            <w:tcW w:w="1340" w:type="dxa"/>
            <w:vAlign w:val="bottom"/>
            <w:tcBorders>
              <w:bottom w:val="single" w:sz="8" w:color="auto"/>
            </w:tcBorders>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1280" w:type="dxa"/>
            <w:vAlign w:val="bottom"/>
            <w:tcBorders>
              <w:bottom w:val="single" w:sz="8" w:color="auto"/>
            </w:tcBorders>
            <w:shd w:val="clear" w:color="auto" w:fill="E6E6E6"/>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52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280" w:type="dxa"/>
            <w:vAlign w:val="bottom"/>
          </w:tcPr>
          <w:p>
            <w:pPr>
              <w:jc w:val="right"/>
              <w:ind w:right="40"/>
              <w:spacing w:after="0" w:line="178" w:lineRule="exact"/>
              <w:rPr>
                <w:sz w:val="20"/>
                <w:szCs w:val="20"/>
                <w:color w:val="auto"/>
              </w:rPr>
            </w:pPr>
            <w:r>
              <w:rPr>
                <w:rFonts w:ascii="Times New Roman" w:cs="Times New Roman" w:eastAsia="Times New Roman" w:hAnsi="Times New Roman"/>
                <w:sz w:val="16"/>
                <w:szCs w:val="16"/>
                <w:color w:val="auto"/>
              </w:rPr>
              <w:t>57,372</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31,131</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8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20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27,140</w:t>
            </w:r>
          </w:p>
        </w:tc>
        <w:tc>
          <w:tcPr>
            <w:tcW w:w="0" w:type="dxa"/>
            <w:vAlign w:val="bottom"/>
          </w:tcPr>
          <w:p>
            <w:pPr>
              <w:spacing w:after="0"/>
              <w:rPr>
                <w:sz w:val="1"/>
                <w:szCs w:val="1"/>
                <w:color w:val="auto"/>
              </w:rPr>
            </w:pPr>
          </w:p>
        </w:tc>
      </w:tr>
      <w:tr>
        <w:trPr>
          <w:trHeight w:val="199"/>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(21,893)</w:t>
            </w:r>
          </w:p>
        </w:tc>
        <w:tc>
          <w:tcPr>
            <w:tcW w:w="0" w:type="dxa"/>
            <w:vAlign w:val="bottom"/>
          </w:tcPr>
          <w:p>
            <w:pPr>
              <w:spacing w:after="0"/>
              <w:rPr>
                <w:sz w:val="1"/>
                <w:szCs w:val="1"/>
                <w:color w:val="auto"/>
              </w:rPr>
            </w:pPr>
          </w:p>
        </w:tc>
      </w:tr>
      <w:tr>
        <w:trPr>
          <w:trHeight w:val="188"/>
        </w:trPr>
        <w:tc>
          <w:tcPr>
            <w:tcW w:w="140" w:type="dxa"/>
            <w:vAlign w:val="bottom"/>
            <w:vMerge w:val="continue"/>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371,318</w:t>
            </w: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325,839</w:t>
            </w:r>
          </w:p>
        </w:tc>
        <w:tc>
          <w:tcPr>
            <w:tcW w:w="200" w:type="dxa"/>
            <w:vAlign w:val="bottom"/>
            <w:vMerge w:val="continue"/>
          </w:tcPr>
          <w:p>
            <w:pPr>
              <w:spacing w:after="0"/>
              <w:rPr>
                <w:sz w:val="16"/>
                <w:szCs w:val="16"/>
                <w:color w:val="auto"/>
              </w:rPr>
            </w:pP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311,478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-3886200</wp:posOffset>
                </wp:positionH>
                <wp:positionV relativeFrom="paragraph">
                  <wp:posOffset>-1443355</wp:posOffset>
                </wp:positionV>
                <wp:extent cx="6858000" cy="12573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25730"/>
                        </a:xfrm>
                        <a:prstGeom prst="rect">
                          <a:avLst/>
                        </a:prstGeom>
                        <a:solidFill>
                          <a:srgbClr val="E6E6E6"/>
                        </a:solidFill>
                      </wps:spPr>
                      <wps:bodyPr/>
                    </wps:wsp>
                  </a:graphicData>
                </a:graphic>
              </wp:anchor>
            </w:drawing>
          </mc:Choice>
          <mc:Fallback>
            <w:pict>
              <v:rect id="Shape 24" o:spid="_x0000_s1049" style="position:absolute;margin-left:-306pt;margin-top:-113.6499pt;width:540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-1191895</wp:posOffset>
                </wp:positionV>
                <wp:extent cx="6858000" cy="12573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25730"/>
                        </a:xfrm>
                        <a:prstGeom prst="rect">
                          <a:avLst/>
                        </a:prstGeom>
                        <a:solidFill>
                          <a:srgbClr val="E6E6E6"/>
                        </a:solidFill>
                      </wps:spPr>
                      <wps:bodyPr/>
                    </wps:wsp>
                  </a:graphicData>
                </a:graphic>
              </wp:anchor>
            </w:drawing>
          </mc:Choice>
          <mc:Fallback>
            <w:pict>
              <v:rect id="Shape 25" o:spid="_x0000_s1050" style="position:absolute;margin-left:-306pt;margin-top:-93.8499pt;width:540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-537210</wp:posOffset>
                </wp:positionV>
                <wp:extent cx="6858000" cy="12573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25730"/>
                        </a:xfrm>
                        <a:prstGeom prst="rect">
                          <a:avLst/>
                        </a:prstGeom>
                        <a:solidFill>
                          <a:srgbClr val="E6E6E6"/>
                        </a:solidFill>
                      </wps:spPr>
                      <wps:bodyPr/>
                    </wps:wsp>
                  </a:graphicData>
                </a:graphic>
              </wp:anchor>
            </w:drawing>
          </mc:Choice>
          <mc:Fallback>
            <w:pict>
              <v:rect id="Shape 26" o:spid="_x0000_s1051" style="position:absolute;margin-left:-306pt;margin-top:-42.2999pt;width:540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-3886200</wp:posOffset>
                </wp:positionH>
                <wp:positionV relativeFrom="paragraph">
                  <wp:posOffset>-285750</wp:posOffset>
                </wp:positionV>
                <wp:extent cx="6858000" cy="12573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25730"/>
                        </a:xfrm>
                        <a:prstGeom prst="rect">
                          <a:avLst/>
                        </a:prstGeom>
                        <a:solidFill>
                          <a:srgbClr val="E6E6E6"/>
                        </a:solidFill>
                      </wps:spPr>
                      <wps:bodyPr/>
                    </wps:wsp>
                  </a:graphicData>
                </a:graphic>
              </wp:anchor>
            </w:drawing>
          </mc:Choice>
          <mc:Fallback>
            <w:pict>
              <v:rect id="Shape 27" o:spid="_x0000_s1052" style="position:absolute;margin-left:-306pt;margin-top:-22.4999pt;width:540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ectPr>
          <w:pgSz w:w="12240" w:h="15840" w:orient="portrait"/>
          <w:cols w:equalWidth="0" w:num="2">
            <w:col w:w="5400" w:space="720"/>
            <w:col w:w="4680"/>
          </w:cols>
          <w:pgMar w:left="720" w:top="949" w:right="720" w:bottom="175"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Financing and Capital Resources</w:t>
      </w:r>
    </w:p>
    <w:p>
      <w:pPr>
        <w:spacing w:after="0" w:line="234" w:lineRule="exact"/>
        <w:rPr>
          <w:sz w:val="20"/>
          <w:szCs w:val="20"/>
          <w:color w:val="auto"/>
        </w:rPr>
      </w:pPr>
    </w:p>
    <w:p>
      <w:pPr>
        <w:ind w:firstLine="720"/>
        <w:spacing w:after="0" w:line="249" w:lineRule="auto"/>
        <w:rPr>
          <w:sz w:val="20"/>
          <w:szCs w:val="20"/>
          <w:color w:val="auto"/>
        </w:rPr>
      </w:pPr>
      <w:r>
        <w:rPr>
          <w:rFonts w:ascii="Times New Roman" w:cs="Times New Roman" w:eastAsia="Times New Roman" w:hAnsi="Times New Roman"/>
          <w:sz w:val="20"/>
          <w:szCs w:val="20"/>
          <w:color w:val="auto"/>
        </w:rPr>
        <w:t>As of December 31, 2024 and 2023, the Company had total current liabilities of $164,969 thousand and $126,050 thousand, respectively, and cash and cash equivalents of $171,687 thousand and $161,634 thousand, respectively, to meet its current obligations. The Company had working capital of $238,931 thousand as of December 31, 2024, an increase of $22,219 thousand as compared to December 31, 2023. This increase in working capital was primarily driven by an increase in inventory partially offset by an increase in compensation related accruals.</w:t>
      </w:r>
    </w:p>
    <w:p>
      <w:pPr>
        <w:spacing w:after="0" w:line="18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The Company generates cash from its operations and deploys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research, design, development and marketing, as well as customer, supplier and investor and industry relations.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Provided by (Used in) Operating, Investing and Financing Activities</w:t>
      </w:r>
    </w:p>
    <w:p>
      <w:pPr>
        <w:spacing w:after="0" w:line="228" w:lineRule="exact"/>
        <w:rPr>
          <w:sz w:val="20"/>
          <w:szCs w:val="20"/>
          <w:color w:val="auto"/>
        </w:rPr>
      </w:pPr>
    </w:p>
    <w:p>
      <w:pPr>
        <w:ind w:right="320" w:firstLine="720"/>
        <w:spacing w:after="0" w:line="277" w:lineRule="auto"/>
        <w:rPr>
          <w:sz w:val="20"/>
          <w:szCs w:val="20"/>
          <w:color w:val="auto"/>
        </w:rPr>
      </w:pPr>
      <w:r>
        <w:rPr>
          <w:rFonts w:ascii="Times New Roman" w:cs="Times New Roman" w:eastAsia="Times New Roman" w:hAnsi="Times New Roman"/>
          <w:sz w:val="20"/>
          <w:szCs w:val="20"/>
          <w:color w:val="auto"/>
        </w:rPr>
        <w:t>Net cash provided by (used in) operating, investing and financing activities for the years ended December 31, 2024, 2023, and 2022,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180" w:type="dxa"/>
            <w:vAlign w:val="bottom"/>
            <w:tcBorders>
              <w:bottom w:val="single" w:sz="8" w:color="auto"/>
            </w:tcBorders>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920" w:type="dxa"/>
            <w:vAlign w:val="bottom"/>
            <w:tcBorders>
              <w:bottom w:val="single" w:sz="8" w:color="auto"/>
            </w:tcBorders>
          </w:tcPr>
          <w:p>
            <w:pPr>
              <w:spacing w:after="0"/>
              <w:rPr>
                <w:sz w:val="19"/>
                <w:szCs w:val="19"/>
                <w:color w:val="auto"/>
              </w:rPr>
            </w:pPr>
          </w:p>
        </w:tc>
      </w:tr>
      <w:tr>
        <w:trPr>
          <w:trHeight w:val="197"/>
        </w:trPr>
        <w:tc>
          <w:tcPr>
            <w:tcW w:w="5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Borders>
              <w:bottom w:val="single" w:sz="8" w:color="auto"/>
            </w:tcBorders>
          </w:tcPr>
          <w:p>
            <w:pPr>
              <w:jc w:val="right"/>
              <w:ind w:right="350"/>
              <w:spacing w:after="0" w:line="197"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0"/>
              <w:spacing w:after="0" w:line="197" w:lineRule="exact"/>
              <w:rPr>
                <w:sz w:val="20"/>
                <w:szCs w:val="20"/>
                <w:color w:val="auto"/>
              </w:rPr>
            </w:pPr>
            <w:r>
              <w:rPr>
                <w:rFonts w:ascii="Times New Roman" w:cs="Times New Roman" w:eastAsia="Times New Roman" w:hAnsi="Times New Roman"/>
                <w:sz w:val="18"/>
                <w:szCs w:val="18"/>
                <w:b w:val="1"/>
                <w:bCs w:val="1"/>
                <w:color w:val="auto"/>
              </w:rPr>
              <w:t>2022</w:t>
            </w:r>
          </w:p>
        </w:tc>
      </w:tr>
      <w:tr>
        <w:trPr>
          <w:trHeight w:val="197"/>
        </w:trPr>
        <w:tc>
          <w:tcPr>
            <w:tcW w:w="5420" w:type="dxa"/>
            <w:vAlign w:val="bottom"/>
            <w:tcBorders>
              <w:bottom w:val="single" w:sz="8" w:color="E6E6E6"/>
            </w:tcBorders>
          </w:tcPr>
          <w:p>
            <w:pPr>
              <w:spacing w:after="0"/>
              <w:rPr>
                <w:sz w:val="17"/>
                <w:szCs w:val="17"/>
                <w:color w:val="auto"/>
              </w:rPr>
            </w:pPr>
          </w:p>
        </w:tc>
        <w:tc>
          <w:tcPr>
            <w:tcW w:w="1280" w:type="dxa"/>
            <w:vAlign w:val="bottom"/>
            <w:tcBorders>
              <w:bottom w:val="single" w:sz="8" w:color="E6E6E6"/>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197"/>
        </w:trPr>
        <w:tc>
          <w:tcPr>
            <w:tcW w:w="5420" w:type="dxa"/>
            <w:vAlign w:val="bottom"/>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2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195,183</w:t>
            </w:r>
          </w:p>
        </w:tc>
        <w:tc>
          <w:tcPr>
            <w:tcW w:w="1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224,968</w:t>
            </w:r>
          </w:p>
        </w:tc>
        <w:tc>
          <w:tcPr>
            <w:tcW w:w="1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158,564</w:t>
            </w: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(219,946)</w:t>
            </w:r>
          </w:p>
        </w:tc>
      </w:tr>
      <w:tr>
        <w:trPr>
          <w:trHeight w:val="207"/>
        </w:trPr>
        <w:tc>
          <w:tcPr>
            <w:tcW w:w="54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Net Cash Flows (Used in) Provided by Financing Activities</w:t>
            </w: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(95,594)</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6E6E6"/>
          </w:tcPr>
          <w:p>
            <w:pPr>
              <w:spacing w:after="0"/>
              <w:rPr>
                <w:sz w:val="17"/>
                <w:szCs w:val="17"/>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8,644</w:t>
            </w:r>
          </w:p>
        </w:tc>
      </w:tr>
    </w:tbl>
    <w:p>
      <w:pPr>
        <w:spacing w:after="0" w:line="200" w:lineRule="exact"/>
        <w:rPr>
          <w:sz w:val="20"/>
          <w:szCs w:val="20"/>
          <w:color w:val="auto"/>
        </w:rPr>
      </w:pPr>
    </w:p>
    <w:p>
      <w:pPr>
        <w:sectPr>
          <w:pgSz w:w="12240" w:h="15840" w:orient="portrait"/>
          <w:cols w:equalWidth="0" w:num="1">
            <w:col w:w="10800"/>
          </w:cols>
          <w:pgMar w:left="720" w:top="949" w:right="72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800"/>
          </w:cols>
          <w:pgMar w:left="720" w:top="949" w:right="720" w:bottom="175"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auto"/>
        </w:rPr>
        <w:t>Contractual Cash Obligations and Other Commitments and Contingencies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quantifies the Company’s future contractual obligations as of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6"/>
                <w:szCs w:val="16"/>
                <w:color w:val="auto"/>
              </w:rPr>
            </w:pPr>
          </w:p>
        </w:tc>
        <w:tc>
          <w:tcPr>
            <w:tcW w:w="9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1080" w:type="dxa"/>
            <w:vAlign w:val="bottom"/>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Pr>
          <w:p>
            <w:pPr>
              <w:spacing w:after="0"/>
              <w:rPr>
                <w:sz w:val="16"/>
                <w:szCs w:val="16"/>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2027</w:t>
            </w:r>
          </w:p>
        </w:tc>
        <w:tc>
          <w:tcPr>
            <w:tcW w:w="480" w:type="dxa"/>
            <w:vAlign w:val="bottom"/>
          </w:tcPr>
          <w:p>
            <w:pPr>
              <w:spacing w:after="0"/>
              <w:rPr>
                <w:sz w:val="16"/>
                <w:szCs w:val="16"/>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2028</w:t>
            </w:r>
          </w:p>
        </w:tc>
        <w:tc>
          <w:tcPr>
            <w:tcW w:w="480" w:type="dxa"/>
            <w:vAlign w:val="bottom"/>
          </w:tcPr>
          <w:p>
            <w:pPr>
              <w:spacing w:after="0"/>
              <w:rPr>
                <w:sz w:val="16"/>
                <w:szCs w:val="16"/>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2029</w:t>
            </w:r>
          </w:p>
        </w:tc>
        <w:tc>
          <w:tcPr>
            <w:tcW w:w="2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2030 and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Syndicated Credit Facility</w:t>
            </w:r>
            <w:r>
              <w:rPr>
                <w:rFonts w:ascii="Times New Roman" w:cs="Times New Roman" w:eastAsia="Times New Roman" w:hAnsi="Times New Roman"/>
                <w:sz w:val="10"/>
                <w:szCs w:val="10"/>
                <w:color w:val="auto"/>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2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Mortgages Payable</w:t>
            </w:r>
            <w:r>
              <w:rPr>
                <w:rFonts w:ascii="Times New Roman" w:cs="Times New Roman" w:eastAsia="Times New Roman" w:hAnsi="Times New Roman"/>
                <w:sz w:val="10"/>
                <w:szCs w:val="10"/>
                <w:color w:val="auto"/>
              </w:rPr>
              <w:t>(b)</w:t>
            </w:r>
          </w:p>
        </w:tc>
        <w:tc>
          <w:tcPr>
            <w:tcW w:w="1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107,986</w:t>
            </w:r>
          </w:p>
        </w:tc>
        <w:tc>
          <w:tcPr>
            <w:tcW w:w="2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3,327</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15,562</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39,383</w:t>
            </w:r>
          </w:p>
        </w:tc>
        <w:tc>
          <w:tcPr>
            <w:tcW w:w="2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41,570</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Interest Due on Notes Payable</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53,599</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13,732</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12,580</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11,163</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9,745</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8"/>
        </w:trPr>
        <w:tc>
          <w:tcPr>
            <w:tcW w:w="22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Interest Due on Mortgage Payable</w:t>
            </w:r>
          </w:p>
        </w:tc>
        <w:tc>
          <w:tcPr>
            <w:tcW w:w="1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49,046</w:t>
            </w:r>
          </w:p>
        </w:tc>
        <w:tc>
          <w:tcPr>
            <w:tcW w:w="2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26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7,679</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7,171</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2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14,431</w:t>
            </w: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Leases - Third-Party</w:t>
            </w:r>
            <w:r>
              <w:rPr>
                <w:rFonts w:ascii="Times New Roman" w:cs="Times New Roman" w:eastAsia="Times New Roman" w:hAnsi="Times New Roman"/>
                <w:sz w:val="10"/>
                <w:szCs w:val="10"/>
                <w:color w:val="auto"/>
              </w:rPr>
              <w:t>(c)</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523,228</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46,770</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46,728</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47,248</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46,329</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43,211</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E6E6E6"/>
          </w:tcPr>
          <w:p>
            <w:pPr>
              <w:spacing w:after="0" w:line="183" w:lineRule="exact"/>
              <w:rPr>
                <w:sz w:val="20"/>
                <w:szCs w:val="20"/>
                <w:color w:val="auto"/>
              </w:rPr>
            </w:pPr>
            <w:r>
              <w:rPr>
                <w:rFonts w:ascii="Times New Roman" w:cs="Times New Roman" w:eastAsia="Times New Roman" w:hAnsi="Times New Roman"/>
                <w:sz w:val="16"/>
                <w:szCs w:val="16"/>
                <w:color w:val="auto"/>
              </w:rPr>
              <w:t>Operating Leases - Related</w:t>
            </w:r>
          </w:p>
        </w:tc>
        <w:tc>
          <w:tcPr>
            <w:tcW w:w="140" w:type="dxa"/>
            <w:vAlign w:val="bottom"/>
            <w:shd w:val="clear" w:color="auto" w:fill="E6E6E6"/>
          </w:tcPr>
          <w:p>
            <w:pPr>
              <w:spacing w:after="0"/>
              <w:rPr>
                <w:sz w:val="15"/>
                <w:szCs w:val="15"/>
                <w:color w:val="auto"/>
              </w:rPr>
            </w:pPr>
          </w:p>
        </w:tc>
        <w:tc>
          <w:tcPr>
            <w:tcW w:w="10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260" w:type="dxa"/>
            <w:vAlign w:val="bottom"/>
            <w:shd w:val="clear" w:color="auto" w:fill="E6E6E6"/>
          </w:tcPr>
          <w:p>
            <w:pPr>
              <w:spacing w:after="0"/>
              <w:rPr>
                <w:sz w:val="15"/>
                <w:szCs w:val="15"/>
                <w:color w:val="auto"/>
              </w:rPr>
            </w:pPr>
          </w:p>
        </w:tc>
        <w:tc>
          <w:tcPr>
            <w:tcW w:w="94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60" w:type="dxa"/>
            <w:vAlign w:val="bottom"/>
            <w:shd w:val="clear" w:color="auto" w:fill="E6E6E6"/>
          </w:tcPr>
          <w:p>
            <w:pPr>
              <w:spacing w:after="0"/>
              <w:rPr>
                <w:sz w:val="15"/>
                <w:szCs w:val="15"/>
                <w:color w:val="auto"/>
              </w:rPr>
            </w:pPr>
          </w:p>
        </w:tc>
        <w:tc>
          <w:tcPr>
            <w:tcW w:w="10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48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48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48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60" w:type="dxa"/>
            <w:vAlign w:val="bottom"/>
            <w:shd w:val="clear" w:color="auto" w:fill="E6E6E6"/>
          </w:tcPr>
          <w:p>
            <w:pPr>
              <w:spacing w:after="0"/>
              <w:rPr>
                <w:sz w:val="15"/>
                <w:szCs w:val="15"/>
                <w:color w:val="auto"/>
              </w:rPr>
            </w:pPr>
          </w:p>
        </w:tc>
        <w:tc>
          <w:tcPr>
            <w:tcW w:w="7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2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Parties</w:t>
            </w:r>
            <w:r>
              <w:rPr>
                <w:rFonts w:ascii="Times New Roman" w:cs="Times New Roman" w:eastAsia="Times New Roman" w:hAnsi="Times New Roman"/>
                <w:sz w:val="10"/>
                <w:szCs w:val="10"/>
                <w:color w:val="auto"/>
              </w:rPr>
              <w:t>(c)</w:t>
            </w:r>
          </w:p>
        </w:tc>
        <w:tc>
          <w:tcPr>
            <w:tcW w:w="140" w:type="dxa"/>
            <w:vAlign w:val="bottom"/>
            <w:shd w:val="clear" w:color="auto" w:fill="E6E6E6"/>
          </w:tcPr>
          <w:p>
            <w:pPr>
              <w:spacing w:after="0"/>
              <w:rPr>
                <w:sz w:val="17"/>
                <w:szCs w:val="17"/>
                <w:color w:val="auto"/>
              </w:rPr>
            </w:pPr>
          </w:p>
        </w:tc>
        <w:tc>
          <w:tcPr>
            <w:tcW w:w="1060" w:type="dxa"/>
            <w:vAlign w:val="bottom"/>
            <w:vMerge w:val="continue"/>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40" w:type="dxa"/>
            <w:vAlign w:val="bottom"/>
            <w:vMerge w:val="continue"/>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80" w:type="dxa"/>
            <w:vAlign w:val="bottom"/>
            <w:vMerge w:val="continue"/>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780" w:type="dxa"/>
            <w:vAlign w:val="bottom"/>
            <w:vMerge w:val="continue"/>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780" w:type="dxa"/>
            <w:vAlign w:val="bottom"/>
            <w:vMerge w:val="continue"/>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780" w:type="dxa"/>
            <w:vAlign w:val="bottom"/>
            <w:vMerge w:val="continue"/>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780" w:type="dxa"/>
            <w:vAlign w:val="bottom"/>
            <w:vMerge w:val="continue"/>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Commitments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2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shd w:val="clear" w:color="auto" w:fill="E6E6E6"/>
              </w:rPr>
              <w:t>Total as of December 31, 2024</w:t>
            </w:r>
          </w:p>
        </w:tc>
        <w:tc>
          <w:tcPr>
            <w:tcW w:w="14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E6E6E6"/>
              </w:rPr>
              <w:t>$</w:t>
            </w:r>
          </w:p>
        </w:tc>
        <w:tc>
          <w:tcPr>
            <w:tcW w:w="10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892,625</w:t>
            </w:r>
          </w:p>
        </w:tc>
        <w:tc>
          <w:tcPr>
            <w:tcW w:w="2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86,944</w:t>
            </w:r>
          </w:p>
        </w:tc>
        <w:tc>
          <w:tcPr>
            <w:tcW w:w="2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85,838</w:t>
            </w:r>
          </w:p>
        </w:tc>
        <w:tc>
          <w:tcPr>
            <w:tcW w:w="4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84,907</w:t>
            </w:r>
          </w:p>
        </w:tc>
        <w:tc>
          <w:tcPr>
            <w:tcW w:w="4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94,089</w:t>
            </w:r>
          </w:p>
        </w:tc>
        <w:tc>
          <w:tcPr>
            <w:tcW w:w="4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191,136</w:t>
            </w:r>
          </w:p>
        </w:tc>
        <w:tc>
          <w:tcPr>
            <w:tcW w:w="26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349,711</w:t>
            </w:r>
          </w:p>
        </w:tc>
        <w:tc>
          <w:tcPr>
            <w:tcW w:w="2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460"/>
        <w:spacing w:after="0" w:line="254" w:lineRule="auto"/>
        <w:tabs>
          <w:tab w:leader="none" w:pos="21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Syndicated Credit Facility, (the “Credit Facility”) excludes $2,021 thousand of unamortized debt discount as of December 31, 2024. See Note 8—Notes Payable for details.</w:t>
      </w:r>
    </w:p>
    <w:p>
      <w:pPr>
        <w:ind w:left="220" w:hanging="220"/>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This amount excludes $1,007 thousand of unamortized debt discount as of December 31, 2024. See Note 8—Notes Payable for details.</w:t>
      </w:r>
    </w:p>
    <w:p>
      <w:pPr>
        <w:spacing w:after="0" w:line="6" w:lineRule="exact"/>
        <w:rPr>
          <w:rFonts w:ascii="Times New Roman" w:cs="Times New Roman" w:eastAsia="Times New Roman" w:hAnsi="Times New Roman"/>
          <w:sz w:val="16"/>
          <w:szCs w:val="16"/>
          <w:color w:val="auto"/>
        </w:rPr>
      </w:pPr>
    </w:p>
    <w:p>
      <w:pPr>
        <w:ind w:left="220" w:hanging="220"/>
        <w:spacing w:after="0"/>
        <w:tabs>
          <w:tab w:leader="none" w:pos="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These amounts include a total of $250,352 thousand of imputed interest as of December 31, 2024 See Note 7—Leases for details.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Claims and Litigation</w:t>
      </w:r>
    </w:p>
    <w:p>
      <w:pPr>
        <w:spacing w:after="0" w:line="263" w:lineRule="exact"/>
        <w:rPr>
          <w:sz w:val="20"/>
          <w:szCs w:val="20"/>
          <w:color w:val="auto"/>
        </w:rPr>
      </w:pPr>
    </w:p>
    <w:p>
      <w:pPr>
        <w:ind w:right="540" w:firstLine="720"/>
        <w:spacing w:after="0" w:line="294"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49" w:lineRule="exact"/>
        <w:rPr>
          <w:sz w:val="20"/>
          <w:szCs w:val="20"/>
          <w:color w:val="auto"/>
        </w:rPr>
      </w:pPr>
    </w:p>
    <w:p>
      <w:pPr>
        <w:ind w:left="500" w:right="40"/>
        <w:spacing w:after="0" w:line="247"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190" w:lineRule="exact"/>
        <w:rPr>
          <w:sz w:val="20"/>
          <w:szCs w:val="20"/>
          <w:color w:val="auto"/>
        </w:rPr>
      </w:pPr>
    </w:p>
    <w:p>
      <w:pPr>
        <w:ind w:right="120" w:firstLine="720"/>
        <w:spacing w:after="0" w:line="252" w:lineRule="auto"/>
        <w:rPr>
          <w:sz w:val="20"/>
          <w:szCs w:val="20"/>
          <w:color w:val="auto"/>
        </w:rPr>
      </w:pPr>
      <w:r>
        <w:rPr>
          <w:rFonts w:ascii="Times New Roman" w:cs="Times New Roman" w:eastAsia="Times New Roman" w:hAnsi="Times New Roman"/>
          <w:sz w:val="20"/>
          <w:szCs w:val="20"/>
          <w:color w:val="auto"/>
        </w:rPr>
        <w:t>At December 31, 2024 and 2023, other than as discussed above, there were no pending or threatened lawsuits considered probable or reasonably possible to result in an unfavorable outcome with an exposure expected to merit disclosure. There are also no proceedings in which any of the Company’s directors, officers or affiliates is an adverse party or has a material interest adverse to the Company’s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4"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2024 and 2023,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or Adoption of Accounting Practices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discussion under Part II, Item 8, Notes to Consolidated Financial Statements, Note 2 – Significant Accounting Policies.</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800"/>
          </w:cols>
          <w:pgMar w:left="720" w:top="926" w:right="720" w:bottom="175"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34" w:lineRule="exact"/>
        <w:rPr>
          <w:sz w:val="20"/>
          <w:szCs w:val="20"/>
          <w:color w:val="auto"/>
        </w:rPr>
      </w:pPr>
    </w:p>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7" w:lineRule="exact"/>
        <w:rPr>
          <w:sz w:val="20"/>
          <w:szCs w:val="20"/>
          <w:color w:val="auto"/>
        </w:rPr>
      </w:pPr>
    </w:p>
    <w:p>
      <w:pPr>
        <w:ind w:right="480" w:firstLine="720"/>
        <w:spacing w:after="0" w:line="277" w:lineRule="auto"/>
        <w:rPr>
          <w:sz w:val="20"/>
          <w:szCs w:val="20"/>
          <w:color w:val="auto"/>
        </w:rPr>
      </w:pPr>
      <w:r>
        <w:rPr>
          <w:rFonts w:ascii="Times New Roman" w:cs="Times New Roman" w:eastAsia="Times New Roman" w:hAnsi="Times New Roman"/>
          <w:sz w:val="20"/>
          <w:szCs w:val="20"/>
          <w:color w:val="auto"/>
        </w:rPr>
        <w:t>Significant judgments, estimates and assumptions that have the most significant effect on the amounts recognized in the consolidated financial statements are described below.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Estimated Useful Lives and Amortization of Intangible Assets</w:t>
      </w:r>
    </w:p>
    <w:p>
      <w:pPr>
        <w:spacing w:after="0" w:line="228"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Business Combinations</w:t>
      </w:r>
    </w:p>
    <w:p>
      <w:pPr>
        <w:spacing w:after="0" w:line="228" w:lineRule="exact"/>
        <w:rPr>
          <w:sz w:val="20"/>
          <w:szCs w:val="20"/>
          <w:color w:val="auto"/>
        </w:rPr>
      </w:pPr>
    </w:p>
    <w:p>
      <w:pPr>
        <w:ind w:right="440" w:firstLine="720"/>
        <w:spacing w:after="0" w:line="275" w:lineRule="auto"/>
        <w:rPr>
          <w:sz w:val="20"/>
          <w:szCs w:val="20"/>
          <w:color w:val="auto"/>
        </w:rPr>
      </w:pPr>
      <w:r>
        <w:rPr>
          <w:rFonts w:ascii="Times New Roman" w:cs="Times New Roman" w:eastAsia="Times New Roman" w:hAnsi="Times New Roman"/>
          <w:sz w:val="20"/>
          <w:szCs w:val="20"/>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94" w:lineRule="exact"/>
        <w:rPr>
          <w:sz w:val="20"/>
          <w:szCs w:val="20"/>
          <w:color w:val="auto"/>
        </w:rPr>
      </w:pPr>
    </w:p>
    <w:p>
      <w:pPr>
        <w:ind w:right="20" w:firstLine="720"/>
        <w:spacing w:after="0" w:line="264" w:lineRule="auto"/>
        <w:rPr>
          <w:sz w:val="20"/>
          <w:szCs w:val="20"/>
          <w:color w:val="auto"/>
        </w:rPr>
      </w:pPr>
      <w:r>
        <w:rPr>
          <w:rFonts w:ascii="Times New Roman" w:cs="Times New Roman" w:eastAsia="Times New Roman" w:hAnsi="Times New Roman"/>
          <w:sz w:val="20"/>
          <w:szCs w:val="20"/>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90" w:lineRule="exact"/>
        <w:rPr>
          <w:sz w:val="20"/>
          <w:szCs w:val="20"/>
          <w:color w:val="auto"/>
        </w:rPr>
      </w:pPr>
    </w:p>
    <w:p>
      <w:pPr>
        <w:ind w:right="40" w:firstLine="720"/>
        <w:spacing w:after="0" w:line="245" w:lineRule="auto"/>
        <w:rPr>
          <w:sz w:val="20"/>
          <w:szCs w:val="20"/>
          <w:color w:val="auto"/>
        </w:rPr>
      </w:pPr>
      <w:r>
        <w:rPr>
          <w:rFonts w:ascii="Times New Roman" w:cs="Times New Roman" w:eastAsia="Times New Roman" w:hAnsi="Times New Roman"/>
          <w:sz w:val="20"/>
          <w:szCs w:val="20"/>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 Company applies probability weighting to the expected future net cash flows in calculating the fair value of these intangible assets. The key assumptions used in these cash flow projections include discount rates and terminal growth rates. 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92"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The evaluations are linked closely to the assumptions made by management regarding the future performance of these assets and any changes in the discount rate applied.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Inventories</w:t>
      </w:r>
    </w:p>
    <w:p>
      <w:pPr>
        <w:spacing w:after="0" w:line="228"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800"/>
          </w:cols>
          <w:pgMar w:left="720" w:top="926" w:right="720" w:bottom="175"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20"/>
          <w:szCs w:val="20"/>
          <w:i w:val="1"/>
          <w:iCs w:val="1"/>
          <w:color w:val="auto"/>
        </w:rPr>
        <w:t>Investments in Private Holdings</w:t>
      </w:r>
    </w:p>
    <w:p>
      <w:pPr>
        <w:spacing w:after="0" w:line="228"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Impairment</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The Company applies the guidance in Financial Accounting Standards Board (“FASB”) </w:t>
      </w:r>
      <w:r>
        <w:rPr>
          <w:rFonts w:ascii="Times New Roman" w:cs="Times New Roman" w:eastAsia="Times New Roman" w:hAnsi="Times New Roman"/>
          <w:sz w:val="20"/>
          <w:szCs w:val="20"/>
          <w:i w:val="1"/>
          <w:iCs w:val="1"/>
          <w:color w:val="auto"/>
        </w:rPr>
        <w:t>Accounting Standards Update,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ASU</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2011-08 Intangibles-Goodwill and Other-Testing Goodwill for Impairment</w:t>
      </w:r>
      <w:r>
        <w:rPr>
          <w:rFonts w:ascii="Times New Roman" w:cs="Times New Roman" w:eastAsia="Times New Roman" w:hAnsi="Times New Roman"/>
          <w:sz w:val="19"/>
          <w:szCs w:val="19"/>
          <w:color w:val="auto"/>
        </w:rPr>
        <w:t>, which provides entities with an option to perform</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qualitative assessment (commonly referred to as “Step Zero”) to determine whether further quantitative analysis for impairment of</w:t>
      </w:r>
    </w:p>
    <w:p>
      <w:pPr>
        <w:spacing w:after="0"/>
        <w:rPr>
          <w:sz w:val="20"/>
          <w:szCs w:val="20"/>
          <w:color w:val="auto"/>
        </w:rPr>
      </w:pPr>
      <w:r>
        <w:rPr>
          <w:rFonts w:ascii="Times New Roman" w:cs="Times New Roman" w:eastAsia="Times New Roman" w:hAnsi="Times New Roman"/>
          <w:sz w:val="20"/>
          <w:szCs w:val="20"/>
          <w:color w:val="auto"/>
        </w:rPr>
        <w:t>goodwill is necessary. In performing Step Zero for the Company’s goodwill impairment test, the Company is required to make</w:t>
      </w:r>
    </w:p>
    <w:p>
      <w:pPr>
        <w:spacing w:after="0"/>
        <w:rPr>
          <w:sz w:val="20"/>
          <w:szCs w:val="20"/>
          <w:color w:val="auto"/>
        </w:rPr>
      </w:pPr>
      <w:r>
        <w:rPr>
          <w:rFonts w:ascii="Times New Roman" w:cs="Times New Roman" w:eastAsia="Times New Roman" w:hAnsi="Times New Roman"/>
          <w:sz w:val="20"/>
          <w:szCs w:val="20"/>
          <w:color w:val="auto"/>
        </w:rPr>
        <w:t>assumptions and judgments including but not limited to the following: the evaluation of macroeconomic conditions as related to the</w:t>
      </w:r>
    </w:p>
    <w:p>
      <w:pPr>
        <w:spacing w:after="0"/>
        <w:rPr>
          <w:sz w:val="20"/>
          <w:szCs w:val="20"/>
          <w:color w:val="auto"/>
        </w:rPr>
      </w:pPr>
      <w:r>
        <w:rPr>
          <w:rFonts w:ascii="Times New Roman" w:cs="Times New Roman" w:eastAsia="Times New Roman" w:hAnsi="Times New Roman"/>
          <w:sz w:val="20"/>
          <w:szCs w:val="20"/>
          <w:color w:val="auto"/>
        </w:rPr>
        <w:t>Company’s business, industry and market trends, and the overall future financial performance of its reporting units and future</w:t>
      </w:r>
    </w:p>
    <w:p>
      <w:pPr>
        <w:spacing w:after="0"/>
        <w:rPr>
          <w:sz w:val="20"/>
          <w:szCs w:val="20"/>
          <w:color w:val="auto"/>
        </w:rPr>
      </w:pPr>
      <w:r>
        <w:rPr>
          <w:rFonts w:ascii="Times New Roman" w:cs="Times New Roman" w:eastAsia="Times New Roman" w:hAnsi="Times New Roman"/>
          <w:sz w:val="20"/>
          <w:szCs w:val="20"/>
          <w:color w:val="auto"/>
        </w:rPr>
        <w:t>opportunities in the markets in which they operate. If impairment indicators are present after performing Step Zero, the Company</w:t>
      </w:r>
    </w:p>
    <w:p>
      <w:pPr>
        <w:spacing w:after="0"/>
        <w:rPr>
          <w:sz w:val="20"/>
          <w:szCs w:val="20"/>
          <w:color w:val="auto"/>
        </w:rPr>
      </w:pPr>
      <w:r>
        <w:rPr>
          <w:rFonts w:ascii="Times New Roman" w:cs="Times New Roman" w:eastAsia="Times New Roman" w:hAnsi="Times New Roman"/>
          <w:sz w:val="20"/>
          <w:szCs w:val="20"/>
          <w:color w:val="auto"/>
        </w:rPr>
        <w:t>would perform a quantitative impairment analysis to estimate the fair value of goodwill.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Determination of Reporting Units</w:t>
      </w:r>
    </w:p>
    <w:p>
      <w:pPr>
        <w:spacing w:after="0" w:line="228"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 xml:space="preserve">The Company’s assets are aggregated into two reportable segments (Retail and Consumer Packaged Goods). Management evaluated its reporting units under the accounting guidance provided in Accounting Standards Codification (“ASC”) </w:t>
      </w:r>
      <w:r>
        <w:rPr>
          <w:rFonts w:ascii="Times New Roman" w:cs="Times New Roman" w:eastAsia="Times New Roman" w:hAnsi="Times New Roman"/>
          <w:sz w:val="20"/>
          <w:szCs w:val="20"/>
          <w:i w:val="1"/>
          <w:iCs w:val="1"/>
          <w:color w:val="auto"/>
        </w:rPr>
        <w:t>280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Reporting, </w:t>
      </w:r>
      <w:r>
        <w:rPr>
          <w:rFonts w:ascii="Times New Roman" w:cs="Times New Roman" w:eastAsia="Times New Roman" w:hAnsi="Times New Roman"/>
          <w:sz w:val="20"/>
          <w:szCs w:val="20"/>
          <w:color w:val="auto"/>
        </w:rPr>
        <w:t>and determined that the individual components within each respective reportable segment were economically similar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thus, aggregation of those components into two reporting units that align with our reportable segments, was applied.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Consolidation</w:t>
      </w:r>
    </w:p>
    <w:p>
      <w:pPr>
        <w:spacing w:after="0" w:line="228"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Allowance for Uncollectible Accounts</w:t>
      </w:r>
    </w:p>
    <w:p>
      <w:pPr>
        <w:spacing w:after="0" w:line="228" w:lineRule="exact"/>
        <w:rPr>
          <w:sz w:val="20"/>
          <w:szCs w:val="20"/>
          <w:color w:val="auto"/>
        </w:rPr>
      </w:pPr>
    </w:p>
    <w:p>
      <w:pPr>
        <w:ind w:right="200" w:firstLine="720"/>
        <w:spacing w:after="0" w:line="270" w:lineRule="auto"/>
        <w:rPr>
          <w:sz w:val="20"/>
          <w:szCs w:val="20"/>
          <w:color w:val="auto"/>
        </w:rPr>
      </w:pPr>
      <w:r>
        <w:rPr>
          <w:rFonts w:ascii="Times New Roman" w:cs="Times New Roman" w:eastAsia="Times New Roman" w:hAnsi="Times New Roman"/>
          <w:sz w:val="19"/>
          <w:szCs w:val="19"/>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Stock-Based Payments</w:t>
      </w:r>
    </w:p>
    <w:p>
      <w:pPr>
        <w:spacing w:after="0" w:line="228" w:lineRule="exact"/>
        <w:rPr>
          <w:sz w:val="20"/>
          <w:szCs w:val="20"/>
          <w:color w:val="auto"/>
        </w:rPr>
      </w:pPr>
    </w:p>
    <w:p>
      <w:pPr>
        <w:jc w:val="both"/>
        <w:ind w:right="20" w:firstLine="720"/>
        <w:spacing w:after="0" w:line="252" w:lineRule="auto"/>
        <w:rPr>
          <w:sz w:val="20"/>
          <w:szCs w:val="20"/>
          <w:color w:val="auto"/>
        </w:rPr>
      </w:pPr>
      <w:r>
        <w:rPr>
          <w:rFonts w:ascii="Times New Roman" w:cs="Times New Roman" w:eastAsia="Times New Roman" w:hAnsi="Times New Roman"/>
          <w:sz w:val="20"/>
          <w:szCs w:val="20"/>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Fair Value of Financial Instruments</w:t>
      </w:r>
    </w:p>
    <w:p>
      <w:pPr>
        <w:spacing w:after="0" w:line="228"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ectPr>
          <w:pgSz w:w="12240" w:h="15840" w:orient="portrait"/>
          <w:cols w:equalWidth="0" w:num="1">
            <w:col w:w="10800"/>
          </w:cols>
          <w:pgMar w:left="720" w:top="932"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800"/>
          </w:cols>
          <w:pgMar w:left="720" w:top="932" w:right="720" w:bottom="175"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Financial Instruments and Financial Risk Management</w:t>
      </w:r>
    </w:p>
    <w:p>
      <w:pPr>
        <w:spacing w:after="0" w:line="234" w:lineRule="exact"/>
        <w:rPr>
          <w:sz w:val="20"/>
          <w:szCs w:val="20"/>
          <w:color w:val="auto"/>
        </w:rPr>
      </w:pPr>
    </w:p>
    <w:p>
      <w:pPr>
        <w:ind w:right="560" w:firstLine="720"/>
        <w:spacing w:after="0" w:line="294"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investments, accounts payable and accrued liabilities, notes payable, warrant liability and contingent consideration payable.</w:t>
      </w:r>
    </w:p>
    <w:p>
      <w:pPr>
        <w:spacing w:after="0" w:line="175" w:lineRule="exact"/>
        <w:rPr>
          <w:sz w:val="20"/>
          <w:szCs w:val="20"/>
          <w:color w:val="auto"/>
        </w:rPr>
      </w:pPr>
    </w:p>
    <w:p>
      <w:pPr>
        <w:ind w:right="400" w:firstLine="720"/>
        <w:spacing w:after="0" w:line="294" w:lineRule="auto"/>
        <w:rPr>
          <w:sz w:val="20"/>
          <w:szCs w:val="20"/>
          <w:color w:val="auto"/>
        </w:rPr>
      </w:pPr>
      <w:r>
        <w:rPr>
          <w:rFonts w:ascii="Times New Roman" w:cs="Times New Roman" w:eastAsia="Times New Roman" w:hAnsi="Times New Roman"/>
          <w:sz w:val="20"/>
          <w:szCs w:val="20"/>
          <w:color w:val="auto"/>
        </w:rPr>
        <w:t>Financial instruments recorded at fair value are classified using a fair value hierarchy that reflects the significance of the inputs to fair value measurements. The three levels of hierarchy are: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1</w:t>
      </w:r>
      <w:r>
        <w:rPr>
          <w:rFonts w:ascii="Times New Roman" w:cs="Times New Roman" w:eastAsia="Times New Roman" w:hAnsi="Times New Roman"/>
          <w:sz w:val="20"/>
          <w:szCs w:val="20"/>
          <w:color w:val="auto"/>
        </w:rPr>
        <w:t>—Unadjusted quoted prices in active markets for identical assets or liabilities;</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2</w:t>
      </w:r>
      <w:r>
        <w:rPr>
          <w:rFonts w:ascii="Times New Roman" w:cs="Times New Roman" w:eastAsia="Times New Roman" w:hAnsi="Times New Roman"/>
          <w:sz w:val="20"/>
          <w:szCs w:val="20"/>
          <w:color w:val="auto"/>
        </w:rPr>
        <w:t>—Inputs other than quoted prices that are observable for the asset or liability, either directly or indirectly; and</w:t>
      </w:r>
    </w:p>
    <w:p>
      <w:pPr>
        <w:spacing w:after="0" w:line="14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3</w:t>
      </w:r>
      <w:r>
        <w:rPr>
          <w:rFonts w:ascii="Times New Roman" w:cs="Times New Roman" w:eastAsia="Times New Roman" w:hAnsi="Times New Roman"/>
          <w:sz w:val="20"/>
          <w:szCs w:val="20"/>
          <w:color w:val="auto"/>
        </w:rPr>
        <w:t>—Inputs for the asset or liability that are not based on observable market data.</w:t>
      </w:r>
    </w:p>
    <w:p>
      <w:pPr>
        <w:spacing w:after="0" w:line="200" w:lineRule="exact"/>
        <w:rPr>
          <w:sz w:val="20"/>
          <w:szCs w:val="20"/>
          <w:color w:val="auto"/>
        </w:rPr>
      </w:pPr>
    </w:p>
    <w:p>
      <w:pPr>
        <w:spacing w:after="0" w:line="3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7A.</w:t>
        <w:tab/>
        <w:t>QUANTITATIVE AND QUALITATIVE DISCLOSURES ABOUT MARKET RISK</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 Management</w:t>
      </w:r>
    </w:p>
    <w:p>
      <w:pPr>
        <w:spacing w:after="0" w:line="124" w:lineRule="exact"/>
        <w:rPr>
          <w:sz w:val="20"/>
          <w:szCs w:val="20"/>
          <w:color w:val="auto"/>
        </w:rPr>
      </w:pPr>
    </w:p>
    <w:p>
      <w:pPr>
        <w:ind w:right="20" w:firstLine="720"/>
        <w:spacing w:after="0" w:line="277" w:lineRule="auto"/>
        <w:rPr>
          <w:sz w:val="20"/>
          <w:szCs w:val="20"/>
          <w:color w:val="auto"/>
        </w:rPr>
      </w:pPr>
      <w:r>
        <w:rPr>
          <w:rFonts w:ascii="Times New Roman" w:cs="Times New Roman" w:eastAsia="Times New Roman" w:hAnsi="Times New Roman"/>
          <w:sz w:val="20"/>
          <w:szCs w:val="20"/>
          <w:color w:val="auto"/>
        </w:rPr>
        <w:t>The Company is exposed in varying degrees to a variety of financial instrument related risks. The Board mitigates these risks by assessing, monitoring and approving the Company’s risk management processes.</w:t>
      </w:r>
    </w:p>
    <w:p>
      <w:pPr>
        <w:spacing w:after="0" w:line="15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Credit Risk</w:t>
      </w:r>
    </w:p>
    <w:p>
      <w:pPr>
        <w:spacing w:after="0" w:line="230"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Credit risk is the risk of a potential loss to the Company if a customer or third party to a financial instrument fails to meet its contractual obligations. The Company does not have significant credit risk with respect to its customers.</w:t>
      </w:r>
    </w:p>
    <w:p>
      <w:pPr>
        <w:spacing w:after="0" w:line="159" w:lineRule="exact"/>
        <w:rPr>
          <w:sz w:val="20"/>
          <w:szCs w:val="20"/>
          <w:color w:val="auto"/>
        </w:rPr>
      </w:pPr>
    </w:p>
    <w:p>
      <w:pPr>
        <w:ind w:right="140" w:firstLine="720"/>
        <w:spacing w:after="0" w:line="305" w:lineRule="auto"/>
        <w:rPr>
          <w:sz w:val="20"/>
          <w:szCs w:val="20"/>
          <w:color w:val="auto"/>
        </w:rPr>
      </w:pPr>
      <w:r>
        <w:rPr>
          <w:rFonts w:ascii="Times New Roman" w:cs="Times New Roman" w:eastAsia="Times New Roman" w:hAnsi="Times New Roman"/>
          <w:sz w:val="19"/>
          <w:szCs w:val="19"/>
          <w:color w:val="auto"/>
        </w:rPr>
        <w:t>The Company provides credit to its customers in the normal course of business. The Company has established credit evaluation and monitoring processes to mitigate credit risk but has limited risk as the majority of its sales are paid at the time of sale.</w:t>
      </w:r>
    </w:p>
    <w:p>
      <w:pPr>
        <w:spacing w:after="0" w:line="1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Liquidity Risk</w:t>
      </w:r>
    </w:p>
    <w:p>
      <w:pPr>
        <w:spacing w:after="0" w:line="230"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u w:val="single" w:color="auto"/>
          <w:color w:val="auto"/>
        </w:rPr>
        <w:t>Market Risk</w:t>
      </w:r>
    </w:p>
    <w:p>
      <w:pPr>
        <w:spacing w:after="0" w:line="230" w:lineRule="exact"/>
        <w:rPr>
          <w:sz w:val="20"/>
          <w:szCs w:val="20"/>
          <w:color w:val="auto"/>
        </w:rPr>
      </w:pPr>
    </w:p>
    <w:p>
      <w:pPr>
        <w:ind w:right="780" w:firstLine="720"/>
        <w:spacing w:after="0" w:line="277" w:lineRule="auto"/>
        <w:rPr>
          <w:sz w:val="20"/>
          <w:szCs w:val="20"/>
          <w:color w:val="auto"/>
        </w:rPr>
      </w:pPr>
      <w:r>
        <w:rPr>
          <w:rFonts w:ascii="Times New Roman" w:cs="Times New Roman" w:eastAsia="Times New Roman" w:hAnsi="Times New Roman"/>
          <w:sz w:val="20"/>
          <w:szCs w:val="20"/>
          <w:color w:val="auto"/>
        </w:rPr>
        <w:t>Market risk is the risk of loss arising from adverse changes in market rates and prices, such as interest rates, foreign exchange, raw material and other commodity prices.</w:t>
      </w:r>
    </w:p>
    <w:p>
      <w:pPr>
        <w:spacing w:after="0" w:line="159"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i w:val="1"/>
          <w:iCs w:val="1"/>
          <w:color w:val="auto"/>
        </w:rPr>
        <w:t>Interest Rate Risk</w:t>
      </w:r>
      <w:r>
        <w:rPr>
          <w:rFonts w:ascii="Times New Roman" w:cs="Times New Roman" w:eastAsia="Times New Roman" w:hAnsi="Times New Roman"/>
          <w:sz w:val="20"/>
          <w:szCs w:val="20"/>
          <w:color w:val="auto"/>
        </w:rPr>
        <w:t>. Interest rate risk is the risk that the fair value or future cash flows of a financial instrument will fluctuate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because of changes in market interest rates. Cash and cash equivalents bear interest at market rates. The Company’s notes payable bear interest at fixed and variable-rates allowing the Company to manage interest rate exposure.</w:t>
      </w:r>
    </w:p>
    <w:p>
      <w:pPr>
        <w:spacing w:after="0" w:line="17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i w:val="1"/>
          <w:iCs w:val="1"/>
          <w:color w:val="auto"/>
        </w:rPr>
        <w:t>Commodities Price Risk</w:t>
      </w:r>
      <w:r>
        <w:rPr>
          <w:rFonts w:ascii="Times New Roman" w:cs="Times New Roman" w:eastAsia="Times New Roman" w:hAnsi="Times New Roman"/>
          <w:sz w:val="20"/>
          <w:szCs w:val="20"/>
          <w:color w:val="auto"/>
        </w:rPr>
        <w:t>. Commodities Price risk is the risk of variability in fair value due to movements in equity or market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prices. The primary raw materials used by the Company aside from those cultivated internally are labels and packaging. Management believes a hypothetical 10% change in the price of these materials would not have a significant effect on the Company’s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18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financial information required by Item 8 is located beginning on page F-1 of this report.</w:t>
      </w:r>
    </w:p>
    <w:p>
      <w:pPr>
        <w:sectPr>
          <w:pgSz w:w="12240" w:h="15840" w:orient="portrait"/>
          <w:cols w:equalWidth="0" w:num="1">
            <w:col w:w="10760"/>
          </w:cols>
          <w:pgMar w:left="720" w:top="926" w:right="7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760"/>
          </w:cols>
          <w:pgMar w:left="720" w:top="926" w:right="760" w:bottom="175" w:gutter="0" w:footer="0" w:header="0"/>
          <w:type w:val="continuous"/>
        </w:sectPr>
      </w:pPr>
    </w:p>
    <w:bookmarkStart w:id="72" w:name="page73"/>
    <w:bookmarkEnd w:id="72"/>
    <w:p>
      <w:pPr>
        <w:ind w:left="360" w:hanging="1108"/>
        <w:spacing w:after="0" w:line="286" w:lineRule="auto"/>
        <w:tabs>
          <w:tab w:leader="none" w:pos="34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580"/>
          </w:cols>
          <w:pgMar w:left="1440" w:top="1386" w:right="12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580"/>
          </w:cols>
          <w:pgMar w:left="1440" w:top="1386" w:right="1220" w:bottom="175"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46" w:lineRule="exact"/>
        <w:rPr>
          <w:sz w:val="20"/>
          <w:szCs w:val="20"/>
          <w:color w:val="auto"/>
        </w:rPr>
      </w:pPr>
    </w:p>
    <w:p>
      <w:pPr>
        <w:ind w:firstLine="720"/>
        <w:spacing w:after="0" w:line="260" w:lineRule="auto"/>
        <w:rPr>
          <w:sz w:val="20"/>
          <w:szCs w:val="20"/>
          <w:color w:val="auto"/>
        </w:rPr>
      </w:pPr>
      <w:r>
        <w:rPr>
          <w:rFonts w:ascii="Times New Roman" w:cs="Times New Roman" w:eastAsia="Times New Roman" w:hAnsi="Times New Roman"/>
          <w:sz w:val="20"/>
          <w:szCs w:val="20"/>
          <w:color w:val="auto"/>
        </w:rPr>
        <w:t>The Company maintains “disclosure controls and procedures” as defined in Rules 13a-15(e) and 15d-15(e) under the Securities Exchange Act of 1934, as amended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Management, including the Chief Executive Officer and Chief Financial Officer, evaluated the effectiveness of the Company’s disclosure controls and procedures (as defined in Rules 13a-15(b) and Rule 15d-15(e) of the Exchange Act) as of December 31, 2024. Accordingly, as of December 31, 2024, the Company’s Chief Executive Officer and Chief Financial Officer concluded that the Company’s disclosure controls and procedures were effective as of such date.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Controls Over Financial Reporting</w:t>
      </w:r>
    </w:p>
    <w:p>
      <w:pPr>
        <w:spacing w:after="0" w:line="263" w:lineRule="exact"/>
        <w:rPr>
          <w:sz w:val="20"/>
          <w:szCs w:val="20"/>
          <w:color w:val="auto"/>
        </w:rPr>
      </w:pPr>
    </w:p>
    <w:p>
      <w:pPr>
        <w:jc w:val="both"/>
        <w:ind w:right="80" w:firstLine="720"/>
        <w:spacing w:after="0" w:line="263"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(as defined in Rule 13a-15(f) under the Exchange Act). Management, including the Chief Executive Officer and Chief Financial Officer, conducted an assessment of the effectiveness of our internal control over financial reporting based on the criteria established in “Internal Control</w:t>
      </w:r>
    </w:p>
    <w:p>
      <w:pPr>
        <w:spacing w:after="0" w:line="3" w:lineRule="exact"/>
        <w:rPr>
          <w:sz w:val="20"/>
          <w:szCs w:val="20"/>
          <w:color w:val="auto"/>
        </w:rPr>
      </w:pPr>
    </w:p>
    <w:p>
      <w:pPr>
        <w:ind w:right="480"/>
        <w:spacing w:after="0" w:line="265" w:lineRule="auto"/>
        <w:tabs>
          <w:tab w:leader="none" w:pos="11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Integrated Framework” (2013) issued by the Committee of Sponsoring Organizations of the Treadway Commission (“COSO”). Based on its assessment, management believes that, as of December 31, 2024, our internal control over financial reporting was effective based on those criteria.</w:t>
      </w:r>
    </w:p>
    <w:p>
      <w:pPr>
        <w:spacing w:after="0" w:line="203" w:lineRule="exact"/>
        <w:rPr>
          <w:sz w:val="20"/>
          <w:szCs w:val="20"/>
          <w:color w:val="auto"/>
        </w:rPr>
      </w:pPr>
    </w:p>
    <w:p>
      <w:pPr>
        <w:ind w:right="120" w:firstLine="720"/>
        <w:spacing w:after="0" w:line="264" w:lineRule="auto"/>
        <w:rPr>
          <w:sz w:val="20"/>
          <w:szCs w:val="20"/>
          <w:color w:val="auto"/>
        </w:rPr>
      </w:pPr>
      <w:r>
        <w:rPr>
          <w:rFonts w:ascii="Times New Roman" w:cs="Times New Roman" w:eastAsia="Times New Roman" w:hAnsi="Times New Roman"/>
          <w:sz w:val="20"/>
          <w:szCs w:val="20"/>
          <w:color w:val="auto"/>
        </w:rPr>
        <w:t>Our disclosure controls and procedures and internal controls over financial reporting are designed to provide reasonable assurance of achieving their objectives as specified above. Management does not expect, however, that our disclosure controls and procedures and internal controls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6"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2024, has been audited by our independent registered public accounting firm, as stated in their attestation report which is included in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63" w:lineRule="exact"/>
        <w:rPr>
          <w:sz w:val="20"/>
          <w:szCs w:val="20"/>
          <w:color w:val="auto"/>
        </w:rPr>
      </w:pPr>
    </w:p>
    <w:p>
      <w:pPr>
        <w:ind w:firstLine="720"/>
        <w:spacing w:after="0" w:line="294" w:lineRule="auto"/>
        <w:rPr>
          <w:sz w:val="20"/>
          <w:szCs w:val="20"/>
          <w:color w:val="auto"/>
        </w:rPr>
      </w:pPr>
      <w:r>
        <w:rPr>
          <w:rFonts w:ascii="Times New Roman" w:cs="Times New Roman" w:eastAsia="Times New Roman" w:hAnsi="Times New Roman"/>
          <w:sz w:val="20"/>
          <w:szCs w:val="20"/>
          <w:color w:val="auto"/>
        </w:rPr>
        <w:t>During the last fiscal quarter of the period covered by this report, there were no changes in our internal controls over financial reporting that have materially affected, or are reasonably likely to materially affect, such controls.</w:t>
      </w:r>
    </w:p>
    <w:p>
      <w:pPr>
        <w:spacing w:after="0" w:line="17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Plans.</w:t>
      </w:r>
    </w:p>
    <w:p>
      <w:pPr>
        <w:spacing w:after="0" w:line="23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During the three months ended December 31, 2024, none of the Company’s directors or Section 16 officers adopted or terminated a “Rule 10b5-1 trading arrangement” or a “non-Rule 10b5-1 trading arrangement”, as each term is defined under Item 408 of Regulation S-K.</w:t>
      </w:r>
    </w:p>
    <w:p>
      <w:pPr>
        <w:spacing w:after="0" w:line="1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800"/>
          </w:cols>
          <w:pgMar w:left="720" w:top="115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800"/>
          </w:cols>
          <w:pgMar w:left="720" w:top="1156" w:right="72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34" w:lineRule="exact"/>
        <w:rPr>
          <w:sz w:val="20"/>
          <w:szCs w:val="20"/>
          <w:color w:val="auto"/>
        </w:rPr>
      </w:pPr>
    </w:p>
    <w:p>
      <w:pPr>
        <w:ind w:right="220" w:firstLine="720"/>
        <w:spacing w:after="0" w:line="252" w:lineRule="auto"/>
        <w:rPr>
          <w:sz w:val="20"/>
          <w:szCs w:val="20"/>
          <w:color w:val="auto"/>
        </w:rPr>
      </w:pPr>
      <w:r>
        <w:rPr>
          <w:rFonts w:ascii="Times New Roman" w:cs="Times New Roman" w:eastAsia="Times New Roman" w:hAnsi="Times New Roman"/>
          <w:sz w:val="20"/>
          <w:szCs w:val="20"/>
          <w:color w:val="auto"/>
        </w:rPr>
        <w:t>Except for the information about our Code of Conduct below, the information required by this Item regarding directors and executive officers will be included in the 2025 Proxy Statement for the Company’s 2025 Annual General Meeting of Shareholders (the “2025 Proxy Statement”) to be filed pursuant to Regulation 14A within 120 days after the end of the fiscal year to which this report relates and which section is incorporated herein by reference.</w:t>
      </w:r>
    </w:p>
    <w:p>
      <w:pPr>
        <w:spacing w:after="0" w:line="184"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19"/>
          <w:szCs w:val="19"/>
          <w:color w:val="auto"/>
        </w:rPr>
        <w:t>We have adopted a Code of Ethical Business Conduct (“Code of Conduct”) that applies to all of our directors and employees, including our chief executive officer, president, chief financial officer and other persons performing similar functions as well as our other executive officers. We have posted a copy of our Code of Conduct on our website at https://www.gtigrows.com/. We intend to satisfy the disclosure requirements under Item 5.05 of Form 8-K regarding amendments to, or waivers from, the Code of Conduct by posting such information on the “Investors – Leadership &amp; Governance” section of our website at https://www.gtigrows.com/. Any of these items or any of our filings with the SEC are available in print to any shareholder who requests them. Requests should be sent to Green Thumb Industries Inc., 325 W. Huron Street, Chicago, IL 60654 Attn: Corporate Secretary.</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are not including the information contained on our website as part of, or incorporating it by reference into, this report.</w:t>
      </w:r>
    </w:p>
    <w:p>
      <w:pPr>
        <w:spacing w:after="0" w:line="230"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have adopted an insider trading policy and procedures governing the purchase, sale, and other dispositions of securities of the Company by directors, officers, and employees that we believe are reasonably designed to promote compliance with insider trading laws, rules and regulations, including applicable Canadian laws, rules regulations.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Insider Trading filed as Exhibit 19 to this Annual Report on Form 10-K.</w:t>
      </w:r>
    </w:p>
    <w:p>
      <w:pPr>
        <w:spacing w:after="0" w:line="18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b w:val="1"/>
          <w:bCs w:val="1"/>
          <w:color w:val="auto"/>
        </w:rPr>
        <w:t>EXECUTIVE COMPENSATION</w:t>
      </w:r>
    </w:p>
    <w:p>
      <w:pPr>
        <w:spacing w:after="0" w:line="234" w:lineRule="exact"/>
        <w:rPr>
          <w:sz w:val="20"/>
          <w:szCs w:val="20"/>
          <w:color w:val="auto"/>
        </w:rPr>
      </w:pPr>
    </w:p>
    <w:p>
      <w:pPr>
        <w:ind w:right="600" w:firstLine="72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 “Executive Compensation” in the 2025 Proxy Statement and which section is incorporated herein by reference.</w:t>
      </w:r>
    </w:p>
    <w:p>
      <w:pPr>
        <w:spacing w:after="0" w:line="15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w:t>
      </w:r>
    </w:p>
    <w:p>
      <w:pPr>
        <w:spacing w:after="0" w:line="234" w:lineRule="exact"/>
        <w:rPr>
          <w:sz w:val="20"/>
          <w:szCs w:val="20"/>
          <w:color w:val="auto"/>
        </w:rPr>
      </w:pPr>
    </w:p>
    <w:p>
      <w:pPr>
        <w:jc w:val="both"/>
        <w:ind w:right="160" w:firstLine="720"/>
        <w:spacing w:after="0" w:line="258" w:lineRule="auto"/>
        <w:rPr>
          <w:sz w:val="20"/>
          <w:szCs w:val="20"/>
          <w:color w:val="auto"/>
        </w:rPr>
      </w:pPr>
      <w:r>
        <w:rPr>
          <w:rFonts w:ascii="Times New Roman" w:cs="Times New Roman" w:eastAsia="Times New Roman" w:hAnsi="Times New Roman"/>
          <w:sz w:val="20"/>
          <w:szCs w:val="20"/>
          <w:color w:val="auto"/>
        </w:rPr>
        <w:t>Information regarding security ownership of certain beneficial owners and management will be included in the 2025 Proxy Statement under the caption “Security Ownership of Certain Beneficial Owners and Management” and which section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 Plans</w:t>
      </w:r>
    </w:p>
    <w:p>
      <w:pPr>
        <w:spacing w:after="0" w:line="234"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0"/>
          <w:szCs w:val="20"/>
          <w:color w:val="auto"/>
        </w:rPr>
        <w:t xml:space="preserve">Information regarding equity compensation plans will be included in the 2025 Proxy Statement under the caption “Security Based Compensation Arrangements” and which section is incorporated herein by reference. Notwithstanding anything to the contrary set forth in this report, the </w:t>
      </w:r>
      <w:r>
        <w:rPr>
          <w:rFonts w:ascii="Times New Roman" w:cs="Times New Roman" w:eastAsia="Times New Roman" w:hAnsi="Times New Roman"/>
          <w:sz w:val="20"/>
          <w:szCs w:val="20"/>
          <w:i w:val="1"/>
          <w:iCs w:val="1"/>
          <w:color w:val="auto"/>
        </w:rPr>
        <w:t>Report of the Compensation Committee</w:t>
      </w:r>
      <w:r>
        <w:rPr>
          <w:rFonts w:ascii="Times New Roman" w:cs="Times New Roman" w:eastAsia="Times New Roman" w:hAnsi="Times New Roman"/>
          <w:sz w:val="20"/>
          <w:szCs w:val="20"/>
          <w:color w:val="auto"/>
        </w:rPr>
        <w:t xml:space="preserve"> section of the 2025 Proxy Statement shall be deemed to be "furnished" and not "filed" for purposes of the Exchange Act.</w:t>
      </w:r>
    </w:p>
    <w:p>
      <w:pPr>
        <w:spacing w:after="0" w:line="18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DIRECTOR INDEPENDENCE</w:t>
      </w:r>
    </w:p>
    <w:p>
      <w:pPr>
        <w:spacing w:after="0" w:line="234" w:lineRule="exact"/>
        <w:rPr>
          <w:sz w:val="20"/>
          <w:szCs w:val="20"/>
          <w:color w:val="auto"/>
        </w:rPr>
      </w:pPr>
    </w:p>
    <w:p>
      <w:pPr>
        <w:ind w:right="260" w:firstLine="720"/>
        <w:spacing w:after="0" w:line="258" w:lineRule="auto"/>
        <w:rPr>
          <w:sz w:val="20"/>
          <w:szCs w:val="20"/>
          <w:color w:val="auto"/>
        </w:rPr>
      </w:pPr>
      <w:r>
        <w:rPr>
          <w:rFonts w:ascii="Times New Roman" w:cs="Times New Roman" w:eastAsia="Times New Roman" w:hAnsi="Times New Roman"/>
          <w:sz w:val="20"/>
          <w:szCs w:val="20"/>
          <w:color w:val="auto"/>
        </w:rPr>
        <w:t>Information regarding certain relationships and related transactions and director independence will be included in the 2025 Proxy Statement under the caption “Certain Relationships, Related Party Transactions and Policy Regarding Related Party Transactions” and which section is incorporated herein by reference.</w:t>
      </w:r>
    </w:p>
    <w:p>
      <w:pPr>
        <w:spacing w:after="0" w:line="17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b w:val="1"/>
          <w:bCs w:val="1"/>
          <w:color w:val="auto"/>
        </w:rPr>
        <w:t>PRINCIPAL ACCOUNTING FEES AND SERVICES</w:t>
      </w:r>
    </w:p>
    <w:p>
      <w:pPr>
        <w:spacing w:after="0" w:line="234" w:lineRule="exact"/>
        <w:rPr>
          <w:sz w:val="20"/>
          <w:szCs w:val="20"/>
          <w:color w:val="auto"/>
        </w:rPr>
      </w:pPr>
    </w:p>
    <w:p>
      <w:pPr>
        <w:ind w:right="100" w:firstLine="720"/>
        <w:spacing w:after="0" w:line="277" w:lineRule="auto"/>
        <w:rPr>
          <w:sz w:val="20"/>
          <w:szCs w:val="20"/>
          <w:color w:val="auto"/>
        </w:rPr>
      </w:pPr>
      <w:r>
        <w:rPr>
          <w:rFonts w:ascii="Times New Roman" w:cs="Times New Roman" w:eastAsia="Times New Roman" w:hAnsi="Times New Roman"/>
          <w:sz w:val="20"/>
          <w:szCs w:val="20"/>
          <w:color w:val="auto"/>
        </w:rPr>
        <w:t>Information regarding principal accounting fees and services will be included in the 2025 Proxy Statement under the caption “Principal Audit Fees and Services” and which section is incorporated herein by reference.</w:t>
      </w: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800"/>
          </w:cols>
          <w:pgMar w:left="720" w:top="926" w:right="720" w:bottom="175" w:gutter="0" w:footer="0" w:header="0"/>
          <w:type w:val="continuous"/>
        </w:sectPr>
      </w:pPr>
    </w:p>
    <w:bookmarkStart w:id="75" w:name="page76"/>
    <w:bookmarkEnd w:id="75"/>
    <w:p>
      <w:pPr>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ITEM 15 .</w:t>
        <w:tab/>
        <w:t>EXHIBITS, FINANCIAL STATEMENT SCHEDULES</w:t>
      </w:r>
    </w:p>
    <w:p>
      <w:pPr>
        <w:spacing w:after="0" w:line="248" w:lineRule="exact"/>
        <w:rPr>
          <w:sz w:val="20"/>
          <w:szCs w:val="20"/>
          <w:color w:val="auto"/>
        </w:rPr>
      </w:pPr>
    </w:p>
    <w:p>
      <w:pPr>
        <w:ind w:left="960" w:hanging="551"/>
        <w:spacing w:after="0"/>
        <w:tabs>
          <w:tab w:leader="none" w:pos="96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Financial Statements</w:t>
      </w:r>
    </w:p>
    <w:p>
      <w:pPr>
        <w:spacing w:after="0" w:line="230" w:lineRule="exact"/>
        <w:rPr>
          <w:sz w:val="20"/>
          <w:szCs w:val="20"/>
          <w:color w:val="auto"/>
        </w:rPr>
      </w:pPr>
    </w:p>
    <w:p>
      <w:pPr>
        <w:ind w:right="460" w:firstLine="720"/>
        <w:spacing w:after="0" w:line="277" w:lineRule="auto"/>
        <w:rPr>
          <w:sz w:val="20"/>
          <w:szCs w:val="20"/>
          <w:color w:val="auto"/>
        </w:rPr>
      </w:pPr>
      <w:r>
        <w:rPr>
          <w:rFonts w:ascii="Times New Roman" w:cs="Times New Roman" w:eastAsia="Times New Roman" w:hAnsi="Times New Roman"/>
          <w:sz w:val="20"/>
          <w:szCs w:val="20"/>
          <w:color w:val="auto"/>
        </w:rPr>
        <w:t>The financial statements listed in the accompanying index (page F-1) to the financial statements are filed as part of this Annual Report on Form 10-K.</w:t>
      </w:r>
    </w:p>
    <w:p>
      <w:pPr>
        <w:spacing w:after="0" w:line="173" w:lineRule="exact"/>
        <w:rPr>
          <w:sz w:val="20"/>
          <w:szCs w:val="20"/>
          <w:color w:val="auto"/>
        </w:rPr>
      </w:pPr>
    </w:p>
    <w:p>
      <w:pPr>
        <w:ind w:left="960" w:hanging="559"/>
        <w:spacing w:after="0"/>
        <w:tabs>
          <w:tab w:leader="none" w:pos="96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Exhibits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exhibits listed on the accompanying index (page E-1) are filed as part of this Annual Report on Form 10-K.</w:t>
      </w:r>
    </w:p>
    <w:p>
      <w:pPr>
        <w:spacing w:after="0" w:line="216" w:lineRule="exact"/>
        <w:rPr>
          <w:sz w:val="20"/>
          <w:szCs w:val="20"/>
          <w:color w:val="auto"/>
        </w:rPr>
      </w:pPr>
    </w:p>
    <w:p>
      <w:pPr>
        <w:ind w:left="940" w:hanging="525"/>
        <w:spacing w:after="0"/>
        <w:tabs>
          <w:tab w:leader="none" w:pos="94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Financial Statements Schedules omitted</w:t>
      </w:r>
    </w:p>
    <w:p>
      <w:pPr>
        <w:spacing w:after="0" w:line="230" w:lineRule="exact"/>
        <w:rPr>
          <w:sz w:val="20"/>
          <w:szCs w:val="20"/>
          <w:color w:val="auto"/>
        </w:rPr>
      </w:pPr>
    </w:p>
    <w:p>
      <w:pPr>
        <w:ind w:right="240" w:firstLine="720"/>
        <w:spacing w:after="0" w:line="277" w:lineRule="auto"/>
        <w:rPr>
          <w:sz w:val="20"/>
          <w:szCs w:val="20"/>
          <w:color w:val="auto"/>
        </w:rPr>
      </w:pPr>
      <w:r>
        <w:rPr>
          <w:rFonts w:ascii="Times New Roman" w:cs="Times New Roman" w:eastAsia="Times New Roman" w:hAnsi="Times New Roman"/>
          <w:sz w:val="20"/>
          <w:szCs w:val="20"/>
          <w:color w:val="auto"/>
        </w:rPr>
        <w:t>Certain schedules have been omitted because the required information is included in the consolidated financial statements and notes thereto or because they are not applicable or not required.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 INDEX TO FINANCIAL STATEMENTS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9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2024 and 2023</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Page</w:t>
            </w:r>
          </w:p>
        </w:tc>
        <w:tc>
          <w:tcPr>
            <w:tcW w:w="0" w:type="dxa"/>
            <w:vAlign w:val="bottom"/>
          </w:tcPr>
          <w:p>
            <w:pPr>
              <w:spacing w:after="0"/>
              <w:rPr>
                <w:sz w:val="1"/>
                <w:szCs w:val="1"/>
                <w:color w:val="auto"/>
              </w:rPr>
            </w:pPr>
          </w:p>
        </w:tc>
      </w:tr>
      <w:tr>
        <w:trPr>
          <w:trHeight w:val="225"/>
        </w:trPr>
        <w:tc>
          <w:tcPr>
            <w:tcW w:w="99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ind w:left="100"/>
              <w:spacing w:after="0" w:line="225" w:lineRule="exact"/>
              <w:rPr>
                <w:sz w:val="20"/>
                <w:szCs w:val="20"/>
                <w:color w:val="auto"/>
              </w:rPr>
            </w:pPr>
            <w:r>
              <w:rPr>
                <w:rFonts w:ascii="Times New Roman" w:cs="Times New Roman" w:eastAsia="Times New Roman" w:hAnsi="Times New Roman"/>
                <w:sz w:val="20"/>
                <w:szCs w:val="20"/>
                <w:color w:val="auto"/>
              </w:rPr>
              <w:t>F-1</w:t>
            </w: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each of the three years in the period ended December 31, 2024</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Changes in Shareholders’ Equity for each of the three years in the period ended December 31,</w:t>
            </w:r>
          </w:p>
        </w:tc>
        <w:tc>
          <w:tcPr>
            <w:tcW w:w="200" w:type="dxa"/>
            <w:vAlign w:val="bottom"/>
          </w:tcPr>
          <w:p>
            <w:pPr>
              <w:spacing w:after="0"/>
              <w:rPr>
                <w:sz w:val="19"/>
                <w:szCs w:val="19"/>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F-3</w:t>
            </w: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8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each of the three years in the period ended December 31, 2024</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4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0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66"/>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Report of Independent Public Accounting Firm (Baker Tilly US, LLC PCAOB ID: 23)</w:t>
            </w:r>
          </w:p>
        </w:tc>
        <w:tc>
          <w:tcPr>
            <w:tcW w:w="200" w:type="dxa"/>
            <w:vAlign w:val="bottom"/>
          </w:tcPr>
          <w:p>
            <w:pPr>
              <w:spacing w:after="0"/>
              <w:rPr>
                <w:sz w:val="23"/>
                <w:szCs w:val="23"/>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F-57</w:t>
            </w:r>
          </w:p>
        </w:tc>
        <w:tc>
          <w:tcPr>
            <w:tcW w:w="0" w:type="dxa"/>
            <w:vAlign w:val="bottom"/>
          </w:tcPr>
          <w:p>
            <w:pPr>
              <w:spacing w:after="0"/>
              <w:rPr>
                <w:sz w:val="1"/>
                <w:szCs w:val="1"/>
                <w:color w:val="auto"/>
              </w:rPr>
            </w:pPr>
          </w:p>
        </w:tc>
      </w:tr>
      <w:tr>
        <w:trPr>
          <w:trHeight w:val="464"/>
        </w:trPr>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 EXHIBITS</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6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A list of exhibits filed with this Annual Report on Form 10-K is included in the Exhibit Index on page E-1.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4"/>
        </w:trPr>
        <w:tc>
          <w:tcPr>
            <w:tcW w:w="10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16.</w:t>
            </w:r>
          </w:p>
        </w:tc>
        <w:tc>
          <w:tcPr>
            <w:tcW w:w="89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FORM 10-K SUMMARY</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700"/>
          </w:cols>
          <w:pgMar w:left="720" w:top="1156" w:right="8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700"/>
          </w:cols>
          <w:pgMar w:left="720" w:top="1156" w:right="820" w:bottom="175"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2240" w:h="15840" w:orient="portrait"/>
          <w:cols w:equalWidth="0" w:num="1">
            <w:col w:w="9360"/>
          </w:cols>
          <w:pgMar w:left="1440" w:top="1440" w:right="1440"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74"/>
        </w:trPr>
        <w:tc>
          <w:tcPr>
            <w:tcW w:w="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140" w:type="dxa"/>
            <w:vAlign w:val="bottom"/>
            <w:gridSpan w:val="19"/>
          </w:tcPr>
          <w:p>
            <w:pPr>
              <w:ind w:left="9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606"/>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10040" w:type="dxa"/>
            <w:vAlign w:val="bottom"/>
            <w:gridSpan w:val="24"/>
          </w:tcPr>
          <w:p>
            <w:pPr>
              <w:spacing w:after="0"/>
              <w:rPr>
                <w:sz w:val="20"/>
                <w:szCs w:val="20"/>
                <w:color w:val="auto"/>
              </w:rPr>
            </w:pPr>
            <w:r>
              <w:rPr>
                <w:rFonts w:ascii="Times New Roman" w:cs="Times New Roman" w:eastAsia="Times New Roman" w:hAnsi="Times New Roman"/>
                <w:sz w:val="16"/>
                <w:szCs w:val="16"/>
                <w:color w:val="001987"/>
              </w:rPr>
              <w:t>Amended and Restated Articles of Green Thumb Industries Inc.</w:t>
            </w: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4.1#</w:t>
            </w:r>
          </w:p>
        </w:tc>
        <w:tc>
          <w:tcPr>
            <w:tcW w:w="4080" w:type="dxa"/>
            <w:vAlign w:val="bottom"/>
            <w:tcBorders>
              <w:top w:val="single" w:sz="8" w:color="001987"/>
              <w:right w:val="single" w:sz="8" w:color="E6E6E6"/>
            </w:tcBorders>
            <w:gridSpan w:val="6"/>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Coattail Agreement, dated June 12, 2018, by and among the</w:t>
            </w:r>
          </w:p>
        </w:tc>
        <w:tc>
          <w:tcPr>
            <w:tcW w:w="5960" w:type="dxa"/>
            <w:vAlign w:val="bottom"/>
            <w:gridSpan w:val="18"/>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Shareholders, Green Thumb Industries Inc. and Odyssey Trust Company.</w:t>
            </w:r>
          </w:p>
        </w:tc>
      </w:tr>
      <w:tr>
        <w:trPr>
          <w:trHeight w:val="164"/>
        </w:trPr>
        <w:tc>
          <w:tcPr>
            <w:tcW w:w="760" w:type="dxa"/>
            <w:vAlign w:val="bottom"/>
            <w:tcBorders>
              <w:top w:val="single" w:sz="8" w:color="E6E6E6"/>
            </w:tcBorders>
          </w:tcPr>
          <w:p>
            <w:pPr>
              <w:spacing w:after="0" w:line="164" w:lineRule="exact"/>
              <w:rPr>
                <w:sz w:val="20"/>
                <w:szCs w:val="20"/>
                <w:color w:val="auto"/>
              </w:rPr>
            </w:pPr>
            <w:r>
              <w:rPr>
                <w:rFonts w:ascii="Times New Roman" w:cs="Times New Roman" w:eastAsia="Times New Roman" w:hAnsi="Times New Roman"/>
                <w:sz w:val="16"/>
                <w:szCs w:val="16"/>
                <w:color w:val="auto"/>
              </w:rPr>
              <w:t>4.2</w:t>
            </w:r>
          </w:p>
        </w:tc>
        <w:tc>
          <w:tcPr>
            <w:tcW w:w="8580" w:type="dxa"/>
            <w:vAlign w:val="bottom"/>
            <w:tcBorders>
              <w:top w:val="single" w:sz="8" w:color="001987"/>
            </w:tcBorders>
            <w:gridSpan w:val="22"/>
          </w:tcPr>
          <w:p>
            <w:pPr>
              <w:spacing w:after="0" w:line="164" w:lineRule="exact"/>
              <w:rPr>
                <w:sz w:val="20"/>
                <w:szCs w:val="20"/>
                <w:color w:val="auto"/>
              </w:rPr>
            </w:pPr>
            <w:r>
              <w:rPr>
                <w:rFonts w:ascii="Times New Roman" w:cs="Times New Roman" w:eastAsia="Times New Roman" w:hAnsi="Times New Roman"/>
                <w:sz w:val="16"/>
                <w:szCs w:val="16"/>
                <w:color w:val="001987"/>
              </w:rPr>
              <w:t>Description of Securities</w:t>
            </w:r>
          </w:p>
        </w:tc>
        <w:tc>
          <w:tcPr>
            <w:tcW w:w="1460" w:type="dxa"/>
            <w:vAlign w:val="bottom"/>
            <w:tcBorders>
              <w:top w:val="single" w:sz="8" w:color="E6E6E6"/>
            </w:tcBorders>
            <w:gridSpan w:val="2"/>
          </w:tcPr>
          <w:p>
            <w:pPr>
              <w:spacing w:after="0"/>
              <w:rPr>
                <w:sz w:val="14"/>
                <w:szCs w:val="14"/>
                <w:color w:val="auto"/>
              </w:rPr>
            </w:pP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10.2*^</w:t>
            </w:r>
          </w:p>
        </w:tc>
        <w:tc>
          <w:tcPr>
            <w:tcW w:w="1580" w:type="dxa"/>
            <w:vAlign w:val="bottom"/>
            <w:tcBorders>
              <w:top w:val="single" w:sz="8" w:color="001987"/>
              <w:bottom w:val="single" w:sz="8" w:color="001987"/>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8"/>
              </w:rPr>
              <w:t>Credit Agreement, dated</w:t>
            </w:r>
          </w:p>
        </w:tc>
        <w:tc>
          <w:tcPr>
            <w:tcW w:w="1320" w:type="dxa"/>
            <w:vAlign w:val="bottom"/>
            <w:tcBorders>
              <w:bottom w:val="single" w:sz="8" w:color="001987"/>
            </w:tcBorders>
            <w:gridSpan w:val="4"/>
            <w:shd w:val="clear" w:color="auto" w:fill="E6E6E6"/>
          </w:tcPr>
          <w:p>
            <w:pPr>
              <w:ind w:left="40"/>
              <w:spacing w:after="0" w:line="164" w:lineRule="exact"/>
              <w:rPr>
                <w:sz w:val="20"/>
                <w:szCs w:val="20"/>
                <w:color w:val="auto"/>
              </w:rPr>
            </w:pPr>
            <w:r>
              <w:rPr>
                <w:rFonts w:ascii="Times New Roman" w:cs="Times New Roman" w:eastAsia="Times New Roman" w:hAnsi="Times New Roman"/>
                <w:sz w:val="16"/>
                <w:szCs w:val="16"/>
                <w:color w:val="001987"/>
                <w:w w:val="98"/>
              </w:rPr>
              <w:t>September 11, 2024</w:t>
            </w:r>
          </w:p>
        </w:tc>
        <w:tc>
          <w:tcPr>
            <w:tcW w:w="7140" w:type="dxa"/>
            <w:vAlign w:val="bottom"/>
            <w:tcBorders>
              <w:bottom w:val="single" w:sz="8" w:color="E6E6E6"/>
            </w:tcBorders>
            <w:gridSpan w:val="19"/>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10.3#%</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Green Thumb Industries Inc. 2018 Stock and Incentive Plan, dated June 11, 2018.</w:t>
            </w: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10.4#%</w:t>
            </w:r>
          </w:p>
        </w:tc>
        <w:tc>
          <w:tcPr>
            <w:tcW w:w="5240" w:type="dxa"/>
            <w:vAlign w:val="bottom"/>
            <w:tcBorders>
              <w:top w:val="single" w:sz="8" w:color="001987"/>
              <w:bottom w:val="single" w:sz="8" w:color="001987"/>
            </w:tcBorders>
            <w:gridSpan w:val="12"/>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Amendment No. 1 to the Green Thumb Industries Inc. 2018 Stock and Incentive</w:t>
            </w:r>
          </w:p>
        </w:tc>
        <w:tc>
          <w:tcPr>
            <w:tcW w:w="1800" w:type="dxa"/>
            <w:vAlign w:val="bottom"/>
            <w:tcBorders>
              <w:bottom w:val="single" w:sz="8" w:color="001987"/>
            </w:tcBorders>
            <w:gridSpan w:val="8"/>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6"/>
              </w:rPr>
              <w:t>Plan, dated August 30, 2019.</w:t>
            </w:r>
          </w:p>
        </w:tc>
        <w:tc>
          <w:tcPr>
            <w:tcW w:w="3000" w:type="dxa"/>
            <w:vAlign w:val="bottom"/>
            <w:tcBorders>
              <w:bottom w:val="single" w:sz="8" w:color="E6E6E6"/>
            </w:tcBorders>
            <w:gridSpan w:val="4"/>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10.5@%</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Amendment No. 2 to the Green Thumb Industries Inc. 2018 Stock and Incentive Plan, dated April 7, 2023.</w:t>
            </w: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10.6&amp;%</w:t>
            </w:r>
          </w:p>
        </w:tc>
        <w:tc>
          <w:tcPr>
            <w:tcW w:w="6840" w:type="dxa"/>
            <w:vAlign w:val="bottom"/>
            <w:tcBorders>
              <w:top w:val="single" w:sz="8" w:color="001987"/>
              <w:bottom w:val="single" w:sz="8" w:color="001987"/>
            </w:tcBorders>
            <w:gridSpan w:val="18"/>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Amendment No. 3 to the Green Thumb Industries Inc. 2018 Stock and Incentive Plan, dated September 9,</w:t>
            </w:r>
          </w:p>
        </w:tc>
        <w:tc>
          <w:tcPr>
            <w:tcW w:w="300" w:type="dxa"/>
            <w:vAlign w:val="bottom"/>
            <w:tcBorders>
              <w:bottom w:val="single" w:sz="8" w:color="001987"/>
            </w:tcBorders>
            <w:gridSpan w:val="3"/>
            <w:shd w:val="clear" w:color="auto" w:fill="E6E6E6"/>
          </w:tcPr>
          <w:p>
            <w:pPr>
              <w:jc w:val="right"/>
              <w:spacing w:after="0" w:line="164" w:lineRule="exact"/>
              <w:rPr>
                <w:sz w:val="20"/>
                <w:szCs w:val="20"/>
                <w:color w:val="auto"/>
              </w:rPr>
            </w:pPr>
            <w:r>
              <w:rPr>
                <w:rFonts w:ascii="Times New Roman" w:cs="Times New Roman" w:eastAsia="Times New Roman" w:hAnsi="Times New Roman"/>
                <w:sz w:val="16"/>
                <w:szCs w:val="16"/>
                <w:color w:val="001987"/>
                <w:w w:val="87"/>
              </w:rPr>
              <w:t>2024</w:t>
            </w:r>
          </w:p>
        </w:tc>
        <w:tc>
          <w:tcPr>
            <w:tcW w:w="2700" w:type="dxa"/>
            <w:vAlign w:val="bottom"/>
            <w:tcBorders>
              <w:bottom w:val="single" w:sz="8" w:color="E6E6E6"/>
            </w:tcBorders>
            <w:gridSpan w:val="2"/>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10.7≠%</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Form of Notice of Option Grant (awards granted prior to April 2023).</w:t>
            </w: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10.8≠%</w:t>
            </w:r>
          </w:p>
        </w:tc>
        <w:tc>
          <w:tcPr>
            <w:tcW w:w="4460" w:type="dxa"/>
            <w:vAlign w:val="bottom"/>
            <w:tcBorders>
              <w:top w:val="single" w:sz="8" w:color="001987"/>
            </w:tcBorders>
            <w:gridSpan w:val="8"/>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Form of Option Agreement (awards granted prior to April 2023).</w:t>
            </w:r>
          </w:p>
        </w:tc>
        <w:tc>
          <w:tcPr>
            <w:tcW w:w="2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4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420" w:type="dxa"/>
            <w:vAlign w:val="bottom"/>
            <w:shd w:val="clear" w:color="auto" w:fill="E6E6E6"/>
          </w:tcPr>
          <w:p>
            <w:pPr>
              <w:spacing w:after="0"/>
              <w:rPr>
                <w:sz w:val="14"/>
                <w:szCs w:val="14"/>
                <w:color w:val="auto"/>
              </w:rPr>
            </w:pPr>
          </w:p>
        </w:tc>
        <w:tc>
          <w:tcPr>
            <w:tcW w:w="64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40" w:type="dxa"/>
            <w:vAlign w:val="bottom"/>
            <w:shd w:val="clear" w:color="auto" w:fill="E6E6E6"/>
          </w:tcPr>
          <w:p>
            <w:pPr>
              <w:spacing w:after="0"/>
              <w:rPr>
                <w:sz w:val="14"/>
                <w:szCs w:val="14"/>
                <w:color w:val="auto"/>
              </w:rPr>
            </w:pPr>
          </w:p>
        </w:tc>
        <w:tc>
          <w:tcPr>
            <w:tcW w:w="126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r>
      <w:tr>
        <w:trPr>
          <w:trHeight w:val="20"/>
        </w:trPr>
        <w:tc>
          <w:tcPr>
            <w:tcW w:w="760" w:type="dxa"/>
            <w:vAlign w:val="bottom"/>
            <w:shd w:val="clear" w:color="auto" w:fill="E6E6E6"/>
          </w:tcPr>
          <w:p>
            <w:pPr>
              <w:spacing w:after="0" w:line="20" w:lineRule="exact"/>
              <w:rPr>
                <w:sz w:val="1"/>
                <w:szCs w:val="1"/>
                <w:color w:val="auto"/>
              </w:rPr>
            </w:pPr>
          </w:p>
        </w:tc>
        <w:tc>
          <w:tcPr>
            <w:tcW w:w="1580" w:type="dxa"/>
            <w:vAlign w:val="bottom"/>
            <w:shd w:val="clear" w:color="auto" w:fill="001987"/>
          </w:tcPr>
          <w:p>
            <w:pPr>
              <w:spacing w:after="0" w:line="20" w:lineRule="exact"/>
              <w:rPr>
                <w:sz w:val="1"/>
                <w:szCs w:val="1"/>
                <w:color w:val="auto"/>
              </w:rPr>
            </w:pPr>
          </w:p>
        </w:tc>
        <w:tc>
          <w:tcPr>
            <w:tcW w:w="60" w:type="dxa"/>
            <w:vAlign w:val="bottom"/>
            <w:shd w:val="clear" w:color="auto" w:fill="001987"/>
          </w:tcPr>
          <w:p>
            <w:pPr>
              <w:spacing w:after="0" w:line="20" w:lineRule="exact"/>
              <w:rPr>
                <w:sz w:val="1"/>
                <w:szCs w:val="1"/>
                <w:color w:val="auto"/>
              </w:rPr>
            </w:pPr>
          </w:p>
        </w:tc>
        <w:tc>
          <w:tcPr>
            <w:tcW w:w="160" w:type="dxa"/>
            <w:vAlign w:val="bottom"/>
            <w:shd w:val="clear" w:color="auto" w:fill="001987"/>
          </w:tcPr>
          <w:p>
            <w:pPr>
              <w:spacing w:after="0" w:line="20" w:lineRule="exact"/>
              <w:rPr>
                <w:sz w:val="1"/>
                <w:szCs w:val="1"/>
                <w:color w:val="auto"/>
              </w:rPr>
            </w:pPr>
          </w:p>
        </w:tc>
        <w:tc>
          <w:tcPr>
            <w:tcW w:w="560" w:type="dxa"/>
            <w:vAlign w:val="bottom"/>
            <w:shd w:val="clear" w:color="auto" w:fill="001987"/>
          </w:tcPr>
          <w:p>
            <w:pPr>
              <w:spacing w:after="0" w:line="20" w:lineRule="exact"/>
              <w:rPr>
                <w:sz w:val="1"/>
                <w:szCs w:val="1"/>
                <w:color w:val="auto"/>
              </w:rPr>
            </w:pPr>
          </w:p>
        </w:tc>
        <w:tc>
          <w:tcPr>
            <w:tcW w:w="540" w:type="dxa"/>
            <w:vAlign w:val="bottom"/>
            <w:shd w:val="clear" w:color="auto" w:fill="001987"/>
          </w:tcPr>
          <w:p>
            <w:pPr>
              <w:spacing w:after="0" w:line="20" w:lineRule="exact"/>
              <w:rPr>
                <w:sz w:val="1"/>
                <w:szCs w:val="1"/>
                <w:color w:val="auto"/>
              </w:rPr>
            </w:pPr>
          </w:p>
        </w:tc>
        <w:tc>
          <w:tcPr>
            <w:tcW w:w="1180" w:type="dxa"/>
            <w:vAlign w:val="bottom"/>
            <w:tcBorders>
              <w:right w:val="single" w:sz="8" w:color="001987"/>
            </w:tcBorders>
            <w:shd w:val="clear" w:color="auto" w:fill="001987"/>
          </w:tcPr>
          <w:p>
            <w:pPr>
              <w:spacing w:after="0" w:line="20" w:lineRule="exact"/>
              <w:rPr>
                <w:sz w:val="1"/>
                <w:szCs w:val="1"/>
                <w:color w:val="auto"/>
              </w:rPr>
            </w:pPr>
          </w:p>
        </w:tc>
        <w:tc>
          <w:tcPr>
            <w:tcW w:w="80" w:type="dxa"/>
            <w:vAlign w:val="bottom"/>
            <w:shd w:val="clear" w:color="auto" w:fill="001987"/>
          </w:tcPr>
          <w:p>
            <w:pPr>
              <w:spacing w:after="0" w:line="20" w:lineRule="exact"/>
              <w:rPr>
                <w:sz w:val="1"/>
                <w:szCs w:val="1"/>
                <w:color w:val="auto"/>
              </w:rPr>
            </w:pPr>
          </w:p>
        </w:tc>
        <w:tc>
          <w:tcPr>
            <w:tcW w:w="300" w:type="dxa"/>
            <w:vAlign w:val="bottom"/>
            <w:shd w:val="clear" w:color="auto" w:fill="E6E6E6"/>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6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420" w:type="dxa"/>
            <w:vAlign w:val="bottom"/>
            <w:shd w:val="clear" w:color="auto" w:fill="E6E6E6"/>
          </w:tcPr>
          <w:p>
            <w:pPr>
              <w:spacing w:after="0" w:line="20" w:lineRule="exact"/>
              <w:rPr>
                <w:sz w:val="1"/>
                <w:szCs w:val="1"/>
                <w:color w:val="auto"/>
              </w:rPr>
            </w:pPr>
          </w:p>
        </w:tc>
        <w:tc>
          <w:tcPr>
            <w:tcW w:w="64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40" w:type="dxa"/>
            <w:vAlign w:val="bottom"/>
            <w:shd w:val="clear" w:color="auto" w:fill="E6E6E6"/>
          </w:tcPr>
          <w:p>
            <w:pPr>
              <w:spacing w:after="0" w:line="20" w:lineRule="exact"/>
              <w:rPr>
                <w:sz w:val="1"/>
                <w:szCs w:val="1"/>
                <w:color w:val="auto"/>
              </w:rPr>
            </w:pPr>
          </w:p>
        </w:tc>
        <w:tc>
          <w:tcPr>
            <w:tcW w:w="1260" w:type="dxa"/>
            <w:vAlign w:val="bottom"/>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10.9≠%</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Form of Notice of RSU Grant and Agreement (awards granted prior to April 2023).</w:t>
            </w: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10.10+%</w:t>
            </w:r>
          </w:p>
        </w:tc>
        <w:tc>
          <w:tcPr>
            <w:tcW w:w="5340" w:type="dxa"/>
            <w:vAlign w:val="bottom"/>
            <w:tcBorders>
              <w:top w:val="single" w:sz="8" w:color="001987"/>
            </w:tcBorders>
            <w:gridSpan w:val="13"/>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Form of Indemnification Agreement.</w:t>
            </w:r>
          </w:p>
        </w:tc>
        <w:tc>
          <w:tcPr>
            <w:tcW w:w="340" w:type="dxa"/>
            <w:vAlign w:val="bottom"/>
            <w:shd w:val="clear" w:color="auto" w:fill="E6E6E6"/>
          </w:tcPr>
          <w:p>
            <w:pPr>
              <w:spacing w:after="0"/>
              <w:rPr>
                <w:sz w:val="14"/>
                <w:szCs w:val="14"/>
                <w:color w:val="auto"/>
              </w:rPr>
            </w:pPr>
          </w:p>
        </w:tc>
        <w:tc>
          <w:tcPr>
            <w:tcW w:w="40" w:type="dxa"/>
            <w:vAlign w:val="bottom"/>
            <w:shd w:val="clear" w:color="auto" w:fill="E6E6E6"/>
          </w:tcPr>
          <w:p>
            <w:pPr>
              <w:spacing w:after="0"/>
              <w:rPr>
                <w:sz w:val="14"/>
                <w:szCs w:val="14"/>
                <w:color w:val="auto"/>
              </w:rPr>
            </w:pPr>
          </w:p>
        </w:tc>
        <w:tc>
          <w:tcPr>
            <w:tcW w:w="420" w:type="dxa"/>
            <w:vAlign w:val="bottom"/>
            <w:shd w:val="clear" w:color="auto" w:fill="E6E6E6"/>
          </w:tcPr>
          <w:p>
            <w:pPr>
              <w:spacing w:after="0"/>
              <w:rPr>
                <w:sz w:val="14"/>
                <w:szCs w:val="14"/>
                <w:color w:val="auto"/>
              </w:rPr>
            </w:pPr>
          </w:p>
        </w:tc>
        <w:tc>
          <w:tcPr>
            <w:tcW w:w="64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6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40" w:type="dxa"/>
            <w:vAlign w:val="bottom"/>
            <w:shd w:val="clear" w:color="auto" w:fill="E6E6E6"/>
          </w:tcPr>
          <w:p>
            <w:pPr>
              <w:spacing w:after="0"/>
              <w:rPr>
                <w:sz w:val="14"/>
                <w:szCs w:val="14"/>
                <w:color w:val="auto"/>
              </w:rPr>
            </w:pPr>
          </w:p>
        </w:tc>
        <w:tc>
          <w:tcPr>
            <w:tcW w:w="1260" w:type="dxa"/>
            <w:vAlign w:val="bottom"/>
            <w:shd w:val="clear" w:color="auto" w:fill="E6E6E6"/>
          </w:tcPr>
          <w:p>
            <w:pPr>
              <w:spacing w:after="0"/>
              <w:rPr>
                <w:sz w:val="14"/>
                <w:szCs w:val="14"/>
                <w:color w:val="auto"/>
              </w:rPr>
            </w:pPr>
          </w:p>
        </w:tc>
        <w:tc>
          <w:tcPr>
            <w:tcW w:w="200" w:type="dxa"/>
            <w:vAlign w:val="bottom"/>
            <w:shd w:val="clear" w:color="auto" w:fill="E6E6E6"/>
          </w:tcPr>
          <w:p>
            <w:pPr>
              <w:spacing w:after="0"/>
              <w:rPr>
                <w:sz w:val="14"/>
                <w:szCs w:val="14"/>
                <w:color w:val="auto"/>
              </w:rPr>
            </w:pPr>
          </w:p>
        </w:tc>
      </w:tr>
      <w:tr>
        <w:trPr>
          <w:trHeight w:val="164"/>
        </w:trPr>
        <w:tc>
          <w:tcPr>
            <w:tcW w:w="760" w:type="dxa"/>
            <w:vAlign w:val="bottom"/>
            <w:tcBorders>
              <w:top w:val="single" w:sz="8" w:color="E6E6E6"/>
            </w:tcBorders>
          </w:tcPr>
          <w:p>
            <w:pPr>
              <w:spacing w:after="0" w:line="164" w:lineRule="exact"/>
              <w:rPr>
                <w:sz w:val="20"/>
                <w:szCs w:val="20"/>
                <w:color w:val="auto"/>
              </w:rPr>
            </w:pPr>
            <w:r>
              <w:rPr>
                <w:rFonts w:ascii="Times New Roman" w:cs="Times New Roman" w:eastAsia="Times New Roman" w:hAnsi="Times New Roman"/>
                <w:sz w:val="16"/>
                <w:szCs w:val="16"/>
                <w:color w:val="auto"/>
              </w:rPr>
              <w:t>10.11≠%</w:t>
            </w:r>
          </w:p>
        </w:tc>
        <w:tc>
          <w:tcPr>
            <w:tcW w:w="2360" w:type="dxa"/>
            <w:vAlign w:val="bottom"/>
            <w:tcBorders>
              <w:top w:val="single" w:sz="8" w:color="001987"/>
              <w:bottom w:val="single" w:sz="8" w:color="001987"/>
            </w:tcBorders>
            <w:gridSpan w:val="4"/>
          </w:tcPr>
          <w:p>
            <w:pPr>
              <w:spacing w:after="0" w:line="164" w:lineRule="exact"/>
              <w:rPr>
                <w:sz w:val="20"/>
                <w:szCs w:val="20"/>
                <w:color w:val="auto"/>
              </w:rPr>
            </w:pPr>
            <w:r>
              <w:rPr>
                <w:rFonts w:ascii="Times New Roman" w:cs="Times New Roman" w:eastAsia="Times New Roman" w:hAnsi="Times New Roman"/>
                <w:sz w:val="16"/>
                <w:szCs w:val="16"/>
                <w:color w:val="001987"/>
              </w:rPr>
              <w:t>Form of Annual Bonus Plan</w:t>
            </w:r>
          </w:p>
        </w:tc>
        <w:tc>
          <w:tcPr>
            <w:tcW w:w="1720" w:type="dxa"/>
            <w:vAlign w:val="bottom"/>
            <w:tcBorders>
              <w:top w:val="single" w:sz="8" w:color="E6E6E6"/>
              <w:bottom w:val="single" w:sz="8" w:color="001987"/>
            </w:tcBorders>
            <w:gridSpan w:val="2"/>
          </w:tcPr>
          <w:p>
            <w:pPr>
              <w:spacing w:after="0"/>
              <w:rPr>
                <w:sz w:val="14"/>
                <w:szCs w:val="14"/>
                <w:color w:val="auto"/>
              </w:rPr>
            </w:pPr>
          </w:p>
        </w:tc>
        <w:tc>
          <w:tcPr>
            <w:tcW w:w="5960" w:type="dxa"/>
            <w:vAlign w:val="bottom"/>
            <w:tcBorders>
              <w:top w:val="single" w:sz="8" w:color="E6E6E6"/>
            </w:tcBorders>
            <w:gridSpan w:val="18"/>
          </w:tcPr>
          <w:p>
            <w:pPr>
              <w:spacing w:after="0"/>
              <w:rPr>
                <w:sz w:val="14"/>
                <w:szCs w:val="14"/>
                <w:color w:val="auto"/>
              </w:rPr>
            </w:pP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10.12≠%</w:t>
            </w:r>
          </w:p>
        </w:tc>
        <w:tc>
          <w:tcPr>
            <w:tcW w:w="9840" w:type="dxa"/>
            <w:vAlign w:val="bottom"/>
            <w:tcBorders>
              <w:bottom w:val="single" w:sz="8" w:color="001987"/>
            </w:tcBorders>
            <w:gridSpan w:val="23"/>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9"/>
              </w:rPr>
              <w:t>Form of Executive Confidentiality, Non-Compete, Non-Solicitation, Non-Disparagement and Invention Assignment Agreement (Kovler and Georgiadis).</w:t>
            </w:r>
          </w:p>
        </w:tc>
        <w:tc>
          <w:tcPr>
            <w:tcW w:w="200" w:type="dxa"/>
            <w:vAlign w:val="bottom"/>
            <w:tcBorders>
              <w:bottom w:val="single" w:sz="8" w:color="E6E6E6"/>
            </w:tcBorders>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10.13≠%</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Kravitz Confidentiality, Non-Compete, Non-Solicitation and Invention Assignment Agreement.</w:t>
            </w: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10.14≠%</w:t>
            </w:r>
          </w:p>
        </w:tc>
        <w:tc>
          <w:tcPr>
            <w:tcW w:w="6140" w:type="dxa"/>
            <w:vAlign w:val="bottom"/>
            <w:tcBorders>
              <w:top w:val="single" w:sz="8" w:color="001987"/>
            </w:tcBorders>
            <w:gridSpan w:val="16"/>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9"/>
              </w:rPr>
              <w:t>Faulkner Executive Confidentiality, Non-Compete, Non-Solicitation and Invention Assignment</w:t>
            </w:r>
          </w:p>
        </w:tc>
        <w:tc>
          <w:tcPr>
            <w:tcW w:w="3900" w:type="dxa"/>
            <w:vAlign w:val="bottom"/>
            <w:gridSpan w:val="8"/>
            <w:shd w:val="clear" w:color="auto" w:fill="E6E6E6"/>
          </w:tcPr>
          <w:p>
            <w:pPr>
              <w:ind w:left="20"/>
              <w:spacing w:after="0" w:line="164" w:lineRule="exact"/>
              <w:rPr>
                <w:sz w:val="20"/>
                <w:szCs w:val="20"/>
                <w:color w:val="auto"/>
              </w:rPr>
            </w:pPr>
            <w:r>
              <w:rPr>
                <w:rFonts w:ascii="Times New Roman" w:cs="Times New Roman" w:eastAsia="Times New Roman" w:hAnsi="Times New Roman"/>
                <w:sz w:val="16"/>
                <w:szCs w:val="16"/>
                <w:color w:val="001987"/>
              </w:rPr>
              <w:t>Agreement.</w:t>
            </w:r>
          </w:p>
        </w:tc>
      </w:tr>
      <w:tr>
        <w:trPr>
          <w:trHeight w:val="164"/>
        </w:trPr>
        <w:tc>
          <w:tcPr>
            <w:tcW w:w="760" w:type="dxa"/>
            <w:vAlign w:val="bottom"/>
            <w:tcBorders>
              <w:top w:val="single" w:sz="8" w:color="E6E6E6"/>
            </w:tcBorders>
          </w:tcPr>
          <w:p>
            <w:pPr>
              <w:spacing w:after="0" w:line="164" w:lineRule="exact"/>
              <w:rPr>
                <w:sz w:val="20"/>
                <w:szCs w:val="20"/>
                <w:color w:val="auto"/>
              </w:rPr>
            </w:pPr>
            <w:r>
              <w:rPr>
                <w:rFonts w:ascii="Times New Roman" w:cs="Times New Roman" w:eastAsia="Times New Roman" w:hAnsi="Times New Roman"/>
                <w:sz w:val="16"/>
                <w:szCs w:val="16"/>
                <w:color w:val="auto"/>
              </w:rPr>
              <w:t>10.15@%</w:t>
            </w:r>
          </w:p>
        </w:tc>
        <w:tc>
          <w:tcPr>
            <w:tcW w:w="6900" w:type="dxa"/>
            <w:vAlign w:val="bottom"/>
            <w:tcBorders>
              <w:top w:val="single" w:sz="8" w:color="001987"/>
            </w:tcBorders>
            <w:gridSpan w:val="19"/>
          </w:tcPr>
          <w:p>
            <w:pPr>
              <w:spacing w:after="0" w:line="164" w:lineRule="exact"/>
              <w:rPr>
                <w:sz w:val="20"/>
                <w:szCs w:val="20"/>
                <w:color w:val="auto"/>
              </w:rPr>
            </w:pPr>
            <w:r>
              <w:rPr>
                <w:rFonts w:ascii="Times New Roman" w:cs="Times New Roman" w:eastAsia="Times New Roman" w:hAnsi="Times New Roman"/>
                <w:sz w:val="16"/>
                <w:szCs w:val="16"/>
                <w:color w:val="001987"/>
              </w:rPr>
              <w:t>2023 Form of Option Grant Agreement (awards granted beginning in April 2023)</w:t>
            </w:r>
          </w:p>
        </w:tc>
        <w:tc>
          <w:tcPr>
            <w:tcW w:w="3140" w:type="dxa"/>
            <w:vAlign w:val="bottom"/>
            <w:tcBorders>
              <w:top w:val="single" w:sz="8" w:color="E6E6E6"/>
            </w:tcBorders>
            <w:gridSpan w:val="5"/>
          </w:tcPr>
          <w:p>
            <w:pPr>
              <w:spacing w:after="0"/>
              <w:rPr>
                <w:sz w:val="14"/>
                <w:szCs w:val="14"/>
                <w:color w:val="auto"/>
              </w:rPr>
            </w:pP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10.16@%</w:t>
            </w:r>
          </w:p>
        </w:tc>
        <w:tc>
          <w:tcPr>
            <w:tcW w:w="4680" w:type="dxa"/>
            <w:vAlign w:val="bottom"/>
            <w:tcBorders>
              <w:top w:val="single" w:sz="8" w:color="001987"/>
              <w:bottom w:val="single" w:sz="8" w:color="001987"/>
            </w:tcBorders>
            <w:gridSpan w:val="9"/>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9"/>
              </w:rPr>
              <w:t>2023 Form of RSU Agreement (awards granted beginning in April 2023)</w:t>
            </w:r>
          </w:p>
        </w:tc>
        <w:tc>
          <w:tcPr>
            <w:tcW w:w="540" w:type="dxa"/>
            <w:vAlign w:val="bottom"/>
            <w:tcBorders>
              <w:top w:val="single" w:sz="8" w:color="001987"/>
              <w:bottom w:val="single" w:sz="8" w:color="E6E6E6"/>
            </w:tcBorders>
            <w:gridSpan w:val="2"/>
            <w:shd w:val="clear" w:color="auto" w:fill="E6E6E6"/>
          </w:tcPr>
          <w:p>
            <w:pPr>
              <w:spacing w:after="0"/>
              <w:rPr>
                <w:sz w:val="14"/>
                <w:szCs w:val="14"/>
                <w:color w:val="auto"/>
              </w:rPr>
            </w:pPr>
          </w:p>
        </w:tc>
        <w:tc>
          <w:tcPr>
            <w:tcW w:w="2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40" w:type="dxa"/>
            <w:vAlign w:val="bottom"/>
            <w:tcBorders>
              <w:bottom w:val="single" w:sz="8" w:color="E6E6E6"/>
            </w:tcBorders>
            <w:shd w:val="clear" w:color="auto" w:fill="E6E6E6"/>
          </w:tcPr>
          <w:p>
            <w:pPr>
              <w:spacing w:after="0"/>
              <w:rPr>
                <w:sz w:val="14"/>
                <w:szCs w:val="14"/>
                <w:color w:val="auto"/>
              </w:rPr>
            </w:pPr>
          </w:p>
        </w:tc>
        <w:tc>
          <w:tcPr>
            <w:tcW w:w="420" w:type="dxa"/>
            <w:vAlign w:val="bottom"/>
            <w:tcBorders>
              <w:bottom w:val="single" w:sz="8" w:color="E6E6E6"/>
            </w:tcBorders>
            <w:shd w:val="clear" w:color="auto" w:fill="E6E6E6"/>
          </w:tcPr>
          <w:p>
            <w:pPr>
              <w:spacing w:after="0"/>
              <w:rPr>
                <w:sz w:val="14"/>
                <w:szCs w:val="14"/>
                <w:color w:val="auto"/>
              </w:rPr>
            </w:pPr>
          </w:p>
        </w:tc>
        <w:tc>
          <w:tcPr>
            <w:tcW w:w="640" w:type="dxa"/>
            <w:vAlign w:val="bottom"/>
            <w:tcBorders>
              <w:bottom w:val="single" w:sz="8" w:color="E6E6E6"/>
            </w:tcBorders>
            <w:shd w:val="clear" w:color="auto" w:fill="E6E6E6"/>
          </w:tcPr>
          <w:p>
            <w:pPr>
              <w:spacing w:after="0"/>
              <w:rPr>
                <w:sz w:val="14"/>
                <w:szCs w:val="14"/>
                <w:color w:val="auto"/>
              </w:rPr>
            </w:pPr>
          </w:p>
        </w:tc>
        <w:tc>
          <w:tcPr>
            <w:tcW w:w="60" w:type="dxa"/>
            <w:vAlign w:val="bottom"/>
            <w:tcBorders>
              <w:bottom w:val="single" w:sz="8" w:color="E6E6E6"/>
            </w:tcBorders>
            <w:shd w:val="clear" w:color="auto" w:fill="E6E6E6"/>
          </w:tcPr>
          <w:p>
            <w:pPr>
              <w:spacing w:after="0"/>
              <w:rPr>
                <w:sz w:val="14"/>
                <w:szCs w:val="14"/>
                <w:color w:val="auto"/>
              </w:rPr>
            </w:pPr>
          </w:p>
        </w:tc>
        <w:tc>
          <w:tcPr>
            <w:tcW w:w="60" w:type="dxa"/>
            <w:vAlign w:val="bottom"/>
            <w:tcBorders>
              <w:bottom w:val="single" w:sz="8" w:color="E6E6E6"/>
            </w:tcBorders>
            <w:shd w:val="clear" w:color="auto" w:fill="E6E6E6"/>
          </w:tcPr>
          <w:p>
            <w:pPr>
              <w:spacing w:after="0"/>
              <w:rPr>
                <w:sz w:val="14"/>
                <w:szCs w:val="14"/>
                <w:color w:val="auto"/>
              </w:rPr>
            </w:pPr>
          </w:p>
        </w:tc>
        <w:tc>
          <w:tcPr>
            <w:tcW w:w="14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1440" w:type="dxa"/>
            <w:vAlign w:val="bottom"/>
            <w:tcBorders>
              <w:bottom w:val="single" w:sz="8" w:color="E6E6E6"/>
            </w:tcBorders>
            <w:shd w:val="clear" w:color="auto" w:fill="E6E6E6"/>
          </w:tcPr>
          <w:p>
            <w:pPr>
              <w:spacing w:after="0"/>
              <w:rPr>
                <w:sz w:val="14"/>
                <w:szCs w:val="14"/>
                <w:color w:val="auto"/>
              </w:rPr>
            </w:pPr>
          </w:p>
        </w:tc>
        <w:tc>
          <w:tcPr>
            <w:tcW w:w="1260" w:type="dxa"/>
            <w:vAlign w:val="bottom"/>
            <w:tcBorders>
              <w:bottom w:val="single" w:sz="8" w:color="E6E6E6"/>
            </w:tcBorders>
            <w:shd w:val="clear" w:color="auto" w:fill="E6E6E6"/>
          </w:tcPr>
          <w:p>
            <w:pPr>
              <w:spacing w:after="0"/>
              <w:rPr>
                <w:sz w:val="14"/>
                <w:szCs w:val="14"/>
                <w:color w:val="auto"/>
              </w:rPr>
            </w:pPr>
          </w:p>
        </w:tc>
        <w:tc>
          <w:tcPr>
            <w:tcW w:w="200" w:type="dxa"/>
            <w:vAlign w:val="bottom"/>
            <w:tcBorders>
              <w:bottom w:val="single" w:sz="8" w:color="E6E6E6"/>
            </w:tcBorders>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19.1</w:t>
            </w:r>
          </w:p>
        </w:tc>
        <w:tc>
          <w:tcPr>
            <w:tcW w:w="4080" w:type="dxa"/>
            <w:vAlign w:val="bottom"/>
            <w:tcBorders>
              <w:bottom w:val="single" w:sz="8" w:color="001987"/>
            </w:tcBorders>
            <w:gridSpan w:val="6"/>
          </w:tcPr>
          <w:p>
            <w:pPr>
              <w:spacing w:after="0" w:line="164" w:lineRule="exact"/>
              <w:rPr>
                <w:sz w:val="20"/>
                <w:szCs w:val="20"/>
                <w:color w:val="auto"/>
              </w:rPr>
            </w:pPr>
            <w:r>
              <w:rPr>
                <w:rFonts w:ascii="Times New Roman" w:cs="Times New Roman" w:eastAsia="Times New Roman" w:hAnsi="Times New Roman"/>
                <w:sz w:val="16"/>
                <w:szCs w:val="16"/>
                <w:color w:val="001987"/>
              </w:rPr>
              <w:t>Policy on Insider Trading</w:t>
            </w:r>
          </w:p>
        </w:tc>
        <w:tc>
          <w:tcPr>
            <w:tcW w:w="5960" w:type="dxa"/>
            <w:vAlign w:val="bottom"/>
            <w:gridSpan w:val="18"/>
          </w:tcPr>
          <w:p>
            <w:pPr>
              <w:spacing w:after="0"/>
              <w:rPr>
                <w:sz w:val="14"/>
                <w:szCs w:val="14"/>
                <w:color w:val="auto"/>
              </w:rPr>
            </w:pP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21.1</w:t>
            </w:r>
          </w:p>
        </w:tc>
        <w:tc>
          <w:tcPr>
            <w:tcW w:w="10040" w:type="dxa"/>
            <w:vAlign w:val="bottom"/>
            <w:gridSpan w:val="24"/>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rPr>
              <w:t>List of Significant Subsidiaries of Green Thumb Industries Inc.</w:t>
            </w:r>
          </w:p>
        </w:tc>
      </w:tr>
      <w:tr>
        <w:trPr>
          <w:trHeight w:val="20"/>
        </w:trPr>
        <w:tc>
          <w:tcPr>
            <w:tcW w:w="760" w:type="dxa"/>
            <w:vAlign w:val="bottom"/>
            <w:shd w:val="clear" w:color="auto" w:fill="E6E6E6"/>
          </w:tcPr>
          <w:p>
            <w:pPr>
              <w:spacing w:after="0" w:line="20" w:lineRule="exact"/>
              <w:rPr>
                <w:sz w:val="1"/>
                <w:szCs w:val="1"/>
                <w:color w:val="auto"/>
              </w:rPr>
            </w:pPr>
          </w:p>
        </w:tc>
        <w:tc>
          <w:tcPr>
            <w:tcW w:w="1580" w:type="dxa"/>
            <w:vAlign w:val="bottom"/>
            <w:shd w:val="clear" w:color="auto" w:fill="001987"/>
          </w:tcPr>
          <w:p>
            <w:pPr>
              <w:spacing w:after="0" w:line="20" w:lineRule="exact"/>
              <w:rPr>
                <w:sz w:val="1"/>
                <w:szCs w:val="1"/>
                <w:color w:val="auto"/>
              </w:rPr>
            </w:pPr>
          </w:p>
        </w:tc>
        <w:tc>
          <w:tcPr>
            <w:tcW w:w="60" w:type="dxa"/>
            <w:vAlign w:val="bottom"/>
            <w:shd w:val="clear" w:color="auto" w:fill="001987"/>
          </w:tcPr>
          <w:p>
            <w:pPr>
              <w:spacing w:after="0" w:line="20" w:lineRule="exact"/>
              <w:rPr>
                <w:sz w:val="1"/>
                <w:szCs w:val="1"/>
                <w:color w:val="auto"/>
              </w:rPr>
            </w:pPr>
          </w:p>
        </w:tc>
        <w:tc>
          <w:tcPr>
            <w:tcW w:w="160" w:type="dxa"/>
            <w:vAlign w:val="bottom"/>
            <w:shd w:val="clear" w:color="auto" w:fill="001987"/>
          </w:tcPr>
          <w:p>
            <w:pPr>
              <w:spacing w:after="0" w:line="20" w:lineRule="exact"/>
              <w:rPr>
                <w:sz w:val="1"/>
                <w:szCs w:val="1"/>
                <w:color w:val="auto"/>
              </w:rPr>
            </w:pPr>
          </w:p>
        </w:tc>
        <w:tc>
          <w:tcPr>
            <w:tcW w:w="560" w:type="dxa"/>
            <w:vAlign w:val="bottom"/>
            <w:shd w:val="clear" w:color="auto" w:fill="001987"/>
          </w:tcPr>
          <w:p>
            <w:pPr>
              <w:spacing w:after="0" w:line="20" w:lineRule="exact"/>
              <w:rPr>
                <w:sz w:val="1"/>
                <w:szCs w:val="1"/>
                <w:color w:val="auto"/>
              </w:rPr>
            </w:pPr>
          </w:p>
        </w:tc>
        <w:tc>
          <w:tcPr>
            <w:tcW w:w="540" w:type="dxa"/>
            <w:vAlign w:val="bottom"/>
            <w:shd w:val="clear" w:color="auto" w:fill="001987"/>
          </w:tcPr>
          <w:p>
            <w:pPr>
              <w:spacing w:after="0" w:line="20" w:lineRule="exact"/>
              <w:rPr>
                <w:sz w:val="1"/>
                <w:szCs w:val="1"/>
                <w:color w:val="auto"/>
              </w:rPr>
            </w:pPr>
          </w:p>
        </w:tc>
        <w:tc>
          <w:tcPr>
            <w:tcW w:w="1180" w:type="dxa"/>
            <w:vAlign w:val="bottom"/>
            <w:tcBorders>
              <w:right w:val="single" w:sz="8" w:color="E6E6E6"/>
            </w:tcBorders>
            <w:shd w:val="clear" w:color="auto" w:fill="001987"/>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300" w:type="dxa"/>
            <w:vAlign w:val="bottom"/>
            <w:shd w:val="clear" w:color="auto" w:fill="E6E6E6"/>
          </w:tcPr>
          <w:p>
            <w:pPr>
              <w:spacing w:after="0" w:line="20" w:lineRule="exact"/>
              <w:rPr>
                <w:sz w:val="1"/>
                <w:szCs w:val="1"/>
                <w:color w:val="auto"/>
              </w:rPr>
            </w:pPr>
          </w:p>
        </w:tc>
        <w:tc>
          <w:tcPr>
            <w:tcW w:w="2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46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40" w:type="dxa"/>
            <w:vAlign w:val="bottom"/>
            <w:shd w:val="clear" w:color="auto" w:fill="E6E6E6"/>
          </w:tcPr>
          <w:p>
            <w:pPr>
              <w:spacing w:after="0" w:line="20" w:lineRule="exact"/>
              <w:rPr>
                <w:sz w:val="1"/>
                <w:szCs w:val="1"/>
                <w:color w:val="auto"/>
              </w:rPr>
            </w:pPr>
          </w:p>
        </w:tc>
        <w:tc>
          <w:tcPr>
            <w:tcW w:w="420" w:type="dxa"/>
            <w:vAlign w:val="bottom"/>
            <w:shd w:val="clear" w:color="auto" w:fill="E6E6E6"/>
          </w:tcPr>
          <w:p>
            <w:pPr>
              <w:spacing w:after="0" w:line="20" w:lineRule="exact"/>
              <w:rPr>
                <w:sz w:val="1"/>
                <w:szCs w:val="1"/>
                <w:color w:val="auto"/>
              </w:rPr>
            </w:pPr>
          </w:p>
        </w:tc>
        <w:tc>
          <w:tcPr>
            <w:tcW w:w="64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6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40" w:type="dxa"/>
            <w:vAlign w:val="bottom"/>
            <w:shd w:val="clear" w:color="auto" w:fill="E6E6E6"/>
          </w:tcPr>
          <w:p>
            <w:pPr>
              <w:spacing w:after="0" w:line="20" w:lineRule="exact"/>
              <w:rPr>
                <w:sz w:val="1"/>
                <w:szCs w:val="1"/>
                <w:color w:val="auto"/>
              </w:rPr>
            </w:pPr>
          </w:p>
        </w:tc>
        <w:tc>
          <w:tcPr>
            <w:tcW w:w="1260" w:type="dxa"/>
            <w:vAlign w:val="bottom"/>
            <w:shd w:val="clear" w:color="auto" w:fill="E6E6E6"/>
          </w:tcPr>
          <w:p>
            <w:pPr>
              <w:spacing w:after="0" w:line="20" w:lineRule="exact"/>
              <w:rPr>
                <w:sz w:val="1"/>
                <w:szCs w:val="1"/>
                <w:color w:val="auto"/>
              </w:rPr>
            </w:pPr>
          </w:p>
        </w:tc>
        <w:tc>
          <w:tcPr>
            <w:tcW w:w="200" w:type="dxa"/>
            <w:vAlign w:val="bottom"/>
            <w:shd w:val="clear" w:color="auto" w:fill="E6E6E6"/>
          </w:tcPr>
          <w:p>
            <w:pPr>
              <w:spacing w:after="0" w:line="20" w:lineRule="exact"/>
              <w:rPr>
                <w:sz w:val="1"/>
                <w:szCs w:val="1"/>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23.1</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Consent of Independent Registered Public Accounting Firm (Baker Tilly).</w:t>
            </w:r>
          </w:p>
        </w:tc>
      </w:tr>
      <w:tr>
        <w:trPr>
          <w:trHeight w:val="164"/>
        </w:trPr>
        <w:tc>
          <w:tcPr>
            <w:tcW w:w="760" w:type="dxa"/>
            <w:vAlign w:val="bottom"/>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31.1</w:t>
            </w:r>
          </w:p>
        </w:tc>
        <w:tc>
          <w:tcPr>
            <w:tcW w:w="4760" w:type="dxa"/>
            <w:vAlign w:val="bottom"/>
            <w:tcBorders>
              <w:top w:val="single" w:sz="8" w:color="001987"/>
            </w:tcBorders>
            <w:gridSpan w:val="10"/>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9"/>
              </w:rPr>
              <w:t>Certification of Chief Executive Officer required by Rule 13a-14(a) of the</w:t>
            </w:r>
          </w:p>
        </w:tc>
        <w:tc>
          <w:tcPr>
            <w:tcW w:w="5280" w:type="dxa"/>
            <w:vAlign w:val="bottom"/>
            <w:gridSpan w:val="14"/>
            <w:shd w:val="clear" w:color="auto" w:fill="E6E6E6"/>
          </w:tcPr>
          <w:p>
            <w:pPr>
              <w:ind w:left="20"/>
              <w:spacing w:after="0" w:line="164" w:lineRule="exact"/>
              <w:rPr>
                <w:sz w:val="20"/>
                <w:szCs w:val="20"/>
                <w:color w:val="auto"/>
              </w:rPr>
            </w:pPr>
            <w:r>
              <w:rPr>
                <w:rFonts w:ascii="Times New Roman" w:cs="Times New Roman" w:eastAsia="Times New Roman" w:hAnsi="Times New Roman"/>
                <w:sz w:val="16"/>
                <w:szCs w:val="16"/>
                <w:color w:val="001987"/>
              </w:rPr>
              <w:t>Exchange Act.</w:t>
            </w:r>
          </w:p>
        </w:tc>
      </w:tr>
      <w:tr>
        <w:trPr>
          <w:trHeight w:val="164"/>
        </w:trPr>
        <w:tc>
          <w:tcPr>
            <w:tcW w:w="760" w:type="dxa"/>
            <w:vAlign w:val="bottom"/>
            <w:tcBorders>
              <w:top w:val="single" w:sz="8" w:color="E6E6E6"/>
            </w:tcBorders>
          </w:tcPr>
          <w:p>
            <w:pPr>
              <w:spacing w:after="0" w:line="164" w:lineRule="exact"/>
              <w:rPr>
                <w:sz w:val="20"/>
                <w:szCs w:val="20"/>
                <w:color w:val="auto"/>
              </w:rPr>
            </w:pPr>
            <w:r>
              <w:rPr>
                <w:rFonts w:ascii="Times New Roman" w:cs="Times New Roman" w:eastAsia="Times New Roman" w:hAnsi="Times New Roman"/>
                <w:sz w:val="16"/>
                <w:szCs w:val="16"/>
                <w:color w:val="auto"/>
              </w:rPr>
              <w:t>31.2</w:t>
            </w:r>
          </w:p>
        </w:tc>
        <w:tc>
          <w:tcPr>
            <w:tcW w:w="5720" w:type="dxa"/>
            <w:vAlign w:val="bottom"/>
            <w:tcBorders>
              <w:top w:val="single" w:sz="8" w:color="001987"/>
              <w:bottom w:val="single" w:sz="8" w:color="001987"/>
            </w:tcBorders>
            <w:gridSpan w:val="15"/>
          </w:tcPr>
          <w:p>
            <w:pPr>
              <w:spacing w:after="0" w:line="164" w:lineRule="exact"/>
              <w:rPr>
                <w:sz w:val="20"/>
                <w:szCs w:val="20"/>
                <w:color w:val="auto"/>
              </w:rPr>
            </w:pPr>
            <w:r>
              <w:rPr>
                <w:rFonts w:ascii="Times New Roman" w:cs="Times New Roman" w:eastAsia="Times New Roman" w:hAnsi="Times New Roman"/>
                <w:sz w:val="16"/>
                <w:szCs w:val="16"/>
                <w:color w:val="001987"/>
              </w:rPr>
              <w:t>Certification of Chief Financial Officer required by Rule 13a-14(a) of the Exchange Act.</w:t>
            </w:r>
          </w:p>
        </w:tc>
        <w:tc>
          <w:tcPr>
            <w:tcW w:w="1060" w:type="dxa"/>
            <w:vAlign w:val="bottom"/>
            <w:tcBorders>
              <w:top w:val="single" w:sz="8" w:color="E6E6E6"/>
              <w:bottom w:val="single" w:sz="8" w:color="001987"/>
            </w:tcBorders>
            <w:gridSpan w:val="2"/>
          </w:tcPr>
          <w:p>
            <w:pPr>
              <w:spacing w:after="0"/>
              <w:rPr>
                <w:sz w:val="14"/>
                <w:szCs w:val="14"/>
                <w:color w:val="auto"/>
              </w:rPr>
            </w:pPr>
          </w:p>
        </w:tc>
        <w:tc>
          <w:tcPr>
            <w:tcW w:w="3260" w:type="dxa"/>
            <w:vAlign w:val="bottom"/>
            <w:tcBorders>
              <w:top w:val="single" w:sz="8" w:color="E6E6E6"/>
            </w:tcBorders>
            <w:gridSpan w:val="7"/>
          </w:tcPr>
          <w:p>
            <w:pPr>
              <w:spacing w:after="0"/>
              <w:rPr>
                <w:sz w:val="14"/>
                <w:szCs w:val="14"/>
                <w:color w:val="auto"/>
              </w:rPr>
            </w:pPr>
          </w:p>
        </w:tc>
      </w:tr>
      <w:tr>
        <w:trPr>
          <w:trHeight w:val="164"/>
        </w:trPr>
        <w:tc>
          <w:tcPr>
            <w:tcW w:w="760" w:type="dxa"/>
            <w:vAlign w:val="bottom"/>
            <w:tcBorders>
              <w:bottom w:val="single" w:sz="8" w:color="E6E6E6"/>
            </w:tcBorders>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auto"/>
              </w:rPr>
              <w:t>32.1</w:t>
            </w:r>
          </w:p>
        </w:tc>
        <w:tc>
          <w:tcPr>
            <w:tcW w:w="6840" w:type="dxa"/>
            <w:vAlign w:val="bottom"/>
            <w:tcBorders>
              <w:bottom w:val="single" w:sz="8" w:color="001987"/>
            </w:tcBorders>
            <w:gridSpan w:val="18"/>
            <w:shd w:val="clear" w:color="auto" w:fill="E6E6E6"/>
          </w:tcPr>
          <w:p>
            <w:pPr>
              <w:spacing w:after="0" w:line="164" w:lineRule="exact"/>
              <w:rPr>
                <w:sz w:val="20"/>
                <w:szCs w:val="20"/>
                <w:color w:val="auto"/>
              </w:rPr>
            </w:pPr>
            <w:r>
              <w:rPr>
                <w:rFonts w:ascii="Times New Roman" w:cs="Times New Roman" w:eastAsia="Times New Roman" w:hAnsi="Times New Roman"/>
                <w:sz w:val="16"/>
                <w:szCs w:val="16"/>
                <w:color w:val="001987"/>
                <w:w w:val="99"/>
              </w:rPr>
              <w:t>Certification of Chief Executive Officer pursuant to Section 1350 of Chapter 63 of the United States Code.</w:t>
            </w:r>
          </w:p>
        </w:tc>
        <w:tc>
          <w:tcPr>
            <w:tcW w:w="3200" w:type="dxa"/>
            <w:vAlign w:val="bottom"/>
            <w:tcBorders>
              <w:bottom w:val="single" w:sz="8" w:color="E6E6E6"/>
            </w:tcBorders>
            <w:gridSpan w:val="6"/>
            <w:shd w:val="clear" w:color="auto" w:fill="E6E6E6"/>
          </w:tcPr>
          <w:p>
            <w:pPr>
              <w:spacing w:after="0"/>
              <w:rPr>
                <w:sz w:val="14"/>
                <w:szCs w:val="14"/>
                <w:color w:val="auto"/>
              </w:rPr>
            </w:pPr>
          </w:p>
        </w:tc>
      </w:tr>
      <w:tr>
        <w:trPr>
          <w:trHeight w:val="164"/>
        </w:trPr>
        <w:tc>
          <w:tcPr>
            <w:tcW w:w="7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32.2</w:t>
            </w:r>
          </w:p>
        </w:tc>
        <w:tc>
          <w:tcPr>
            <w:tcW w:w="10040" w:type="dxa"/>
            <w:vAlign w:val="bottom"/>
            <w:gridSpan w:val="24"/>
          </w:tcPr>
          <w:p>
            <w:pPr>
              <w:spacing w:after="0" w:line="164" w:lineRule="exact"/>
              <w:rPr>
                <w:sz w:val="20"/>
                <w:szCs w:val="20"/>
                <w:color w:val="auto"/>
              </w:rPr>
            </w:pPr>
            <w:r>
              <w:rPr>
                <w:rFonts w:ascii="Times New Roman" w:cs="Times New Roman" w:eastAsia="Times New Roman" w:hAnsi="Times New Roman"/>
                <w:sz w:val="16"/>
                <w:szCs w:val="16"/>
                <w:color w:val="001987"/>
              </w:rPr>
              <w:t>Certification of Chief Financial Officer pursuant to Section 1350 of Chapter 63 of the United States Code.</w:t>
            </w:r>
          </w:p>
        </w:tc>
      </w:tr>
      <w:tr>
        <w:trPr>
          <w:trHeight w:val="181"/>
        </w:trPr>
        <w:tc>
          <w:tcPr>
            <w:tcW w:w="760" w:type="dxa"/>
            <w:vAlign w:val="bottom"/>
            <w:shd w:val="clear" w:color="auto" w:fill="E6E6E6"/>
          </w:tcPr>
          <w:p>
            <w:pPr>
              <w:spacing w:after="0" w:line="181" w:lineRule="exact"/>
              <w:rPr>
                <w:sz w:val="20"/>
                <w:szCs w:val="20"/>
                <w:color w:val="auto"/>
              </w:rPr>
            </w:pPr>
            <w:r>
              <w:rPr>
                <w:rFonts w:ascii="Times New Roman" w:cs="Times New Roman" w:eastAsia="Times New Roman" w:hAnsi="Times New Roman"/>
                <w:sz w:val="16"/>
                <w:szCs w:val="16"/>
                <w:color w:val="auto"/>
              </w:rPr>
              <w:t>101.INS</w:t>
            </w:r>
          </w:p>
        </w:tc>
        <w:tc>
          <w:tcPr>
            <w:tcW w:w="6780" w:type="dxa"/>
            <w:vAlign w:val="bottom"/>
            <w:tcBorders>
              <w:top w:val="single" w:sz="8" w:color="001987"/>
            </w:tcBorders>
            <w:gridSpan w:val="17"/>
            <w:shd w:val="clear" w:color="auto" w:fill="E6E6E6"/>
          </w:tcPr>
          <w:p>
            <w:pPr>
              <w:spacing w:after="0" w:line="181" w:lineRule="exact"/>
              <w:rPr>
                <w:sz w:val="20"/>
                <w:szCs w:val="20"/>
                <w:color w:val="auto"/>
              </w:rPr>
            </w:pPr>
            <w:r>
              <w:rPr>
                <w:rFonts w:ascii="Times New Roman" w:cs="Times New Roman" w:eastAsia="Times New Roman" w:hAnsi="Times New Roman"/>
                <w:sz w:val="16"/>
                <w:szCs w:val="16"/>
                <w:color w:val="auto"/>
              </w:rPr>
              <w:t>Inline XBRL Instance Document</w:t>
            </w:r>
          </w:p>
        </w:tc>
        <w:tc>
          <w:tcPr>
            <w:tcW w:w="60" w:type="dxa"/>
            <w:vAlign w:val="bottom"/>
            <w:shd w:val="clear" w:color="auto" w:fill="E6E6E6"/>
          </w:tcPr>
          <w:p>
            <w:pPr>
              <w:spacing w:after="0"/>
              <w:rPr>
                <w:sz w:val="15"/>
                <w:szCs w:val="15"/>
                <w:color w:val="auto"/>
              </w:rPr>
            </w:pPr>
          </w:p>
        </w:tc>
        <w:tc>
          <w:tcPr>
            <w:tcW w:w="60" w:type="dxa"/>
            <w:vAlign w:val="bottom"/>
            <w:shd w:val="clear" w:color="auto" w:fill="E6E6E6"/>
          </w:tcPr>
          <w:p>
            <w:pPr>
              <w:spacing w:after="0"/>
              <w:rPr>
                <w:sz w:val="15"/>
                <w:szCs w:val="15"/>
                <w:color w:val="auto"/>
              </w:rPr>
            </w:pPr>
          </w:p>
        </w:tc>
        <w:tc>
          <w:tcPr>
            <w:tcW w:w="140" w:type="dxa"/>
            <w:vAlign w:val="bottom"/>
            <w:shd w:val="clear" w:color="auto" w:fill="E6E6E6"/>
          </w:tcPr>
          <w:p>
            <w:pPr>
              <w:spacing w:after="0"/>
              <w:rPr>
                <w:sz w:val="15"/>
                <w:szCs w:val="15"/>
                <w:color w:val="auto"/>
              </w:rPr>
            </w:pPr>
          </w:p>
        </w:tc>
        <w:tc>
          <w:tcPr>
            <w:tcW w:w="100" w:type="dxa"/>
            <w:vAlign w:val="bottom"/>
            <w:shd w:val="clear" w:color="auto" w:fill="E6E6E6"/>
          </w:tcPr>
          <w:p>
            <w:pPr>
              <w:spacing w:after="0"/>
              <w:rPr>
                <w:sz w:val="15"/>
                <w:szCs w:val="15"/>
                <w:color w:val="auto"/>
              </w:rPr>
            </w:pPr>
          </w:p>
        </w:tc>
        <w:tc>
          <w:tcPr>
            <w:tcW w:w="1440" w:type="dxa"/>
            <w:vAlign w:val="bottom"/>
            <w:shd w:val="clear" w:color="auto" w:fill="E6E6E6"/>
          </w:tcPr>
          <w:p>
            <w:pPr>
              <w:spacing w:after="0"/>
              <w:rPr>
                <w:sz w:val="15"/>
                <w:szCs w:val="15"/>
                <w:color w:val="auto"/>
              </w:rPr>
            </w:pPr>
          </w:p>
        </w:tc>
        <w:tc>
          <w:tcPr>
            <w:tcW w:w="126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4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84"/>
        </w:trPr>
        <w:tc>
          <w:tcPr>
            <w:tcW w:w="7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101.CAL</w:t>
            </w:r>
          </w:p>
        </w:tc>
        <w:tc>
          <w:tcPr>
            <w:tcW w:w="10040" w:type="dxa"/>
            <w:vAlign w:val="bottom"/>
            <w:gridSpan w:val="24"/>
            <w:shd w:val="clear" w:color="auto" w:fill="E6E6E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4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84"/>
        </w:trPr>
        <w:tc>
          <w:tcPr>
            <w:tcW w:w="7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101.LAB</w:t>
            </w:r>
          </w:p>
        </w:tc>
        <w:tc>
          <w:tcPr>
            <w:tcW w:w="10040" w:type="dxa"/>
            <w:vAlign w:val="bottom"/>
            <w:gridSpan w:val="24"/>
            <w:shd w:val="clear" w:color="auto" w:fill="E6E6E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40" w:type="dxa"/>
            <w:vAlign w:val="bottom"/>
            <w:gridSpan w:val="24"/>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r>
        <w:trPr>
          <w:trHeight w:val="184"/>
        </w:trPr>
        <w:tc>
          <w:tcPr>
            <w:tcW w:w="7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104</w:t>
            </w:r>
          </w:p>
        </w:tc>
        <w:tc>
          <w:tcPr>
            <w:tcW w:w="10040" w:type="dxa"/>
            <w:vAlign w:val="bottom"/>
            <w:gridSpan w:val="24"/>
            <w:shd w:val="clear" w:color="auto" w:fill="E6E6E6"/>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 Inline XBRL File)</w:t>
            </w:r>
          </w:p>
        </w:tc>
      </w:tr>
    </w:tbl>
    <w:p>
      <w:pPr>
        <w:spacing w:after="0" w:line="189" w:lineRule="exact"/>
        <w:rPr>
          <w:sz w:val="20"/>
          <w:szCs w:val="20"/>
          <w:color w:val="auto"/>
        </w:rPr>
      </w:pPr>
    </w:p>
    <w:p>
      <w:pPr>
        <w:ind w:left="760" w:hanging="760"/>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confidential information has been excluded from this exhibit because it is both (i) not material and (ii) would be competitively</w:t>
      </w:r>
    </w:p>
    <w:p>
      <w:pPr>
        <w:spacing w:after="0" w:line="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harmful if publicly disclosed.</w:t>
      </w:r>
    </w:p>
    <w:p>
      <w:pPr>
        <w:ind w:left="760" w:hanging="760"/>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our Current Report on Form 8-K dated September 11, 2024, filed on September 13, 2024.</w:t>
      </w:r>
    </w:p>
    <w:p>
      <w:pPr>
        <w:ind w:left="760" w:hanging="760"/>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our registration statement on Form 10 filed on December 20, 2019.</w:t>
      </w:r>
    </w:p>
    <w:p>
      <w:pPr>
        <w:ind w:left="760" w:hanging="760"/>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10.13 to our Annual Report on Form 10-K for the year ended December 31, 2021.</w:t>
      </w:r>
    </w:p>
    <w:p>
      <w:pPr>
        <w:ind w:left="760" w:hanging="760"/>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Exhibits to our Annual Report for the year ended December 31, 2022.</w:t>
      </w:r>
    </w:p>
    <w:p>
      <w:pPr>
        <w:ind w:left="760" w:hanging="760"/>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the applicable exhibits to our Quarterly Report for the period ended March, 31, 2023.</w:t>
      </w:r>
    </w:p>
    <w:p>
      <w:pPr>
        <w:ind w:left="760" w:hanging="760"/>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Exhibit is a management contract or compensatory arrangement.</w:t>
      </w:r>
    </w:p>
    <w:p>
      <w:pPr>
        <w:ind w:left="760" w:hanging="760"/>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Incorporated by reference to Exhibit 10.1 to our Quarterly Report on Form 10-Q for the period ended September 30, 2024.</w:t>
      </w:r>
    </w:p>
    <w:p>
      <w:pPr>
        <w:sectPr>
          <w:pgSz w:w="12240" w:h="15840" w:orient="portrait"/>
          <w:cols w:equalWidth="0" w:num="1">
            <w:col w:w="10800"/>
          </w:cols>
          <w:pgMar w:left="720" w:top="115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E-1</w:t>
      </w:r>
    </w:p>
    <w:p>
      <w:pPr>
        <w:sectPr>
          <w:pgSz w:w="12240" w:h="15840" w:orient="portrait"/>
          <w:cols w:equalWidth="0" w:num="1">
            <w:col w:w="10800"/>
          </w:cols>
          <w:pgMar w:left="720" w:top="1156" w:right="720" w:bottom="186"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25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10795</wp:posOffset>
            </wp:positionV>
            <wp:extent cx="274320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1">
                      <a:extLst>
                        <a:ext uri="{28A0092B-C50C-407E-A947-70E740481C1C}"/>
                      </a:extLst>
                    </a:blip>
                    <a:srcRect/>
                    <a:stretch>
                      <a:fillRect/>
                    </a:stretch>
                  </pic:blipFill>
                  <pic:spPr bwMode="auto">
                    <a:xfrm>
                      <a:off x="0" y="0"/>
                      <a:ext cx="2743200" cy="1270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36195</wp:posOffset>
            </wp:positionV>
            <wp:extent cx="274320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extLst>
                    </a:blip>
                    <a:srcRect/>
                    <a:stretch>
                      <a:fillRect/>
                    </a:stretch>
                  </pic:blipFill>
                  <pic:spPr bwMode="auto">
                    <a:xfrm>
                      <a:off x="0" y="0"/>
                      <a:ext cx="2743200" cy="12700"/>
                    </a:xfrm>
                    <a:prstGeom prst="rect">
                      <a:avLst/>
                    </a:prstGeom>
                    <a:noFill/>
                  </pic:spPr>
                </pic:pic>
              </a:graphicData>
            </a:graphic>
          </wp:anchor>
        </w:drawing>
      </w:r>
    </w:p>
    <w:p>
      <w:pPr>
        <w:spacing w:after="0" w:line="7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By: Benjamin Kovler</w:t>
      </w:r>
    </w:p>
    <w:p>
      <w:pPr>
        <w:spacing w:after="0" w:line="2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27, 2025</w:t>
      </w:r>
    </w:p>
    <w:p>
      <w:pPr>
        <w:spacing w:after="0" w:line="272"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4"/>
          <w:szCs w:val="24"/>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 and Signature</w:t>
            </w:r>
          </w:p>
        </w:tc>
        <w:tc>
          <w:tcPr>
            <w:tcW w:w="320" w:type="dxa"/>
            <w:vAlign w:val="bottom"/>
          </w:tcPr>
          <w:p>
            <w:pPr>
              <w:spacing w:after="0"/>
              <w:rPr>
                <w:sz w:val="22"/>
                <w:szCs w:val="22"/>
                <w:color w:val="auto"/>
              </w:rPr>
            </w:pPr>
          </w:p>
        </w:tc>
        <w:tc>
          <w:tcPr>
            <w:tcW w:w="44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r>
      <w:tr>
        <w:trPr>
          <w:trHeight w:val="498"/>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/s/Benjamin Kovler</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and Chief Executive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6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Benjamin Kovler</w:t>
            </w:r>
          </w:p>
        </w:tc>
        <w:tc>
          <w:tcPr>
            <w:tcW w:w="3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tc>
        <w:tc>
          <w:tcPr>
            <w:tcW w:w="2040" w:type="dxa"/>
            <w:vAlign w:val="bottom"/>
          </w:tcPr>
          <w:p>
            <w:pPr>
              <w:spacing w:after="0"/>
              <w:rPr>
                <w:sz w:val="23"/>
                <w:szCs w:val="23"/>
                <w:color w:val="auto"/>
              </w:rPr>
            </w:pPr>
          </w:p>
        </w:tc>
      </w:tr>
      <w:tr>
        <w:trPr>
          <w:trHeight w:val="46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/s/Mathew Faulkner</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190"/>
        </w:trPr>
        <w:tc>
          <w:tcPr>
            <w:tcW w:w="400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Mathew Faulkner</w:t>
            </w:r>
          </w:p>
        </w:tc>
        <w:tc>
          <w:tcPr>
            <w:tcW w:w="320" w:type="dxa"/>
            <w:vAlign w:val="bottom"/>
          </w:tcPr>
          <w:p>
            <w:pPr>
              <w:spacing w:after="0"/>
              <w:rPr>
                <w:sz w:val="16"/>
                <w:szCs w:val="16"/>
                <w:color w:val="auto"/>
              </w:rPr>
            </w:pPr>
          </w:p>
        </w:tc>
        <w:tc>
          <w:tcPr>
            <w:tcW w:w="4440" w:type="dxa"/>
            <w:vAlign w:val="bottom"/>
          </w:tcPr>
          <w:p>
            <w:pPr>
              <w:spacing w:after="0" w:line="19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 and Principal</w:t>
            </w:r>
          </w:p>
        </w:tc>
        <w:tc>
          <w:tcPr>
            <w:tcW w:w="2040" w:type="dxa"/>
            <w:vAlign w:val="bottom"/>
          </w:tcPr>
          <w:p>
            <w:pPr>
              <w:spacing w:after="0"/>
              <w:rPr>
                <w:sz w:val="16"/>
                <w:szCs w:val="16"/>
                <w:color w:val="auto"/>
              </w:rPr>
            </w:pPr>
          </w:p>
        </w:tc>
      </w:tr>
      <w:tr>
        <w:trPr>
          <w:trHeight w:val="266"/>
        </w:trPr>
        <w:tc>
          <w:tcPr>
            <w:tcW w:w="4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Accounting Officer</w:t>
            </w:r>
            <w:r>
              <w:rPr>
                <w:rFonts w:ascii="Times New Roman" w:cs="Times New Roman" w:eastAsia="Times New Roman" w:hAnsi="Times New Roman"/>
                <w:sz w:val="20"/>
                <w:szCs w:val="20"/>
                <w:color w:val="auto"/>
              </w:rPr>
              <w:t>)</w:t>
            </w:r>
          </w:p>
        </w:tc>
        <w:tc>
          <w:tcPr>
            <w:tcW w:w="2040" w:type="dxa"/>
            <w:vAlign w:val="bottom"/>
          </w:tcPr>
          <w:p>
            <w:pPr>
              <w:spacing w:after="0"/>
              <w:rPr>
                <w:sz w:val="23"/>
                <w:szCs w:val="23"/>
                <w:color w:val="auto"/>
              </w:rPr>
            </w:pPr>
          </w:p>
        </w:tc>
      </w:tr>
      <w:tr>
        <w:trPr>
          <w:trHeight w:val="481"/>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/s/Anthony Georgiadis</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President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6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Anthony Georgiadis</w:t>
            </w: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/s/Dawn Wilson Barnes</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6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Dawn Wilson Barnes</w:t>
            </w: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2"/>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/s/Jeffrey Goldman</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6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Jeffrey Goldman</w:t>
            </w:r>
          </w:p>
        </w:tc>
        <w:tc>
          <w:tcPr>
            <w:tcW w:w="320" w:type="dxa"/>
            <w:vAlign w:val="bottom"/>
          </w:tcPr>
          <w:p>
            <w:pPr>
              <w:spacing w:after="0"/>
              <w:rPr>
                <w:sz w:val="23"/>
                <w:szCs w:val="23"/>
                <w:color w:val="auto"/>
              </w:rPr>
            </w:pPr>
          </w:p>
        </w:tc>
        <w:tc>
          <w:tcPr>
            <w:tcW w:w="444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6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/s/Ethan Nadelmann</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Ethan Nadelmann</w:t>
            </w: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6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/s/Richard Reisin</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Richard Reisin</w:t>
            </w: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6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i w:val="1"/>
                <w:iCs w:val="1"/>
                <w:color w:val="auto"/>
              </w:rPr>
              <w:t>/s/Hannah (Buchan) Ross</w:t>
            </w:r>
          </w:p>
        </w:tc>
        <w:tc>
          <w:tcPr>
            <w:tcW w:w="3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27, 2025</w:t>
            </w:r>
          </w:p>
        </w:tc>
      </w:tr>
      <w:tr>
        <w:trPr>
          <w:trHeight w:val="256"/>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Hannah (Buchan) Ross</w:t>
            </w:r>
          </w:p>
        </w:tc>
        <w:tc>
          <w:tcPr>
            <w:tcW w:w="3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0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10800"/>
          </w:cols>
          <w:pgMar w:left="720" w:top="92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S-1</w:t>
      </w:r>
    </w:p>
    <w:p>
      <w:pPr>
        <w:sectPr>
          <w:pgSz w:w="12240" w:h="15840" w:orient="portrait"/>
          <w:cols w:equalWidth="0" w:num="1">
            <w:col w:w="10800"/>
          </w:cols>
          <w:pgMar w:left="720" w:top="926" w:right="720" w:bottom="175"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As of December 31, 2024 and December 31, 2023</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69850</wp:posOffset>
                </wp:positionV>
                <wp:extent cx="689483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5pt" to="541.45pt,5.5pt" o:allowincell="f" strokecolor="#000000" strokeweight="0.75pt"/>
            </w:pict>
          </mc:Fallback>
        </mc:AlternateConten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7860" w:type="dxa"/>
            <w:vAlign w:val="bottom"/>
            <w:tcBorders>
              <w:bottom w:val="single" w:sz="8" w:color="E6E6E6"/>
            </w:tcBorders>
          </w:tcPr>
          <w:p>
            <w:pPr>
              <w:spacing w:after="0"/>
              <w:rPr>
                <w:sz w:val="15"/>
                <w:szCs w:val="15"/>
                <w:color w:val="auto"/>
              </w:rPr>
            </w:pPr>
          </w:p>
        </w:tc>
        <w:tc>
          <w:tcPr>
            <w:tcW w:w="20" w:type="dxa"/>
            <w:vAlign w:val="bottom"/>
            <w:tcBorders>
              <w:bottom w:val="single" w:sz="8" w:color="E6E6E6"/>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5"/>
              <w:spacing w:after="0" w:line="178" w:lineRule="exact"/>
              <w:rPr>
                <w:sz w:val="20"/>
                <w:szCs w:val="20"/>
                <w:color w:val="auto"/>
              </w:rPr>
            </w:pPr>
            <w:r>
              <w:rPr>
                <w:rFonts w:ascii="Times New Roman" w:cs="Times New Roman" w:eastAsia="Times New Roman" w:hAnsi="Times New Roman"/>
                <w:sz w:val="16"/>
                <w:szCs w:val="16"/>
                <w:b w:val="1"/>
                <w:bCs w:val="1"/>
                <w:color w:val="auto"/>
              </w:rPr>
              <w:t>(in</w:t>
            </w:r>
          </w:p>
        </w:tc>
        <w:tc>
          <w:tcPr>
            <w:tcW w:w="1560" w:type="dxa"/>
            <w:vAlign w:val="bottom"/>
            <w:tcBorders>
              <w:bottom w:val="single" w:sz="8" w:color="auto"/>
            </w:tcBorders>
            <w:gridSpan w:val="4"/>
          </w:tcPr>
          <w:p>
            <w:pPr>
              <w:jc w:val="center"/>
              <w:ind w:right="855"/>
              <w:spacing w:after="0" w:line="178" w:lineRule="exact"/>
              <w:rPr>
                <w:sz w:val="20"/>
                <w:szCs w:val="20"/>
                <w:color w:val="auto"/>
              </w:rPr>
            </w:pPr>
            <w:r>
              <w:rPr>
                <w:rFonts w:ascii="Times New Roman" w:cs="Times New Roman" w:eastAsia="Times New Roman" w:hAnsi="Times New Roman"/>
                <w:sz w:val="16"/>
                <w:szCs w:val="16"/>
                <w:b w:val="1"/>
                <w:bCs w:val="1"/>
                <w:color w:val="auto"/>
                <w:w w:val="82"/>
              </w:rPr>
              <w:t>thousands)</w:t>
            </w:r>
          </w:p>
        </w:tc>
        <w:tc>
          <w:tcPr>
            <w:tcW w:w="100" w:type="dxa"/>
            <w:vAlign w:val="bottom"/>
            <w:tcBorders>
              <w:bottom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E6E6E6"/>
          </w:tcPr>
          <w:p>
            <w:pPr>
              <w:ind w:left="35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gridSpan w:val="2"/>
            <w:shd w:val="clear" w:color="auto" w:fill="E6E6E6"/>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171,687</w:t>
            </w:r>
          </w:p>
        </w:tc>
        <w:tc>
          <w:tcPr>
            <w:tcW w:w="12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161,634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Income Tax Receivable</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6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Inventories,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Prepaid Expenses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16,856</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19,801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7"/>
                <w:szCs w:val="17"/>
                <w:color w:val="auto"/>
              </w:rPr>
              <w:t>Other Current Assets</w:t>
            </w: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14,676</w:t>
            </w:r>
          </w:p>
        </w:tc>
        <w:tc>
          <w:tcPr>
            <w:tcW w:w="12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5,382</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403,900</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342,762</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Right of Use Assets, Net</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246,281</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238,369</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Investments in Associates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40,305</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24,942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Note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488,287</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538,678</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589,691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1,041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7"/>
                <w:szCs w:val="17"/>
                <w:color w:val="auto"/>
              </w:rPr>
              <w:t>Deposits and Other Assets</w:t>
            </w: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w:t>
            </w:r>
          </w:p>
        </w:tc>
        <w:tc>
          <w:tcPr>
            <w:tcW w:w="12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2,557</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 w:type="dxa"/>
            <w:vAlign w:val="bottom"/>
            <w:shd w:val="clear" w:color="auto" w:fill="E6E6E6"/>
          </w:tcPr>
          <w:p>
            <w:pPr>
              <w:spacing w:after="0"/>
              <w:rPr>
                <w:sz w:val="17"/>
                <w:szCs w:val="17"/>
                <w:color w:val="auto"/>
              </w:rPr>
            </w:pPr>
          </w:p>
        </w:tc>
        <w:tc>
          <w:tcPr>
            <w:tcW w:w="120" w:type="dxa"/>
            <w:vAlign w:val="bottom"/>
            <w:tcBorders>
              <w:bottom w:val="single" w:sz="8" w:color="auto"/>
            </w:tcBorders>
            <w:shd w:val="clear" w:color="auto" w:fill="E6E6E6"/>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2,537,012</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2,490,057</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200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gridSpan w:val="2"/>
            <w:shd w:val="clear" w:color="auto" w:fill="E6E6E6"/>
          </w:tcPr>
          <w:p>
            <w:pPr>
              <w:jc w:val="right"/>
              <w:ind w:right="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24,767</w:t>
            </w:r>
          </w:p>
        </w:tc>
        <w:tc>
          <w:tcPr>
            <w:tcW w:w="120" w:type="dxa"/>
            <w:vAlign w:val="bottom"/>
            <w:shd w:val="clear" w:color="auto" w:fill="E6E6E6"/>
          </w:tcPr>
          <w:p>
            <w:pPr>
              <w:spacing w:after="0"/>
              <w:rPr>
                <w:sz w:val="18"/>
                <w:szCs w:val="18"/>
                <w:color w:val="auto"/>
              </w:rPr>
            </w:pPr>
          </w:p>
        </w:tc>
        <w:tc>
          <w:tcPr>
            <w:tcW w:w="280" w:type="dxa"/>
            <w:vAlign w:val="bottom"/>
            <w:gridSpan w:val="2"/>
            <w:shd w:val="clear" w:color="auto" w:fill="E6E6E6"/>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24,495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Compensation Payable</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25,350</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16,005</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14,296</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7"/>
                <w:szCs w:val="17"/>
                <w:color w:val="auto"/>
              </w:rPr>
              <w:t>Income Tax Payable</w:t>
            </w: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2,332</w:t>
            </w:r>
          </w:p>
        </w:tc>
        <w:tc>
          <w:tcPr>
            <w:tcW w:w="12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164,969</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126,050</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Long-Term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261,446</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249,464</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Notes Payable, Net of Current Portion and Debt Discount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Contingent Consideration Payable</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6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33,250</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78,621</w:t>
            </w:r>
          </w:p>
        </w:tc>
        <w:tc>
          <w:tcPr>
            <w:tcW w:w="12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72,510</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747,932</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786,801</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Subordinate Voting Shares (Shares Authorized, Issued and Outstanding at December 31,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211,128,045, and 211,128,045, respectively, at December 31,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209,871,792, and 209,871,792,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E6E6E6"/>
          </w:tcPr>
          <w:p>
            <w:pPr>
              <w:spacing w:after="0" w:line="193" w:lineRule="exact"/>
              <w:rPr>
                <w:sz w:val="20"/>
                <w:szCs w:val="20"/>
                <w:color w:val="auto"/>
              </w:rPr>
            </w:pPr>
            <w:r>
              <w:rPr>
                <w:rFonts w:ascii="Times New Roman" w:cs="Times New Roman" w:eastAsia="Times New Roman" w:hAnsi="Times New Roman"/>
                <w:sz w:val="17"/>
                <w:szCs w:val="17"/>
                <w:color w:val="auto"/>
              </w:rPr>
              <w:t>Multiple Voting Shares (Shares Authorized, Issued and Outstanding at December 31, 2024:</w:t>
            </w:r>
          </w:p>
        </w:tc>
        <w:tc>
          <w:tcPr>
            <w:tcW w:w="2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14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116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7"/>
                <w:szCs w:val="17"/>
                <w:color w:val="auto"/>
              </w:rPr>
              <w:t>Unlimited, 37,623 and 37,623, respectively, at December 31, 2023:</w:t>
            </w:r>
          </w:p>
        </w:tc>
        <w:tc>
          <w:tcPr>
            <w:tcW w:w="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260" w:type="dxa"/>
            <w:vAlign w:val="bottom"/>
            <w:gridSpan w:val="2"/>
            <w:vMerge w:val="restart"/>
            <w:shd w:val="clear" w:color="auto" w:fill="E6E6E6"/>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E6E6E6"/>
          </w:tcPr>
          <w:p>
            <w:pPr>
              <w:ind w:left="120"/>
              <w:spacing w:after="0"/>
              <w:rPr>
                <w:sz w:val="20"/>
                <w:szCs w:val="20"/>
                <w:color w:val="auto"/>
              </w:rPr>
            </w:pPr>
            <w:r>
              <w:rPr>
                <w:rFonts w:ascii="Times New Roman" w:cs="Times New Roman" w:eastAsia="Times New Roman" w:hAnsi="Times New Roman"/>
                <w:sz w:val="17"/>
                <w:szCs w:val="17"/>
                <w:color w:val="auto"/>
              </w:rPr>
              <w:t>Unlimited, 38,531 and 38,531, respectively)</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60" w:type="dxa"/>
            <w:vAlign w:val="bottom"/>
            <w:gridSpan w:val="2"/>
            <w:vMerge w:val="continue"/>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260" w:type="dxa"/>
            <w:vAlign w:val="bottom"/>
            <w:gridSpan w:val="2"/>
            <w:vMerge w:val="continue"/>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8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Super Voting Shares (Shares Authorized, Issued and Outstanding at December 31,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206,690 and 206,690, respectively, at December 31, 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Unlimited, 216,690 and 216,690, respectively)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Share Capital</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1,758,504</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1,703,852</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Contributed (Deficit) Surplus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7"/>
                <w:szCs w:val="17"/>
                <w:color w:val="auto"/>
              </w:rPr>
              <w:t>Deferred Share Issuances</w:t>
            </w:r>
          </w:p>
        </w:tc>
        <w:tc>
          <w:tcPr>
            <w:tcW w:w="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6,362</w:t>
            </w:r>
          </w:p>
        </w:tc>
        <w:tc>
          <w:tcPr>
            <w:tcW w:w="1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11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Earnings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(21,818)</w:t>
            </w:r>
          </w:p>
        </w:tc>
        <w:tc>
          <w:tcPr>
            <w:tcW w:w="0" w:type="dxa"/>
            <w:vAlign w:val="bottom"/>
          </w:tcPr>
          <w:p>
            <w:pPr>
              <w:spacing w:after="0"/>
              <w:rPr>
                <w:sz w:val="1"/>
                <w:szCs w:val="1"/>
                <w:color w:val="auto"/>
              </w:rPr>
            </w:pPr>
          </w:p>
        </w:tc>
      </w:tr>
      <w:tr>
        <w:trPr>
          <w:trHeight w:val="199"/>
        </w:trPr>
        <w:tc>
          <w:tcPr>
            <w:tcW w:w="786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7"/>
                <w:szCs w:val="17"/>
                <w:color w:val="auto"/>
              </w:rPr>
              <w:t>Equity of Green Thumb Industries Inc.</w:t>
            </w:r>
          </w:p>
        </w:tc>
        <w:tc>
          <w:tcPr>
            <w:tcW w:w="2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auto"/>
            </w:tcBorders>
            <w:shd w:val="clear" w:color="auto" w:fill="E6E6E6"/>
          </w:tcPr>
          <w:p>
            <w:pPr>
              <w:spacing w:after="0"/>
              <w:rPr>
                <w:sz w:val="17"/>
                <w:szCs w:val="17"/>
                <w:color w:val="auto"/>
              </w:rPr>
            </w:pP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1,789,277</w:t>
            </w:r>
          </w:p>
        </w:tc>
        <w:tc>
          <w:tcPr>
            <w:tcW w:w="120" w:type="dxa"/>
            <w:vAlign w:val="bottom"/>
            <w:tcBorders>
              <w:top w:val="single" w:sz="8" w:color="E6E6E6"/>
            </w:tcBorders>
            <w:shd w:val="clear" w:color="auto" w:fill="E6E6E6"/>
          </w:tcPr>
          <w:p>
            <w:pPr>
              <w:spacing w:after="0"/>
              <w:rPr>
                <w:sz w:val="17"/>
                <w:szCs w:val="17"/>
                <w:color w:val="auto"/>
              </w:rPr>
            </w:pPr>
          </w:p>
        </w:tc>
        <w:tc>
          <w:tcPr>
            <w:tcW w:w="140" w:type="dxa"/>
            <w:vAlign w:val="bottom"/>
            <w:tcBorders>
              <w:top w:val="single" w:sz="8" w:color="E6E6E6"/>
            </w:tcBorders>
            <w:shd w:val="clear" w:color="auto" w:fill="E6E6E6"/>
          </w:tcPr>
          <w:p>
            <w:pPr>
              <w:spacing w:after="0"/>
              <w:rPr>
                <w:sz w:val="17"/>
                <w:szCs w:val="17"/>
                <w:color w:val="auto"/>
              </w:rPr>
            </w:pPr>
          </w:p>
        </w:tc>
        <w:tc>
          <w:tcPr>
            <w:tcW w:w="140" w:type="dxa"/>
            <w:vAlign w:val="bottom"/>
            <w:tcBorders>
              <w:top w:val="single" w:sz="8" w:color="auto"/>
            </w:tcBorders>
            <w:shd w:val="clear" w:color="auto" w:fill="E6E6E6"/>
          </w:tcPr>
          <w:p>
            <w:pPr>
              <w:spacing w:after="0"/>
              <w:rPr>
                <w:sz w:val="17"/>
                <w:szCs w:val="17"/>
                <w:color w:val="auto"/>
              </w:rPr>
            </w:pPr>
          </w:p>
        </w:tc>
        <w:tc>
          <w:tcPr>
            <w:tcW w:w="11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1,702,878</w:t>
            </w:r>
          </w:p>
        </w:tc>
        <w:tc>
          <w:tcPr>
            <w:tcW w:w="100" w:type="dxa"/>
            <w:vAlign w:val="bottom"/>
            <w:tcBorders>
              <w:top w:val="single" w:sz="8" w:color="E6E6E6"/>
            </w:tcBorders>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 w:type="dxa"/>
            <w:vAlign w:val="bottom"/>
            <w:tcBorders>
              <w:bottom w:val="single" w:sz="8" w:color="E6E6E6"/>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20" w:type="dxa"/>
            <w:vAlign w:val="bottom"/>
            <w:tcBorders>
              <w:bottom w:val="single" w:sz="8" w:color="E6E6E6"/>
            </w:tcBorders>
          </w:tcPr>
          <w:p>
            <w:pPr>
              <w:spacing w:after="0"/>
              <w:rPr>
                <w:sz w:val="18"/>
                <w:szCs w:val="18"/>
                <w:color w:val="auto"/>
              </w:rPr>
            </w:pPr>
          </w:p>
        </w:tc>
        <w:tc>
          <w:tcPr>
            <w:tcW w:w="140" w:type="dxa"/>
            <w:vAlign w:val="bottom"/>
            <w:tcBorders>
              <w:bottom w:val="single" w:sz="8" w:color="E6E6E6"/>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60" w:type="dxa"/>
            <w:vAlign w:val="bottom"/>
            <w:shd w:val="clear" w:color="auto" w:fill="E6E6E6"/>
          </w:tcPr>
          <w:p>
            <w:pPr>
              <w:spacing w:after="0"/>
              <w:rPr>
                <w:sz w:val="20"/>
                <w:szCs w:val="20"/>
                <w:color w:val="auto"/>
              </w:rPr>
            </w:pPr>
            <w:r>
              <w:rPr>
                <w:rFonts w:ascii="Times New Roman" w:cs="Times New Roman" w:eastAsia="Times New Roman" w:hAnsi="Times New Roman"/>
                <w:sz w:val="17"/>
                <w:szCs w:val="17"/>
                <w:b w:val="1"/>
                <w:bCs w:val="1"/>
                <w:color w:val="auto"/>
              </w:rPr>
              <w:t>TOTAL SHAREHOLDERS’ EQUITY</w:t>
            </w:r>
          </w:p>
        </w:tc>
        <w:tc>
          <w:tcPr>
            <w:tcW w:w="20" w:type="dxa"/>
            <w:vAlign w:val="bottom"/>
            <w:shd w:val="clear" w:color="auto" w:fill="E6E6E6"/>
          </w:tcPr>
          <w:p>
            <w:pPr>
              <w:spacing w:after="0"/>
              <w:rPr>
                <w:sz w:val="17"/>
                <w:szCs w:val="17"/>
                <w:color w:val="auto"/>
              </w:rPr>
            </w:pPr>
          </w:p>
        </w:tc>
        <w:tc>
          <w:tcPr>
            <w:tcW w:w="120" w:type="dxa"/>
            <w:vAlign w:val="bottom"/>
            <w:tcBorders>
              <w:bottom w:val="single" w:sz="8" w:color="auto"/>
            </w:tcBorders>
            <w:shd w:val="clear" w:color="auto" w:fill="E6E6E6"/>
          </w:tcPr>
          <w:p>
            <w:pPr>
              <w:spacing w:after="0"/>
              <w:rPr>
                <w:sz w:val="17"/>
                <w:szCs w:val="17"/>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1,789,080</w:t>
            </w:r>
          </w:p>
        </w:tc>
        <w:tc>
          <w:tcPr>
            <w:tcW w:w="12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11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7"/>
                <w:szCs w:val="17"/>
                <w:color w:val="auto"/>
              </w:rPr>
              <w:t>1,703,256</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2,537,012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2,490,057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150495</wp:posOffset>
                </wp:positionV>
                <wp:extent cx="689483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1.85pt" to="541.45pt,11.85pt" o:allowincell="f" strokecolor="#000000" strokeweight="0.75pt"/>
            </w:pict>
          </mc:Fallback>
        </mc:AlternateConten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10800"/>
          </w:cols>
          <w:pgMar w:left="720" w:top="926" w:right="720" w:bottom="175" w:gutter="0" w:footer="0" w:header="0"/>
        </w:sectPr>
      </w:pPr>
    </w:p>
    <w:bookmarkStart w:id="80" w:name="page81"/>
    <w:bookmarkEnd w:id="80"/>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Share and Per Share Amounts)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69850</wp:posOffset>
                </wp:positionV>
                <wp:extent cx="689483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5pt" to="541.45pt,5.5pt" o:allowincell="f" strokecolor="#000000" strokeweight="0.75pt"/>
            </w:pict>
          </mc:Fallback>
        </mc:AlternateConten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900" w:type="dxa"/>
            <w:vAlign w:val="bottom"/>
            <w:tcBorders>
              <w:bottom w:val="single" w:sz="8" w:color="auto"/>
            </w:tcBorders>
            <w:gridSpan w:val="4"/>
          </w:tcPr>
          <w:p>
            <w:pPr>
              <w:ind w:left="1580"/>
              <w:spacing w:after="0"/>
              <w:rPr>
                <w:sz w:val="20"/>
                <w:szCs w:val="20"/>
                <w:color w:val="auto"/>
              </w:rPr>
            </w:pPr>
            <w:r>
              <w:rPr>
                <w:rFonts w:ascii="Times New Roman" w:cs="Times New Roman" w:eastAsia="Times New Roman" w:hAnsi="Times New Roman"/>
                <w:sz w:val="20"/>
                <w:szCs w:val="20"/>
                <w:b w:val="1"/>
                <w:bCs w:val="1"/>
                <w:color w:val="auto"/>
                <w:w w:val="99"/>
              </w:rPr>
              <w:t>Years Ended December 31,</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Borders>
              <w:bottom w:val="single" w:sz="8" w:color="auto"/>
            </w:tcBorders>
          </w:tcPr>
          <w:p>
            <w:pPr>
              <w:jc w:val="right"/>
              <w:ind w:right="60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20" w:type="dxa"/>
            <w:vAlign w:val="bottom"/>
          </w:tcPr>
          <w:p>
            <w:pPr>
              <w:spacing w:after="0"/>
              <w:rPr>
                <w:sz w:val="19"/>
                <w:szCs w:val="19"/>
                <w:color w:val="auto"/>
              </w:rPr>
            </w:pPr>
          </w:p>
        </w:tc>
        <w:tc>
          <w:tcPr>
            <w:tcW w:w="1820" w:type="dxa"/>
            <w:vAlign w:val="bottom"/>
            <w:tcBorders>
              <w:bottom w:val="single" w:sz="8" w:color="auto"/>
            </w:tcBorders>
          </w:tcPr>
          <w:p>
            <w:pPr>
              <w:jc w:val="right"/>
              <w:ind w:right="620"/>
              <w:spacing w:after="0" w:line="220" w:lineRule="exact"/>
              <w:rPr>
                <w:sz w:val="20"/>
                <w:szCs w:val="20"/>
                <w:color w:val="auto"/>
              </w:rPr>
            </w:pPr>
            <w:r>
              <w:rPr>
                <w:rFonts w:ascii="Times New Roman" w:cs="Times New Roman" w:eastAsia="Times New Roman" w:hAnsi="Times New Roman"/>
                <w:sz w:val="20"/>
                <w:szCs w:val="20"/>
                <w:b w:val="1"/>
                <w:bCs w:val="1"/>
                <w:color w:val="auto"/>
              </w:rPr>
              <w:t>2023</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Borders>
              <w:bottom w:val="single" w:sz="8" w:color="auto"/>
            </w:tcBorders>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Borders>
              <w:bottom w:val="single" w:sz="8" w:color="E6E6E6"/>
            </w:tcBorders>
          </w:tcPr>
          <w:p>
            <w:pPr>
              <w:spacing w:after="0"/>
              <w:rPr>
                <w:sz w:val="19"/>
                <w:szCs w:val="19"/>
                <w:color w:val="auto"/>
              </w:rPr>
            </w:pPr>
          </w:p>
        </w:tc>
        <w:tc>
          <w:tcPr>
            <w:tcW w:w="3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420"/>
              <w:spacing w:after="0" w:line="220"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Revenues, Net of Discounts</w:t>
            </w:r>
          </w:p>
        </w:tc>
        <w:tc>
          <w:tcPr>
            <w:tcW w:w="3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1,137,141</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8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1,054,553</w:t>
            </w:r>
          </w:p>
        </w:tc>
        <w:tc>
          <w:tcPr>
            <w:tcW w:w="40" w:type="dxa"/>
            <w:vAlign w:val="bottom"/>
            <w:shd w:val="clear" w:color="auto" w:fill="E6E6E6"/>
          </w:tcPr>
          <w:p>
            <w:pPr>
              <w:spacing w:after="0"/>
              <w:rPr>
                <w:sz w:val="19"/>
                <w:szCs w:val="19"/>
                <w:color w:val="auto"/>
              </w:rPr>
            </w:pPr>
          </w:p>
        </w:tc>
        <w:tc>
          <w:tcPr>
            <w:tcW w:w="1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1,017,375</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Cost of Goods Sold</w:t>
            </w:r>
          </w:p>
        </w:tc>
        <w:tc>
          <w:tcPr>
            <w:tcW w:w="3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(536,032)</w:t>
            </w:r>
          </w:p>
        </w:tc>
        <w:tc>
          <w:tcPr>
            <w:tcW w:w="2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(528,058)</w:t>
            </w:r>
          </w:p>
        </w:tc>
        <w:tc>
          <w:tcPr>
            <w:tcW w:w="40" w:type="dxa"/>
            <w:vAlign w:val="bottom"/>
            <w:tcBorders>
              <w:bottom w:val="single" w:sz="8" w:color="E6E6E6"/>
            </w:tcBorders>
          </w:tcPr>
          <w:p>
            <w:pPr>
              <w:spacing w:after="0"/>
              <w:rPr>
                <w:sz w:val="19"/>
                <w:szCs w:val="19"/>
                <w:color w:val="auto"/>
              </w:rPr>
            </w:pPr>
          </w:p>
        </w:tc>
        <w:tc>
          <w:tcPr>
            <w:tcW w:w="160" w:type="dxa"/>
            <w:vAlign w:val="bottom"/>
            <w:tcBorders>
              <w:bottom w:val="single" w:sz="8" w:color="E6E6E6"/>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(513,412)</w:t>
            </w: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shd w:val="clear" w:color="auto" w:fill="E6E6E6"/>
          </w:tcPr>
          <w:p>
            <w:pPr>
              <w:spacing w:after="0"/>
              <w:rPr>
                <w:sz w:val="19"/>
                <w:szCs w:val="19"/>
                <w:color w:val="auto"/>
              </w:rPr>
            </w:pPr>
          </w:p>
        </w:tc>
        <w:tc>
          <w:tcPr>
            <w:tcW w:w="1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601,109</w:t>
            </w:r>
          </w:p>
        </w:tc>
        <w:tc>
          <w:tcPr>
            <w:tcW w:w="220" w:type="dxa"/>
            <w:vAlign w:val="bottom"/>
            <w:shd w:val="clear" w:color="auto" w:fill="E6E6E6"/>
          </w:tcPr>
          <w:p>
            <w:pPr>
              <w:spacing w:after="0"/>
              <w:rPr>
                <w:sz w:val="19"/>
                <w:szCs w:val="19"/>
                <w:color w:val="auto"/>
              </w:rPr>
            </w:pPr>
          </w:p>
        </w:tc>
        <w:tc>
          <w:tcPr>
            <w:tcW w:w="1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526,495</w:t>
            </w:r>
          </w:p>
        </w:tc>
        <w:tc>
          <w:tcPr>
            <w:tcW w:w="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4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503,963</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Expenses:</w:t>
            </w:r>
          </w:p>
        </w:tc>
        <w:tc>
          <w:tcPr>
            <w:tcW w:w="3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shd w:val="clear" w:color="auto" w:fill="E6E6E6"/>
          </w:tcPr>
          <w:p>
            <w:pPr>
              <w:spacing w:after="0"/>
              <w:rPr>
                <w:sz w:val="19"/>
                <w:szCs w:val="19"/>
                <w:color w:val="auto"/>
              </w:rPr>
            </w:pPr>
          </w:p>
        </w:tc>
        <w:tc>
          <w:tcPr>
            <w:tcW w:w="1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376,684</w:t>
            </w:r>
          </w:p>
        </w:tc>
        <w:tc>
          <w:tcPr>
            <w:tcW w:w="220" w:type="dxa"/>
            <w:vAlign w:val="bottom"/>
            <w:shd w:val="clear" w:color="auto" w:fill="E6E6E6"/>
          </w:tcPr>
          <w:p>
            <w:pPr>
              <w:spacing w:after="0"/>
              <w:rPr>
                <w:sz w:val="19"/>
                <w:szCs w:val="19"/>
                <w:color w:val="auto"/>
              </w:rPr>
            </w:pPr>
          </w:p>
        </w:tc>
        <w:tc>
          <w:tcPr>
            <w:tcW w:w="1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341,863</w:t>
            </w:r>
          </w:p>
        </w:tc>
        <w:tc>
          <w:tcPr>
            <w:tcW w:w="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294,396</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of Goodwill and Intangible Assets</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Borders>
              <w:top w:val="single" w:sz="8" w:color="E6E6E6"/>
            </w:tcBorders>
            <w:shd w:val="clear" w:color="auto" w:fill="E6E6E6"/>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Expenses</w:t>
            </w:r>
          </w:p>
        </w:tc>
        <w:tc>
          <w:tcPr>
            <w:tcW w:w="320" w:type="dxa"/>
            <w:vAlign w:val="bottom"/>
            <w:tcBorders>
              <w:top w:val="single" w:sz="8" w:color="E6E6E6"/>
            </w:tcBorders>
            <w:shd w:val="clear" w:color="auto" w:fill="E6E6E6"/>
          </w:tcPr>
          <w:p>
            <w:pPr>
              <w:spacing w:after="0"/>
              <w:rPr>
                <w:sz w:val="19"/>
                <w:szCs w:val="19"/>
                <w:color w:val="auto"/>
              </w:rPr>
            </w:pPr>
          </w:p>
        </w:tc>
        <w:tc>
          <w:tcPr>
            <w:tcW w:w="18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376,684</w:t>
            </w:r>
          </w:p>
        </w:tc>
        <w:tc>
          <w:tcPr>
            <w:tcW w:w="220" w:type="dxa"/>
            <w:vAlign w:val="bottom"/>
            <w:tcBorders>
              <w:top w:val="single" w:sz="8" w:color="E6E6E6"/>
            </w:tcBorders>
            <w:shd w:val="clear" w:color="auto" w:fill="E6E6E6"/>
          </w:tcPr>
          <w:p>
            <w:pPr>
              <w:spacing w:after="0"/>
              <w:rPr>
                <w:sz w:val="19"/>
                <w:szCs w:val="19"/>
                <w:color w:val="auto"/>
              </w:rPr>
            </w:pPr>
          </w:p>
        </w:tc>
        <w:tc>
          <w:tcPr>
            <w:tcW w:w="18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341,863</w:t>
            </w:r>
          </w:p>
        </w:tc>
        <w:tc>
          <w:tcPr>
            <w:tcW w:w="40" w:type="dxa"/>
            <w:vAlign w:val="bottom"/>
            <w:tcBorders>
              <w:top w:val="single" w:sz="8" w:color="E6E6E6"/>
            </w:tcBorders>
            <w:shd w:val="clear" w:color="auto" w:fill="E6E6E6"/>
          </w:tcPr>
          <w:p>
            <w:pPr>
              <w:spacing w:after="0"/>
              <w:rPr>
                <w:sz w:val="19"/>
                <w:szCs w:val="19"/>
                <w:color w:val="auto"/>
              </w:rPr>
            </w:pPr>
          </w:p>
        </w:tc>
        <w:tc>
          <w:tcPr>
            <w:tcW w:w="160" w:type="dxa"/>
            <w:vAlign w:val="bottom"/>
            <w:tcBorders>
              <w:top w:val="single" w:sz="8" w:color="E6E6E6"/>
            </w:tcBorders>
            <w:shd w:val="clear" w:color="auto" w:fill="E6E6E6"/>
          </w:tcPr>
          <w:p>
            <w:pPr>
              <w:spacing w:after="0"/>
              <w:rPr>
                <w:sz w:val="19"/>
                <w:szCs w:val="19"/>
                <w:color w:val="auto"/>
              </w:rPr>
            </w:pPr>
          </w:p>
        </w:tc>
        <w:tc>
          <w:tcPr>
            <w:tcW w:w="1420" w:type="dxa"/>
            <w:vAlign w:val="bottom"/>
            <w:tcBorders>
              <w:top w:val="single" w:sz="8" w:color="auto"/>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382,899</w:t>
            </w:r>
          </w:p>
        </w:tc>
        <w:tc>
          <w:tcPr>
            <w:tcW w:w="20" w:type="dxa"/>
            <w:vAlign w:val="bottom"/>
            <w:tcBorders>
              <w:top w:val="single" w:sz="8" w:color="E6E6E6"/>
            </w:tcBorders>
            <w:shd w:val="clear" w:color="auto" w:fill="E6E6E6"/>
          </w:tcPr>
          <w:p>
            <w:pPr>
              <w:spacing w:after="0"/>
              <w:rPr>
                <w:sz w:val="19"/>
                <w:szCs w:val="19"/>
                <w:color w:val="auto"/>
              </w:rPr>
            </w:pPr>
          </w:p>
        </w:tc>
        <w:tc>
          <w:tcPr>
            <w:tcW w:w="140" w:type="dxa"/>
            <w:vAlign w:val="bottom"/>
            <w:tcBorders>
              <w:top w:val="single" w:sz="8" w:color="E6E6E6"/>
            </w:tcBorders>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Income From Operations</w:t>
            </w:r>
          </w:p>
        </w:tc>
        <w:tc>
          <w:tcPr>
            <w:tcW w:w="3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224,425</w:t>
            </w:r>
          </w:p>
        </w:tc>
        <w:tc>
          <w:tcPr>
            <w:tcW w:w="2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184,632</w:t>
            </w:r>
          </w:p>
        </w:tc>
        <w:tc>
          <w:tcPr>
            <w:tcW w:w="40" w:type="dxa"/>
            <w:vAlign w:val="bottom"/>
            <w:tcBorders>
              <w:bottom w:val="single" w:sz="8" w:color="E6E6E6"/>
            </w:tcBorders>
          </w:tcPr>
          <w:p>
            <w:pPr>
              <w:spacing w:after="0"/>
              <w:rPr>
                <w:sz w:val="19"/>
                <w:szCs w:val="19"/>
                <w:color w:val="auto"/>
              </w:rPr>
            </w:pPr>
          </w:p>
        </w:tc>
        <w:tc>
          <w:tcPr>
            <w:tcW w:w="160" w:type="dxa"/>
            <w:vAlign w:val="bottom"/>
            <w:tcBorders>
              <w:bottom w:val="single" w:sz="8" w:color="E6E6E6"/>
            </w:tcBorders>
          </w:tcPr>
          <w:p>
            <w:pPr>
              <w:spacing w:after="0"/>
              <w:rPr>
                <w:sz w:val="19"/>
                <w:szCs w:val="19"/>
                <w:color w:val="auto"/>
              </w:rPr>
            </w:pPr>
          </w:p>
        </w:tc>
        <w:tc>
          <w:tcPr>
            <w:tcW w:w="14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121,064</w:t>
            </w: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Other Income (Expense):</w:t>
            </w:r>
          </w:p>
        </w:tc>
        <w:tc>
          <w:tcPr>
            <w:tcW w:w="320" w:type="dxa"/>
            <w:vAlign w:val="bottom"/>
            <w:shd w:val="clear" w:color="auto" w:fill="E6E6E6"/>
          </w:tcPr>
          <w:p>
            <w:pPr>
              <w:spacing w:after="0"/>
              <w:rPr>
                <w:sz w:val="19"/>
                <w:szCs w:val="19"/>
                <w:color w:val="auto"/>
              </w:rPr>
            </w:pPr>
          </w:p>
        </w:tc>
        <w:tc>
          <w:tcPr>
            <w:tcW w:w="18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8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4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(Expense) Income, Net</w:t>
            </w:r>
          </w:p>
        </w:tc>
        <w:tc>
          <w:tcPr>
            <w:tcW w:w="3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(9,094)</w:t>
            </w: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shd w:val="clear" w:color="auto" w:fill="E6E6E6"/>
          </w:tcPr>
          <w:p>
            <w:pPr>
              <w:spacing w:after="0"/>
              <w:rPr>
                <w:sz w:val="19"/>
                <w:szCs w:val="19"/>
                <w:color w:val="auto"/>
              </w:rPr>
            </w:pPr>
          </w:p>
        </w:tc>
        <w:tc>
          <w:tcPr>
            <w:tcW w:w="1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9,074</w:t>
            </w:r>
          </w:p>
        </w:tc>
        <w:tc>
          <w:tcPr>
            <w:tcW w:w="220" w:type="dxa"/>
            <w:vAlign w:val="bottom"/>
            <w:shd w:val="clear" w:color="auto" w:fill="E6E6E6"/>
          </w:tcPr>
          <w:p>
            <w:pPr>
              <w:spacing w:after="0"/>
              <w:rPr>
                <w:sz w:val="19"/>
                <w:szCs w:val="19"/>
                <w:color w:val="auto"/>
              </w:rPr>
            </w:pPr>
          </w:p>
        </w:tc>
        <w:tc>
          <w:tcPr>
            <w:tcW w:w="18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6,697</w:t>
            </w:r>
          </w:p>
        </w:tc>
        <w:tc>
          <w:tcPr>
            <w:tcW w:w="40" w:type="dxa"/>
            <w:vAlign w:val="bottom"/>
            <w:shd w:val="clear" w:color="auto" w:fill="E6E6E6"/>
          </w:tcPr>
          <w:p>
            <w:pPr>
              <w:spacing w:after="0"/>
              <w:rPr>
                <w:sz w:val="19"/>
                <w:szCs w:val="19"/>
                <w:color w:val="auto"/>
              </w:rPr>
            </w:pPr>
          </w:p>
        </w:tc>
        <w:tc>
          <w:tcPr>
            <w:tcW w:w="16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4,070</w:t>
            </w:r>
          </w:p>
        </w:tc>
        <w:tc>
          <w:tcPr>
            <w:tcW w:w="20" w:type="dxa"/>
            <w:vAlign w:val="bottom"/>
            <w:shd w:val="clear" w:color="auto" w:fill="E6E6E6"/>
          </w:tcPr>
          <w:p>
            <w:pPr>
              <w:spacing w:after="0"/>
              <w:rPr>
                <w:sz w:val="19"/>
                <w:szCs w:val="19"/>
                <w:color w:val="auto"/>
              </w:rPr>
            </w:pP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E6E6E6"/>
            </w:tcBorders>
          </w:tcPr>
          <w:p>
            <w:pPr>
              <w:ind w:left="200"/>
              <w:spacing w:after="0"/>
              <w:rPr>
                <w:sz w:val="20"/>
                <w:szCs w:val="20"/>
                <w:color w:val="auto"/>
              </w:rPr>
            </w:pPr>
            <w:r>
              <w:rPr>
                <w:rFonts w:ascii="Times New Roman" w:cs="Times New Roman" w:eastAsia="Times New Roman" w:hAnsi="Times New Roman"/>
                <w:sz w:val="20"/>
                <w:szCs w:val="20"/>
                <w:color w:val="auto"/>
              </w:rPr>
              <w:t>Interest Expense, Net</w:t>
            </w:r>
          </w:p>
        </w:tc>
        <w:tc>
          <w:tcPr>
            <w:tcW w:w="3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(24,266)</w:t>
            </w:r>
          </w:p>
        </w:tc>
        <w:tc>
          <w:tcPr>
            <w:tcW w:w="220" w:type="dxa"/>
            <w:vAlign w:val="bottom"/>
            <w:tcBorders>
              <w:bottom w:val="single" w:sz="8" w:color="E6E6E6"/>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(19,073)</w:t>
            </w:r>
          </w:p>
        </w:tc>
        <w:tc>
          <w:tcPr>
            <w:tcW w:w="40" w:type="dxa"/>
            <w:vAlign w:val="bottom"/>
            <w:tcBorders>
              <w:bottom w:val="single" w:sz="8" w:color="E6E6E6"/>
            </w:tcBorders>
          </w:tcPr>
          <w:p>
            <w:pPr>
              <w:spacing w:after="0"/>
              <w:rPr>
                <w:sz w:val="19"/>
                <w:szCs w:val="19"/>
                <w:color w:val="auto"/>
              </w:rPr>
            </w:pPr>
          </w:p>
        </w:tc>
        <w:tc>
          <w:tcPr>
            <w:tcW w:w="160" w:type="dxa"/>
            <w:vAlign w:val="bottom"/>
            <w:tcBorders>
              <w:bottom w:val="single" w:sz="8" w:color="E6E6E6"/>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(21,201)</w:t>
            </w:r>
          </w:p>
        </w:tc>
        <w:tc>
          <w:tcPr>
            <w:tcW w:w="20" w:type="dxa"/>
            <w:vAlign w:val="bottom"/>
            <w:tcBorders>
              <w:bottom w:val="single" w:sz="8" w:color="E6E6E6"/>
            </w:tcBorders>
          </w:tcPr>
          <w:p>
            <w:pPr>
              <w:spacing w:after="0"/>
              <w:rPr>
                <w:sz w:val="19"/>
                <w:szCs w:val="19"/>
                <w:color w:val="auto"/>
              </w:rPr>
            </w:pPr>
          </w:p>
        </w:tc>
        <w:tc>
          <w:tcPr>
            <w:tcW w:w="140" w:type="dxa"/>
            <w:vAlign w:val="bottom"/>
            <w:tcBorders>
              <w:bottom w:val="single" w:sz="8" w:color="E6E6E6"/>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720" w:type="dxa"/>
            <w:vAlign w:val="bottom"/>
            <w:tcBorders>
              <w:bottom w:val="single" w:sz="8" w:color="E6E6E6"/>
            </w:tcBorders>
            <w:shd w:val="clear" w:color="auto" w:fill="E6E6E6"/>
          </w:tcPr>
          <w:p>
            <w:pPr>
              <w:ind w:left="400"/>
              <w:spacing w:after="0" w:line="220" w:lineRule="exact"/>
              <w:rPr>
                <w:sz w:val="20"/>
                <w:szCs w:val="20"/>
                <w:color w:val="auto"/>
              </w:rPr>
            </w:pPr>
            <w:r>
              <w:rPr>
                <w:rFonts w:ascii="Times New Roman" w:cs="Times New Roman" w:eastAsia="Times New Roman" w:hAnsi="Times New Roman"/>
                <w:sz w:val="20"/>
                <w:szCs w:val="20"/>
                <w:b w:val="1"/>
                <w:bCs w:val="1"/>
                <w:color w:val="auto"/>
              </w:rPr>
              <w:t>Total Other Expense</w:t>
            </w:r>
          </w:p>
        </w:tc>
        <w:tc>
          <w:tcPr>
            <w:tcW w:w="320" w:type="dxa"/>
            <w:vAlign w:val="bottom"/>
            <w:tcBorders>
              <w:bottom w:val="single" w:sz="8" w:color="E6E6E6"/>
            </w:tcBorders>
            <w:shd w:val="clear" w:color="auto" w:fill="E6E6E6"/>
          </w:tcPr>
          <w:p>
            <w:pPr>
              <w:spacing w:after="0"/>
              <w:rPr>
                <w:sz w:val="20"/>
                <w:szCs w:val="20"/>
                <w:color w:val="auto"/>
              </w:rPr>
            </w:pPr>
          </w:p>
        </w:tc>
        <w:tc>
          <w:tcPr>
            <w:tcW w:w="1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(24,286)</w:t>
            </w:r>
          </w:p>
        </w:tc>
        <w:tc>
          <w:tcPr>
            <w:tcW w:w="220" w:type="dxa"/>
            <w:vAlign w:val="bottom"/>
            <w:tcBorders>
              <w:bottom w:val="single" w:sz="8" w:color="E6E6E6"/>
            </w:tcBorders>
            <w:shd w:val="clear" w:color="auto" w:fill="E6E6E6"/>
          </w:tcPr>
          <w:p>
            <w:pPr>
              <w:spacing w:after="0"/>
              <w:rPr>
                <w:sz w:val="20"/>
                <w:szCs w:val="20"/>
                <w:color w:val="auto"/>
              </w:rPr>
            </w:pPr>
          </w:p>
        </w:tc>
        <w:tc>
          <w:tcPr>
            <w:tcW w:w="18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(28,583)</w:t>
            </w:r>
          </w:p>
        </w:tc>
        <w:tc>
          <w:tcPr>
            <w:tcW w:w="40" w:type="dxa"/>
            <w:vAlign w:val="bottom"/>
            <w:tcBorders>
              <w:bottom w:val="single" w:sz="8" w:color="E6E6E6"/>
            </w:tcBorders>
            <w:shd w:val="clear" w:color="auto" w:fill="E6E6E6"/>
          </w:tcPr>
          <w:p>
            <w:pPr>
              <w:spacing w:after="0"/>
              <w:rPr>
                <w:sz w:val="20"/>
                <w:szCs w:val="20"/>
                <w:color w:val="auto"/>
              </w:rPr>
            </w:pPr>
          </w:p>
        </w:tc>
        <w:tc>
          <w:tcPr>
            <w:tcW w:w="160" w:type="dxa"/>
            <w:vAlign w:val="bottom"/>
            <w:tcBorders>
              <w:bottom w:val="single" w:sz="8" w:color="E6E6E6"/>
            </w:tcBorders>
            <w:shd w:val="clear" w:color="auto" w:fill="E6E6E6"/>
          </w:tcPr>
          <w:p>
            <w:pPr>
              <w:spacing w:after="0"/>
              <w:rPr>
                <w:sz w:val="20"/>
                <w:szCs w:val="20"/>
                <w:color w:val="auto"/>
              </w:rPr>
            </w:pPr>
          </w:p>
        </w:tc>
        <w:tc>
          <w:tcPr>
            <w:tcW w:w="14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(12,632)</w:t>
            </w:r>
          </w:p>
        </w:tc>
        <w:tc>
          <w:tcPr>
            <w:tcW w:w="20" w:type="dxa"/>
            <w:vAlign w:val="bottom"/>
            <w:tcBorders>
              <w:bottom w:val="single" w:sz="8" w:color="E6E6E6"/>
            </w:tcBorders>
            <w:shd w:val="clear" w:color="auto" w:fill="E6E6E6"/>
          </w:tcPr>
          <w:p>
            <w:pPr>
              <w:spacing w:after="0"/>
              <w:rPr>
                <w:sz w:val="20"/>
                <w:szCs w:val="20"/>
                <w:color w:val="auto"/>
              </w:rPr>
            </w:pPr>
          </w:p>
        </w:tc>
        <w:tc>
          <w:tcPr>
            <w:tcW w:w="140" w:type="dxa"/>
            <w:vAlign w:val="bottom"/>
            <w:tcBorders>
              <w:bottom w:val="single" w:sz="8" w:color="E6E6E6"/>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4720" w:type="dxa"/>
            <w:vAlign w:val="bottom"/>
          </w:tcPr>
          <w:p>
            <w:pPr>
              <w:spacing w:after="0" w:line="177" w:lineRule="exact"/>
              <w:rPr>
                <w:sz w:val="20"/>
                <w:szCs w:val="20"/>
                <w:color w:val="auto"/>
              </w:rPr>
            </w:pPr>
            <w:r>
              <w:rPr>
                <w:rFonts w:ascii="Times New Roman" w:cs="Times New Roman" w:eastAsia="Times New Roman" w:hAnsi="Times New Roman"/>
                <w:sz w:val="20"/>
                <w:szCs w:val="20"/>
                <w:b w:val="1"/>
                <w:bCs w:val="1"/>
                <w:color w:val="auto"/>
              </w:rPr>
              <w:t>Income Before Provision for Income Taxes And Non-</w:t>
            </w: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Controlling Interest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200,139</w:t>
            </w:r>
          </w:p>
        </w:tc>
        <w:tc>
          <w:tcPr>
            <w:tcW w:w="2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156,049</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108,432</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tc>
        <w:tc>
          <w:tcPr>
            <w:tcW w:w="320" w:type="dxa"/>
            <w:vAlign w:val="bottom"/>
            <w:tcBorders>
              <w:bottom w:val="single" w:sz="8" w:color="E6E6E6"/>
            </w:tcBorders>
            <w:shd w:val="clear" w:color="auto" w:fill="E6E6E6"/>
          </w:tcPr>
          <w:p>
            <w:pPr>
              <w:spacing w:after="0"/>
              <w:rPr>
                <w:sz w:val="21"/>
                <w:szCs w:val="21"/>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126,288</w:t>
            </w:r>
          </w:p>
        </w:tc>
        <w:tc>
          <w:tcPr>
            <w:tcW w:w="220" w:type="dxa"/>
            <w:vAlign w:val="bottom"/>
            <w:tcBorders>
              <w:bottom w:val="single" w:sz="8" w:color="E6E6E6"/>
            </w:tcBorders>
            <w:shd w:val="clear" w:color="auto" w:fill="E6E6E6"/>
          </w:tcPr>
          <w:p>
            <w:pPr>
              <w:spacing w:after="0"/>
              <w:rPr>
                <w:sz w:val="21"/>
                <w:szCs w:val="21"/>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118,630</w:t>
            </w:r>
          </w:p>
        </w:tc>
        <w:tc>
          <w:tcPr>
            <w:tcW w:w="4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spacing w:after="0"/>
              <w:rPr>
                <w:sz w:val="21"/>
                <w:szCs w:val="21"/>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94,777</w:t>
            </w:r>
          </w:p>
        </w:tc>
        <w:tc>
          <w:tcPr>
            <w:tcW w:w="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7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Net Income Before Non-Controlling Interest</w:t>
            </w:r>
          </w:p>
        </w:tc>
        <w:tc>
          <w:tcPr>
            <w:tcW w:w="320" w:type="dxa"/>
            <w:vAlign w:val="bottom"/>
          </w:tcPr>
          <w:p>
            <w:pPr>
              <w:spacing w:after="0"/>
              <w:rPr>
                <w:sz w:val="17"/>
                <w:szCs w:val="17"/>
                <w:color w:val="auto"/>
              </w:rPr>
            </w:pPr>
          </w:p>
        </w:tc>
        <w:tc>
          <w:tcPr>
            <w:tcW w:w="1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73,851</w:t>
            </w:r>
          </w:p>
        </w:tc>
        <w:tc>
          <w:tcPr>
            <w:tcW w:w="220" w:type="dxa"/>
            <w:vAlign w:val="bottom"/>
          </w:tcPr>
          <w:p>
            <w:pPr>
              <w:spacing w:after="0"/>
              <w:rPr>
                <w:sz w:val="17"/>
                <w:szCs w:val="17"/>
                <w:color w:val="auto"/>
              </w:rPr>
            </w:pPr>
          </w:p>
        </w:tc>
        <w:tc>
          <w:tcPr>
            <w:tcW w:w="1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37,419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13,655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Non-Controlling Interest</w:t>
            </w:r>
          </w:p>
        </w:tc>
        <w:tc>
          <w:tcPr>
            <w:tcW w:w="320" w:type="dxa"/>
            <w:vAlign w:val="bottom"/>
            <w:tcBorders>
              <w:bottom w:val="single" w:sz="8" w:color="E6E6E6"/>
            </w:tcBorders>
            <w:shd w:val="clear" w:color="auto" w:fill="E6E6E6"/>
          </w:tcPr>
          <w:p>
            <w:pPr>
              <w:spacing w:after="0"/>
              <w:rPr>
                <w:sz w:val="21"/>
                <w:szCs w:val="21"/>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768</w:t>
            </w:r>
          </w:p>
        </w:tc>
        <w:tc>
          <w:tcPr>
            <w:tcW w:w="220" w:type="dxa"/>
            <w:vAlign w:val="bottom"/>
            <w:tcBorders>
              <w:bottom w:val="single" w:sz="8" w:color="E6E6E6"/>
            </w:tcBorders>
            <w:shd w:val="clear" w:color="auto" w:fill="E6E6E6"/>
          </w:tcPr>
          <w:p>
            <w:pPr>
              <w:spacing w:after="0"/>
              <w:rPr>
                <w:sz w:val="21"/>
                <w:szCs w:val="21"/>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40" w:type="dxa"/>
            <w:vAlign w:val="bottom"/>
            <w:tcBorders>
              <w:bottom w:val="single" w:sz="8" w:color="E6E6E6"/>
            </w:tcBorders>
            <w:shd w:val="clear" w:color="auto" w:fill="E6E6E6"/>
          </w:tcPr>
          <w:p>
            <w:pPr>
              <w:spacing w:after="0"/>
              <w:rPr>
                <w:sz w:val="21"/>
                <w:szCs w:val="21"/>
                <w:color w:val="auto"/>
              </w:rPr>
            </w:pPr>
          </w:p>
        </w:tc>
        <w:tc>
          <w:tcPr>
            <w:tcW w:w="160" w:type="dxa"/>
            <w:vAlign w:val="bottom"/>
            <w:tcBorders>
              <w:bottom w:val="single" w:sz="8" w:color="E6E6E6"/>
            </w:tcBorders>
            <w:shd w:val="clear" w:color="auto" w:fill="E6E6E6"/>
          </w:tcPr>
          <w:p>
            <w:pPr>
              <w:spacing w:after="0"/>
              <w:rPr>
                <w:sz w:val="21"/>
                <w:szCs w:val="21"/>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1,677</w:t>
            </w:r>
          </w:p>
        </w:tc>
        <w:tc>
          <w:tcPr>
            <w:tcW w:w="20" w:type="dxa"/>
            <w:vAlign w:val="bottom"/>
            <w:tcBorders>
              <w:bottom w:val="single" w:sz="8" w:color="E6E6E6"/>
            </w:tcBorders>
            <w:shd w:val="clear" w:color="auto" w:fill="E6E6E6"/>
          </w:tcPr>
          <w:p>
            <w:pPr>
              <w:spacing w:after="0"/>
              <w:rPr>
                <w:sz w:val="21"/>
                <w:szCs w:val="21"/>
                <w:color w:val="auto"/>
              </w:rPr>
            </w:pPr>
          </w:p>
        </w:tc>
        <w:tc>
          <w:tcPr>
            <w:tcW w:w="140" w:type="dxa"/>
            <w:vAlign w:val="bottom"/>
            <w:tcBorders>
              <w:bottom w:val="single" w:sz="8" w:color="E6E6E6"/>
            </w:tcBorders>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720" w:type="dxa"/>
            <w:vAlign w:val="bottom"/>
          </w:tcPr>
          <w:p>
            <w:pPr>
              <w:spacing w:after="0" w:line="177" w:lineRule="exact"/>
              <w:rPr>
                <w:sz w:val="20"/>
                <w:szCs w:val="20"/>
                <w:color w:val="auto"/>
              </w:rPr>
            </w:pPr>
            <w:r>
              <w:rPr>
                <w:rFonts w:ascii="Times New Roman" w:cs="Times New Roman" w:eastAsia="Times New Roman" w:hAnsi="Times New Roman"/>
                <w:sz w:val="20"/>
                <w:szCs w:val="20"/>
                <w:b w:val="1"/>
                <w:bCs w:val="1"/>
                <w:color w:val="auto"/>
              </w:rPr>
              <w:t>Net Income Attributable To Green Thumb Industries</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3"/>
        </w:trPr>
        <w:tc>
          <w:tcPr>
            <w:tcW w:w="47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b w:val="1"/>
                <w:bCs w:val="1"/>
                <w:color w:val="auto"/>
              </w:rPr>
              <w:t>Inc.</w:t>
            </w:r>
          </w:p>
        </w:tc>
        <w:tc>
          <w:tcPr>
            <w:tcW w:w="320" w:type="dxa"/>
            <w:vAlign w:val="bottom"/>
            <w:tcBorders>
              <w:bottom w:val="single" w:sz="8" w:color="E6E6E6"/>
            </w:tcBorders>
            <w:vMerge w:val="continue"/>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73,083</w:t>
            </w:r>
          </w:p>
        </w:tc>
        <w:tc>
          <w:tcPr>
            <w:tcW w:w="220" w:type="dxa"/>
            <w:vAlign w:val="bottom"/>
            <w:tcBorders>
              <w:bottom w:val="single" w:sz="8" w:color="E6E6E6"/>
            </w:tcBorders>
            <w:vMerge w:val="continue"/>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36,267</w:t>
            </w:r>
          </w:p>
        </w:tc>
        <w:tc>
          <w:tcPr>
            <w:tcW w:w="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vMerge w:val="continue"/>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11,978</w:t>
            </w:r>
          </w:p>
        </w:tc>
        <w:tc>
          <w:tcPr>
            <w:tcW w:w="2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E6E6E6"/>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Net Income Per Share - Basic</w:t>
            </w:r>
          </w:p>
        </w:tc>
        <w:tc>
          <w:tcPr>
            <w:tcW w:w="3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0.31</w:t>
            </w:r>
          </w:p>
        </w:tc>
        <w:tc>
          <w:tcPr>
            <w:tcW w:w="22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0.15</w:t>
            </w:r>
          </w:p>
        </w:tc>
        <w:tc>
          <w:tcPr>
            <w:tcW w:w="40" w:type="dxa"/>
            <w:vAlign w:val="bottom"/>
            <w:shd w:val="clear" w:color="auto" w:fill="E6E6E6"/>
          </w:tcPr>
          <w:p>
            <w:pPr>
              <w:spacing w:after="0"/>
              <w:rPr>
                <w:sz w:val="18"/>
                <w:szCs w:val="18"/>
                <w:color w:val="auto"/>
              </w:rPr>
            </w:pPr>
          </w:p>
        </w:tc>
        <w:tc>
          <w:tcPr>
            <w:tcW w:w="160" w:type="dxa"/>
            <w:vAlign w:val="bottom"/>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w w:val="79"/>
              </w:rPr>
              <w:t>$</w:t>
            </w:r>
          </w:p>
        </w:tc>
        <w:tc>
          <w:tcPr>
            <w:tcW w:w="1420" w:type="dxa"/>
            <w:vAlign w:val="bottom"/>
            <w:tcBorders>
              <w:bottom w:val="single" w:sz="8" w:color="auto"/>
            </w:tcBorders>
            <w:shd w:val="clear" w:color="auto" w:fill="E6E6E6"/>
          </w:tcPr>
          <w:p>
            <w:pPr>
              <w:jc w:val="right"/>
              <w:spacing w:after="0" w:line="215" w:lineRule="exact"/>
              <w:rPr>
                <w:sz w:val="20"/>
                <w:szCs w:val="20"/>
                <w:color w:val="auto"/>
              </w:rPr>
            </w:pPr>
            <w:r>
              <w:rPr>
                <w:rFonts w:ascii="Times New Roman" w:cs="Times New Roman" w:eastAsia="Times New Roman" w:hAnsi="Times New Roman"/>
                <w:sz w:val="20"/>
                <w:szCs w:val="20"/>
                <w:color w:val="auto"/>
              </w:rPr>
              <w:t>0.05</w:t>
            </w:r>
          </w:p>
        </w:tc>
        <w:tc>
          <w:tcPr>
            <w:tcW w:w="20" w:type="dxa"/>
            <w:vAlign w:val="bottom"/>
            <w:shd w:val="clear" w:color="auto" w:fill="E6E6E6"/>
          </w:tcPr>
          <w:p>
            <w:pPr>
              <w:spacing w:after="0"/>
              <w:rPr>
                <w:sz w:val="18"/>
                <w:szCs w:val="18"/>
                <w:color w:val="auto"/>
              </w:rPr>
            </w:pPr>
          </w:p>
        </w:tc>
        <w:tc>
          <w:tcPr>
            <w:tcW w:w="1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Income Per Share - Diluted</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720" w:type="dxa"/>
            <w:vAlign w:val="bottom"/>
            <w:tcBorders>
              <w:bottom w:val="single" w:sz="8" w:color="E6E6E6"/>
            </w:tcBorders>
            <w:vMerge w:val="continue"/>
          </w:tcPr>
          <w:p>
            <w:pPr>
              <w:spacing w:after="0"/>
              <w:rPr>
                <w:sz w:val="22"/>
                <w:szCs w:val="22"/>
                <w:color w:val="auto"/>
              </w:rPr>
            </w:pPr>
          </w:p>
        </w:tc>
        <w:tc>
          <w:tcPr>
            <w:tcW w:w="320" w:type="dxa"/>
            <w:vAlign w:val="bottom"/>
            <w:tcBorders>
              <w:bottom w:val="single" w:sz="8" w:color="E6E6E6"/>
            </w:tcBorders>
            <w:vMerge w:val="continue"/>
          </w:tcPr>
          <w:p>
            <w:pPr>
              <w:spacing w:after="0"/>
              <w:rPr>
                <w:sz w:val="22"/>
                <w:szCs w:val="22"/>
                <w:color w:val="auto"/>
              </w:rPr>
            </w:pPr>
          </w:p>
        </w:tc>
        <w:tc>
          <w:tcPr>
            <w:tcW w:w="18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0.30</w:t>
            </w:r>
          </w:p>
        </w:tc>
        <w:tc>
          <w:tcPr>
            <w:tcW w:w="220" w:type="dxa"/>
            <w:vAlign w:val="bottom"/>
            <w:tcBorders>
              <w:bottom w:val="single" w:sz="8" w:color="E6E6E6"/>
            </w:tcBorders>
            <w:vMerge w:val="continue"/>
          </w:tcPr>
          <w:p>
            <w:pPr>
              <w:spacing w:after="0"/>
              <w:rPr>
                <w:sz w:val="22"/>
                <w:szCs w:val="22"/>
                <w:color w:val="auto"/>
              </w:rPr>
            </w:pPr>
          </w:p>
        </w:tc>
        <w:tc>
          <w:tcPr>
            <w:tcW w:w="18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0.15</w:t>
            </w:r>
          </w:p>
        </w:tc>
        <w:tc>
          <w:tcPr>
            <w:tcW w:w="40" w:type="dxa"/>
            <w:vAlign w:val="bottom"/>
            <w:tcBorders>
              <w:bottom w:val="single" w:sz="8" w:color="E6E6E6"/>
            </w:tcBorders>
          </w:tcPr>
          <w:p>
            <w:pPr>
              <w:spacing w:after="0"/>
              <w:rPr>
                <w:sz w:val="22"/>
                <w:szCs w:val="22"/>
                <w:color w:val="auto"/>
              </w:rPr>
            </w:pPr>
          </w:p>
        </w:tc>
        <w:tc>
          <w:tcPr>
            <w:tcW w:w="160" w:type="dxa"/>
            <w:vAlign w:val="bottom"/>
            <w:tcBorders>
              <w:bottom w:val="single" w:sz="8" w:color="E6E6E6"/>
            </w:tcBorders>
            <w:vMerge w:val="continue"/>
          </w:tcPr>
          <w:p>
            <w:pPr>
              <w:spacing w:after="0"/>
              <w:rPr>
                <w:sz w:val="22"/>
                <w:szCs w:val="22"/>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0.05</w:t>
            </w:r>
          </w:p>
        </w:tc>
        <w:tc>
          <w:tcPr>
            <w:tcW w:w="20" w:type="dxa"/>
            <w:vAlign w:val="bottom"/>
            <w:tcBorders>
              <w:bottom w:val="single" w:sz="8" w:color="E6E6E6"/>
            </w:tcBorders>
          </w:tcPr>
          <w:p>
            <w:pPr>
              <w:spacing w:after="0"/>
              <w:rPr>
                <w:sz w:val="22"/>
                <w:szCs w:val="22"/>
                <w:color w:val="auto"/>
              </w:rPr>
            </w:pPr>
          </w:p>
        </w:tc>
        <w:tc>
          <w:tcPr>
            <w:tcW w:w="140" w:type="dxa"/>
            <w:vAlign w:val="bottom"/>
            <w:tcBorders>
              <w:bottom w:val="single" w:sz="8" w:color="E6E6E6"/>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720" w:type="dxa"/>
            <w:vAlign w:val="bottom"/>
            <w:shd w:val="clear" w:color="auto" w:fill="E6E6E6"/>
          </w:tcPr>
          <w:p>
            <w:pPr>
              <w:spacing w:after="0" w:line="191" w:lineRule="exact"/>
              <w:rPr>
                <w:sz w:val="20"/>
                <w:szCs w:val="20"/>
                <w:color w:val="auto"/>
              </w:rPr>
            </w:pPr>
            <w:r>
              <w:rPr>
                <w:rFonts w:ascii="Times New Roman" w:cs="Times New Roman" w:eastAsia="Times New Roman" w:hAnsi="Times New Roman"/>
                <w:sz w:val="20"/>
                <w:szCs w:val="20"/>
                <w:b w:val="1"/>
                <w:bCs w:val="1"/>
                <w:color w:val="auto"/>
              </w:rPr>
              <w:t>Weighted Average Number of Shares Outstanding -</w:t>
            </w:r>
          </w:p>
        </w:tc>
        <w:tc>
          <w:tcPr>
            <w:tcW w:w="320" w:type="dxa"/>
            <w:vAlign w:val="bottom"/>
            <w:shd w:val="clear" w:color="auto" w:fill="E6E6E6"/>
          </w:tcPr>
          <w:p>
            <w:pPr>
              <w:spacing w:after="0"/>
              <w:rPr>
                <w:sz w:val="16"/>
                <w:szCs w:val="16"/>
                <w:color w:val="auto"/>
              </w:rPr>
            </w:pPr>
          </w:p>
        </w:tc>
        <w:tc>
          <w:tcPr>
            <w:tcW w:w="182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820" w:type="dxa"/>
            <w:vAlign w:val="bottom"/>
            <w:shd w:val="clear" w:color="auto" w:fill="E6E6E6"/>
          </w:tcPr>
          <w:p>
            <w:pPr>
              <w:spacing w:after="0"/>
              <w:rPr>
                <w:sz w:val="16"/>
                <w:szCs w:val="16"/>
                <w:color w:val="auto"/>
              </w:rPr>
            </w:pPr>
          </w:p>
        </w:tc>
        <w:tc>
          <w:tcPr>
            <w:tcW w:w="40" w:type="dxa"/>
            <w:vAlign w:val="bottom"/>
            <w:shd w:val="clear" w:color="auto" w:fill="E6E6E6"/>
          </w:tcPr>
          <w:p>
            <w:pPr>
              <w:spacing w:after="0"/>
              <w:rPr>
                <w:sz w:val="16"/>
                <w:szCs w:val="16"/>
                <w:color w:val="auto"/>
              </w:rPr>
            </w:pPr>
          </w:p>
        </w:tc>
        <w:tc>
          <w:tcPr>
            <w:tcW w:w="160" w:type="dxa"/>
            <w:vAlign w:val="bottom"/>
            <w:shd w:val="clear" w:color="auto" w:fill="E6E6E6"/>
          </w:tcPr>
          <w:p>
            <w:pPr>
              <w:spacing w:after="0"/>
              <w:rPr>
                <w:sz w:val="16"/>
                <w:szCs w:val="16"/>
                <w:color w:val="auto"/>
              </w:rPr>
            </w:pPr>
          </w:p>
        </w:tc>
        <w:tc>
          <w:tcPr>
            <w:tcW w:w="1420" w:type="dxa"/>
            <w:vAlign w:val="bottom"/>
            <w:shd w:val="clear" w:color="auto" w:fill="E6E6E6"/>
          </w:tcPr>
          <w:p>
            <w:pPr>
              <w:spacing w:after="0"/>
              <w:rPr>
                <w:sz w:val="16"/>
                <w:szCs w:val="16"/>
                <w:color w:val="auto"/>
              </w:rPr>
            </w:pPr>
          </w:p>
        </w:tc>
        <w:tc>
          <w:tcPr>
            <w:tcW w:w="20" w:type="dxa"/>
            <w:vAlign w:val="bottom"/>
            <w:shd w:val="clear" w:color="auto" w:fill="E6E6E6"/>
          </w:tcPr>
          <w:p>
            <w:pPr>
              <w:spacing w:after="0"/>
              <w:rPr>
                <w:sz w:val="16"/>
                <w:szCs w:val="16"/>
                <w:color w:val="auto"/>
              </w:rPr>
            </w:pPr>
          </w:p>
        </w:tc>
        <w:tc>
          <w:tcPr>
            <w:tcW w:w="140" w:type="dxa"/>
            <w:vAlign w:val="bottom"/>
            <w:shd w:val="clear" w:color="auto" w:fill="E6E6E6"/>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7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Basic</w:t>
            </w:r>
          </w:p>
        </w:tc>
        <w:tc>
          <w:tcPr>
            <w:tcW w:w="320" w:type="dxa"/>
            <w:vAlign w:val="bottom"/>
            <w:shd w:val="clear" w:color="auto" w:fill="E6E6E6"/>
          </w:tcPr>
          <w:p>
            <w:pPr>
              <w:spacing w:after="0"/>
              <w:rPr>
                <w:sz w:val="22"/>
                <w:szCs w:val="22"/>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236,827,774</w:t>
            </w:r>
          </w:p>
        </w:tc>
        <w:tc>
          <w:tcPr>
            <w:tcW w:w="220" w:type="dxa"/>
            <w:vAlign w:val="bottom"/>
            <w:shd w:val="clear" w:color="auto" w:fill="E6E6E6"/>
          </w:tcPr>
          <w:p>
            <w:pPr>
              <w:spacing w:after="0"/>
              <w:rPr>
                <w:sz w:val="22"/>
                <w:szCs w:val="22"/>
                <w:color w:val="auto"/>
              </w:rPr>
            </w:pPr>
          </w:p>
        </w:tc>
        <w:tc>
          <w:tcPr>
            <w:tcW w:w="18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237,927,867</w:t>
            </w:r>
          </w:p>
        </w:tc>
        <w:tc>
          <w:tcPr>
            <w:tcW w:w="40" w:type="dxa"/>
            <w:vAlign w:val="bottom"/>
            <w:shd w:val="clear" w:color="auto" w:fill="E6E6E6"/>
          </w:tcPr>
          <w:p>
            <w:pPr>
              <w:spacing w:after="0"/>
              <w:rPr>
                <w:sz w:val="22"/>
                <w:szCs w:val="22"/>
                <w:color w:val="auto"/>
              </w:rPr>
            </w:pPr>
          </w:p>
        </w:tc>
        <w:tc>
          <w:tcPr>
            <w:tcW w:w="160" w:type="dxa"/>
            <w:vAlign w:val="bottom"/>
            <w:shd w:val="clear" w:color="auto" w:fill="E6E6E6"/>
          </w:tcPr>
          <w:p>
            <w:pPr>
              <w:spacing w:after="0"/>
              <w:rPr>
                <w:sz w:val="22"/>
                <w:szCs w:val="22"/>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236,713,056</w:t>
            </w:r>
          </w:p>
        </w:tc>
        <w:tc>
          <w:tcPr>
            <w:tcW w:w="2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Weighted average Number of Shares Outstanding -</w:t>
            </w: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32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241,925,957</w:t>
            </w:r>
          </w:p>
        </w:tc>
        <w:tc>
          <w:tcPr>
            <w:tcW w:w="220" w:type="dxa"/>
            <w:vAlign w:val="bottom"/>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239,827,390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238,080,030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179705</wp:posOffset>
                </wp:positionV>
                <wp:extent cx="689483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4.15pt" to="541.45pt,14.15pt" o:allowincell="f" strokecolor="#000000" strokeweight="0.75pt"/>
            </w:pict>
          </mc:Fallback>
        </mc:AlternateConten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40"/>
          </w:cols>
          <w:pgMar w:left="720" w:top="926" w:right="7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740"/>
          </w:cols>
          <w:pgMar w:left="720" w:top="926" w:right="780" w:bottom="175"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jc w:val="center"/>
        <w:spacing w:after="0" w:line="233" w:lineRule="auto"/>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86995</wp:posOffset>
                </wp:positionV>
                <wp:extent cx="918019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01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85pt" to="721.4pt,6.85pt" o:allowincell="f" strokecolor="#000000" strokeweight="0.75pt"/>
            </w:pict>
          </mc:Fallback>
        </mc:AlternateConten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Deferred Share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3"/>
        </w:trPr>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Surplus (Deficit)</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Issuance</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tcBorders>
              <w:bottom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480" w:type="dxa"/>
            <w:vAlign w:val="bottom"/>
            <w:tcBorders>
              <w:bottom w:val="single" w:sz="8" w:color="E6E6E6"/>
            </w:tcBorders>
          </w:tcPr>
          <w:p>
            <w:pPr>
              <w:spacing w:after="0"/>
              <w:rPr>
                <w:sz w:val="17"/>
                <w:szCs w:val="17"/>
                <w:color w:val="auto"/>
              </w:rPr>
            </w:pPr>
          </w:p>
        </w:tc>
        <w:tc>
          <w:tcPr>
            <w:tcW w:w="220" w:type="dxa"/>
            <w:vAlign w:val="bottom"/>
            <w:tcBorders>
              <w:bottom w:val="single" w:sz="8" w:color="E6E6E6"/>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(in</w:t>
            </w:r>
          </w:p>
        </w:tc>
        <w:tc>
          <w:tcPr>
            <w:tcW w:w="1620" w:type="dxa"/>
            <w:vAlign w:val="bottom"/>
            <w:tcBorders>
              <w:bottom w:val="single" w:sz="8" w:color="auto"/>
            </w:tcBorders>
            <w:gridSpan w:val="4"/>
          </w:tcPr>
          <w:p>
            <w:pPr>
              <w:jc w:val="right"/>
              <w:ind w:right="850"/>
              <w:spacing w:after="0" w:line="201"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E6E6E6"/>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Balance, January 1, 2022</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1,633,672</w:t>
            </w:r>
          </w:p>
        </w:tc>
        <w:tc>
          <w:tcPr>
            <w:tcW w:w="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21,245</w:t>
            </w:r>
          </w:p>
        </w:tc>
        <w:tc>
          <w:tcPr>
            <w:tcW w:w="140" w:type="dxa"/>
            <w:vAlign w:val="bottom"/>
            <w:shd w:val="clear" w:color="auto" w:fill="E6E6E6"/>
          </w:tcPr>
          <w:p>
            <w:pPr>
              <w:spacing w:after="0"/>
              <w:rPr>
                <w:sz w:val="18"/>
                <w:szCs w:val="18"/>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36,262</w:t>
            </w:r>
          </w:p>
        </w:tc>
        <w:tc>
          <w:tcPr>
            <w:tcW w:w="140" w:type="dxa"/>
            <w:vAlign w:val="bottom"/>
            <w:shd w:val="clear" w:color="auto" w:fill="E6E6E6"/>
          </w:tcPr>
          <w:p>
            <w:pPr>
              <w:spacing w:after="0"/>
              <w:rPr>
                <w:sz w:val="18"/>
                <w:szCs w:val="18"/>
                <w:color w:val="auto"/>
              </w:rPr>
            </w:pPr>
          </w:p>
        </w:tc>
        <w:tc>
          <w:tcPr>
            <w:tcW w:w="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(70,063)</w:t>
            </w:r>
          </w:p>
        </w:tc>
        <w:tc>
          <w:tcPr>
            <w:tcW w:w="140" w:type="dxa"/>
            <w:vAlign w:val="bottom"/>
            <w:shd w:val="clear" w:color="auto" w:fill="E6E6E6"/>
          </w:tcPr>
          <w:p>
            <w:pPr>
              <w:spacing w:after="0"/>
              <w:rPr>
                <w:sz w:val="18"/>
                <w:szCs w:val="18"/>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shd w:val="clear" w:color="auto" w:fill="E6E6E6"/>
          </w:tcPr>
          <w:p>
            <w:pPr>
              <w:spacing w:after="0"/>
              <w:rPr>
                <w:sz w:val="18"/>
                <w:szCs w:val="18"/>
                <w:color w:val="auto"/>
              </w:rPr>
            </w:pPr>
          </w:p>
        </w:tc>
        <w:tc>
          <w:tcPr>
            <w:tcW w:w="2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6E6E6"/>
          </w:tcPr>
          <w:p>
            <w:pPr>
              <w:spacing w:after="0"/>
              <w:rPr>
                <w:sz w:val="18"/>
                <w:szCs w:val="18"/>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1,619,478</w:t>
            </w:r>
          </w:p>
        </w:tc>
        <w:tc>
          <w:tcPr>
            <w:tcW w:w="14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adjustment for change in ownership</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80" w:type="dxa"/>
            <w:vAlign w:val="bottom"/>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rPr>
              <w:t>Issuance of shares under business combinations and</w:t>
            </w:r>
          </w:p>
        </w:tc>
        <w:tc>
          <w:tcPr>
            <w:tcW w:w="2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3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3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8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2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3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360" w:type="dxa"/>
            <w:vAlign w:val="bottom"/>
            <w:vMerge w:val="continue"/>
            <w:shd w:val="clear" w:color="auto" w:fill="E6E6E6"/>
          </w:tcPr>
          <w:p>
            <w:pPr>
              <w:spacing w:after="0"/>
              <w:rPr>
                <w:sz w:val="11"/>
                <w:szCs w:val="11"/>
                <w:color w:val="auto"/>
              </w:rPr>
            </w:pPr>
          </w:p>
        </w:tc>
        <w:tc>
          <w:tcPr>
            <w:tcW w:w="3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8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40" w:type="dxa"/>
            <w:vAlign w:val="bottom"/>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320" w:type="dxa"/>
            <w:vAlign w:val="bottom"/>
            <w:vMerge w:val="continue"/>
            <w:shd w:val="clear" w:color="auto" w:fill="E6E6E6"/>
          </w:tcPr>
          <w:p>
            <w:pPr>
              <w:spacing w:after="0"/>
              <w:rPr>
                <w:sz w:val="11"/>
                <w:szCs w:val="11"/>
                <w:color w:val="auto"/>
              </w:rPr>
            </w:pPr>
          </w:p>
        </w:tc>
        <w:tc>
          <w:tcPr>
            <w:tcW w:w="140" w:type="dxa"/>
            <w:vAlign w:val="bottom"/>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80" w:type="dxa"/>
            <w:vAlign w:val="bottom"/>
            <w:vMerge w:val="continue"/>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6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4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8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2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as contingent consideration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80" w:type="dxa"/>
            <w:vAlign w:val="bottom"/>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rPr>
              <w:t>Indemnification of deferred shares associated with post</w:t>
            </w:r>
          </w:p>
        </w:tc>
        <w:tc>
          <w:tcPr>
            <w:tcW w:w="2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3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8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2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6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29"/>
        </w:trPr>
        <w:tc>
          <w:tcPr>
            <w:tcW w:w="4480" w:type="dxa"/>
            <w:vAlign w:val="bottom"/>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2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360" w:type="dxa"/>
            <w:vAlign w:val="bottom"/>
            <w:vMerge w:val="continue"/>
            <w:shd w:val="clear" w:color="auto" w:fill="E6E6E6"/>
          </w:tcPr>
          <w:p>
            <w:pPr>
              <w:spacing w:after="0"/>
              <w:rPr>
                <w:sz w:val="11"/>
                <w:szCs w:val="11"/>
                <w:color w:val="auto"/>
              </w:rPr>
            </w:pPr>
          </w:p>
        </w:tc>
        <w:tc>
          <w:tcPr>
            <w:tcW w:w="3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8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40" w:type="dxa"/>
            <w:vAlign w:val="bottom"/>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60" w:type="dxa"/>
            <w:vAlign w:val="bottom"/>
            <w:gridSpan w:val="2"/>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80" w:type="dxa"/>
            <w:vAlign w:val="bottom"/>
            <w:vMerge w:val="continue"/>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6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4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8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2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RSUs and warrants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(7,393)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1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(14,879)</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(14,879)</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2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1,663,557</w:t>
            </w:r>
          </w:p>
        </w:tc>
        <w:tc>
          <w:tcPr>
            <w:tcW w:w="3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23,233</w:t>
            </w:r>
          </w:p>
        </w:tc>
        <w:tc>
          <w:tcPr>
            <w:tcW w:w="14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2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36,211</w:t>
            </w:r>
          </w:p>
        </w:tc>
        <w:tc>
          <w:tcPr>
            <w:tcW w:w="14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2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(58,085)</w:t>
            </w:r>
          </w:p>
        </w:tc>
        <w:tc>
          <w:tcPr>
            <w:tcW w:w="14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2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E6E6E6"/>
          </w:tcPr>
          <w:p>
            <w:pPr>
              <w:spacing w:after="0"/>
              <w:rPr>
                <w:sz w:val="18"/>
                <w:szCs w:val="18"/>
                <w:color w:val="auto"/>
              </w:rPr>
            </w:pPr>
          </w:p>
        </w:tc>
        <w:tc>
          <w:tcPr>
            <w:tcW w:w="13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1,665,432</w:t>
            </w:r>
          </w:p>
        </w:tc>
        <w:tc>
          <w:tcPr>
            <w:tcW w:w="14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January 1, 2023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4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1,663,557</w:t>
            </w:r>
          </w:p>
        </w:tc>
        <w:tc>
          <w:tcPr>
            <w:tcW w:w="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23,233</w:t>
            </w: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36,211</w:t>
            </w: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(58,085)</w:t>
            </w:r>
          </w:p>
        </w:tc>
        <w:tc>
          <w:tcPr>
            <w:tcW w:w="1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1,665,432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4480" w:type="dxa"/>
            <w:vAlign w:val="bottom"/>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rPr>
              <w:t>Indemnification of deferred shares associated with post</w:t>
            </w:r>
          </w:p>
        </w:tc>
        <w:tc>
          <w:tcPr>
            <w:tcW w:w="22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36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8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8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28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5"/>
                <w:szCs w:val="15"/>
                <w:color w:val="auto"/>
              </w:rPr>
            </w:pP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00" w:type="dxa"/>
            <w:vAlign w:val="bottom"/>
            <w:gridSpan w:val="2"/>
            <w:vMerge w:val="restart"/>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5"/>
                <w:szCs w:val="15"/>
                <w:color w:val="auto"/>
              </w:rPr>
            </w:pPr>
          </w:p>
        </w:tc>
        <w:tc>
          <w:tcPr>
            <w:tcW w:w="20" w:type="dxa"/>
            <w:vAlign w:val="bottom"/>
            <w:shd w:val="clear" w:color="auto" w:fill="E6E6E6"/>
          </w:tcPr>
          <w:p>
            <w:pPr>
              <w:spacing w:after="0"/>
              <w:rPr>
                <w:sz w:val="15"/>
                <w:szCs w:val="15"/>
                <w:color w:val="auto"/>
              </w:rPr>
            </w:pPr>
          </w:p>
        </w:tc>
        <w:tc>
          <w:tcPr>
            <w:tcW w:w="1460" w:type="dxa"/>
            <w:vAlign w:val="bottom"/>
            <w:gridSpan w:val="2"/>
            <w:vMerge w:val="restart"/>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129"/>
        </w:trPr>
        <w:tc>
          <w:tcPr>
            <w:tcW w:w="4480" w:type="dxa"/>
            <w:vAlign w:val="bottom"/>
            <w:vMerge w:val="restart"/>
            <w:shd w:val="clear" w:color="auto" w:fill="E6E6E6"/>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2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360" w:type="dxa"/>
            <w:vAlign w:val="bottom"/>
            <w:vMerge w:val="continue"/>
            <w:shd w:val="clear" w:color="auto" w:fill="E6E6E6"/>
          </w:tcPr>
          <w:p>
            <w:pPr>
              <w:spacing w:after="0"/>
              <w:rPr>
                <w:sz w:val="11"/>
                <w:szCs w:val="11"/>
                <w:color w:val="auto"/>
              </w:rPr>
            </w:pPr>
          </w:p>
        </w:tc>
        <w:tc>
          <w:tcPr>
            <w:tcW w:w="3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8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18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40" w:type="dxa"/>
            <w:vAlign w:val="bottom"/>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00" w:type="dxa"/>
            <w:vAlign w:val="bottom"/>
            <w:gridSpan w:val="2"/>
            <w:vMerge w:val="continue"/>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20" w:type="dxa"/>
            <w:vAlign w:val="bottom"/>
            <w:shd w:val="clear" w:color="auto" w:fill="E6E6E6"/>
          </w:tcPr>
          <w:p>
            <w:pPr>
              <w:spacing w:after="0"/>
              <w:rPr>
                <w:sz w:val="11"/>
                <w:szCs w:val="11"/>
                <w:color w:val="auto"/>
              </w:rPr>
            </w:pPr>
          </w:p>
        </w:tc>
        <w:tc>
          <w:tcPr>
            <w:tcW w:w="1460" w:type="dxa"/>
            <w:vAlign w:val="bottom"/>
            <w:gridSpan w:val="2"/>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480" w:type="dxa"/>
            <w:vAlign w:val="bottom"/>
            <w:vMerge w:val="continue"/>
            <w:shd w:val="clear" w:color="auto" w:fill="E6E6E6"/>
          </w:tcPr>
          <w:p>
            <w:pPr>
              <w:spacing w:after="0"/>
              <w:rPr>
                <w:sz w:val="10"/>
                <w:szCs w:val="10"/>
                <w:color w:val="auto"/>
              </w:rPr>
            </w:pPr>
          </w:p>
        </w:tc>
        <w:tc>
          <w:tcPr>
            <w:tcW w:w="22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60" w:type="dxa"/>
            <w:vAlign w:val="bottom"/>
            <w:shd w:val="clear" w:color="auto" w:fill="E6E6E6"/>
          </w:tcPr>
          <w:p>
            <w:pPr>
              <w:spacing w:after="0"/>
              <w:rPr>
                <w:sz w:val="10"/>
                <w:szCs w:val="10"/>
                <w:color w:val="auto"/>
              </w:rPr>
            </w:pPr>
          </w:p>
        </w:tc>
        <w:tc>
          <w:tcPr>
            <w:tcW w:w="3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4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1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8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26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20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1320" w:type="dxa"/>
            <w:vAlign w:val="bottom"/>
            <w:shd w:val="clear" w:color="auto" w:fill="E6E6E6"/>
          </w:tcPr>
          <w:p>
            <w:pPr>
              <w:spacing w:after="0"/>
              <w:rPr>
                <w:sz w:val="10"/>
                <w:szCs w:val="10"/>
                <w:color w:val="auto"/>
              </w:rPr>
            </w:pPr>
          </w:p>
        </w:tc>
        <w:tc>
          <w:tcPr>
            <w:tcW w:w="140" w:type="dxa"/>
            <w:vAlign w:val="bottom"/>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RSUs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40" w:type="dxa"/>
            <w:vAlign w:val="bottom"/>
            <w:shd w:val="clear" w:color="auto" w:fill="E6E6E6"/>
          </w:tcPr>
          <w:p>
            <w:pPr>
              <w:spacing w:after="0"/>
              <w:rPr>
                <w:sz w:val="19"/>
                <w:szCs w:val="19"/>
                <w:color w:val="auto"/>
              </w:rPr>
            </w:pP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4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21"/>
        </w:trPr>
        <w:tc>
          <w:tcPr>
            <w:tcW w:w="44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22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8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(39,856)</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00" w:type="dxa"/>
            <w:vAlign w:val="bottom"/>
            <w:gridSpan w:val="2"/>
            <w:shd w:val="clear" w:color="auto" w:fill="E6E6E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E6E6E6"/>
          </w:tcPr>
          <w:p>
            <w:pPr>
              <w:spacing w:after="0"/>
              <w:rPr>
                <w:sz w:val="19"/>
                <w:szCs w:val="19"/>
                <w:color w:val="auto"/>
              </w:rPr>
            </w:pPr>
          </w:p>
        </w:tc>
        <w:tc>
          <w:tcPr>
            <w:tcW w:w="20" w:type="dxa"/>
            <w:vAlign w:val="bottom"/>
            <w:shd w:val="clear" w:color="auto" w:fill="E6E6E6"/>
          </w:tcPr>
          <w:p>
            <w:pPr>
              <w:spacing w:after="0"/>
              <w:rPr>
                <w:sz w:val="19"/>
                <w:szCs w:val="19"/>
                <w:color w:val="auto"/>
              </w:rPr>
            </w:pPr>
          </w:p>
        </w:tc>
        <w:tc>
          <w:tcPr>
            <w:tcW w:w="1460" w:type="dxa"/>
            <w:vAlign w:val="bottom"/>
            <w:gridSpan w:val="2"/>
            <w:shd w:val="clear" w:color="auto" w:fill="E6E6E6"/>
          </w:tcPr>
          <w:p>
            <w:pPr>
              <w:jc w:val="right"/>
              <w:ind w:right="80"/>
              <w:spacing w:after="0"/>
              <w:rPr>
                <w:sz w:val="20"/>
                <w:szCs w:val="20"/>
                <w:color w:val="auto"/>
              </w:rPr>
            </w:pPr>
            <w:r>
              <w:rPr>
                <w:rFonts w:ascii="Times New Roman" w:cs="Times New Roman" w:eastAsia="Times New Roman" w:hAnsi="Times New Roman"/>
                <w:sz w:val="18"/>
                <w:szCs w:val="18"/>
                <w:color w:val="auto"/>
              </w:rPr>
              <w:t>(39,856)</w:t>
            </w: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4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2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3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1,703,852</w:t>
            </w:r>
          </w:p>
        </w:tc>
        <w:tc>
          <w:tcPr>
            <w:tcW w:w="3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34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4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2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40" w:type="dxa"/>
            <w:vAlign w:val="bottom"/>
            <w:tcBorders>
              <w:top w:val="single" w:sz="8" w:color="E6E6E6"/>
            </w:tcBorders>
            <w:shd w:val="clear" w:color="auto" w:fill="E6E6E6"/>
          </w:tcPr>
          <w:p>
            <w:pPr>
              <w:spacing w:after="0"/>
              <w:rPr>
                <w:sz w:val="18"/>
                <w:szCs w:val="18"/>
                <w:color w:val="auto"/>
              </w:rPr>
            </w:pPr>
          </w:p>
        </w:tc>
        <w:tc>
          <w:tcPr>
            <w:tcW w:w="1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2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14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26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Borders>
              <w:top w:val="single" w:sz="8" w:color="E6E6E6"/>
            </w:tcBorders>
            <w:shd w:val="clear" w:color="auto" w:fill="E6E6E6"/>
          </w:tcPr>
          <w:p>
            <w:pPr>
              <w:spacing w:after="0"/>
              <w:rPr>
                <w:sz w:val="18"/>
                <w:szCs w:val="18"/>
                <w:color w:val="auto"/>
              </w:rPr>
            </w:pPr>
          </w:p>
        </w:tc>
        <w:tc>
          <w:tcPr>
            <w:tcW w:w="2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132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1,703,256</w:t>
            </w:r>
          </w:p>
        </w:tc>
        <w:tc>
          <w:tcPr>
            <w:tcW w:w="14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-117475</wp:posOffset>
                </wp:positionV>
                <wp:extent cx="918019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01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9.2499pt" to="721.4pt,-9.2499pt" o:allowincell="f" strokecolor="#000000" strokeweight="0.75pt"/>
            </w:pict>
          </mc:Fallback>
        </mc:AlternateContent>
      </w:r>
    </w:p>
    <w:p>
      <w:pPr>
        <w:sectPr>
          <w:pgSz w:w="15840" w:h="12240" w:orient="landscape"/>
          <w:cols w:equalWidth="0" w:num="1">
            <w:col w:w="14400"/>
          </w:cols>
          <w:pgMar w:left="720" w:top="894" w:right="72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5840" w:h="12240" w:orient="landscape"/>
          <w:cols w:equalWidth="0" w:num="1">
            <w:col w:w="14400"/>
          </w:cols>
          <w:pgMar w:left="720" w:top="894" w:right="720" w:bottom="207"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jc w:val="center"/>
        <w:spacing w:after="0" w:line="233" w:lineRule="auto"/>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86995</wp:posOffset>
                </wp:positionV>
                <wp:extent cx="918019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019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85pt" to="721.4pt,6.85pt" o:allowincell="f" strokecolor="#000000" strokeweight="0.75pt"/>
            </w:pict>
          </mc:Fallback>
        </mc:AlternateConten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18"/>
                <w:szCs w:val="18"/>
                <w:color w:val="auto"/>
              </w:rPr>
            </w:pPr>
          </w:p>
        </w:tc>
        <w:tc>
          <w:tcPr>
            <w:tcW w:w="14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220" w:type="dxa"/>
            <w:vAlign w:val="bottom"/>
          </w:tcPr>
          <w:p>
            <w:pPr>
              <w:spacing w:after="0"/>
              <w:rPr>
                <w:sz w:val="18"/>
                <w:szCs w:val="18"/>
                <w:color w:val="auto"/>
              </w:rPr>
            </w:pPr>
          </w:p>
        </w:tc>
        <w:tc>
          <w:tcPr>
            <w:tcW w:w="13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Deferred Share</w:t>
            </w:r>
          </w:p>
        </w:tc>
        <w:tc>
          <w:tcPr>
            <w:tcW w:w="2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8"/>
                <w:szCs w:val="18"/>
                <w:color w:val="auto"/>
              </w:rPr>
            </w:pPr>
          </w:p>
        </w:tc>
        <w:tc>
          <w:tcPr>
            <w:tcW w:w="13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60" w:type="dxa"/>
            <w:vAlign w:val="bottom"/>
          </w:tcPr>
          <w:p>
            <w:pPr>
              <w:spacing w:after="0"/>
              <w:rPr>
                <w:sz w:val="18"/>
                <w:szCs w:val="18"/>
                <w:color w:val="auto"/>
              </w:rPr>
            </w:pPr>
          </w:p>
        </w:tc>
        <w:tc>
          <w:tcPr>
            <w:tcW w:w="14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03"/>
        </w:trPr>
        <w:tc>
          <w:tcPr>
            <w:tcW w:w="4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8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4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9"/>
                <w:szCs w:val="9"/>
                <w:color w:val="auto"/>
              </w:rPr>
            </w:pPr>
          </w:p>
        </w:tc>
        <w:tc>
          <w:tcPr>
            <w:tcW w:w="14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Surplus (Deficit)</w:t>
            </w:r>
          </w:p>
        </w:tc>
        <w:tc>
          <w:tcPr>
            <w:tcW w:w="220" w:type="dxa"/>
            <w:vAlign w:val="bottom"/>
          </w:tcPr>
          <w:p>
            <w:pPr>
              <w:spacing w:after="0"/>
              <w:rPr>
                <w:sz w:val="9"/>
                <w:szCs w:val="9"/>
                <w:color w:val="auto"/>
              </w:rPr>
            </w:pPr>
          </w:p>
        </w:tc>
        <w:tc>
          <w:tcPr>
            <w:tcW w:w="13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2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040" w:type="dxa"/>
            <w:vAlign w:val="bottom"/>
            <w:tcBorders>
              <w:bottom w:val="single" w:sz="8" w:color="E6E6E6"/>
            </w:tcBorders>
          </w:tcPr>
          <w:p>
            <w:pPr>
              <w:spacing w:after="0"/>
              <w:rPr>
                <w:sz w:val="17"/>
                <w:szCs w:val="17"/>
                <w:color w:val="auto"/>
              </w:rPr>
            </w:pPr>
          </w:p>
        </w:tc>
        <w:tc>
          <w:tcPr>
            <w:tcW w:w="740" w:type="dxa"/>
            <w:vAlign w:val="bottom"/>
            <w:tcBorders>
              <w:bottom w:val="single" w:sz="8" w:color="E6E6E6"/>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ind w:left="920"/>
              <w:spacing w:after="0" w:line="201" w:lineRule="exact"/>
              <w:rPr>
                <w:sz w:val="20"/>
                <w:szCs w:val="20"/>
                <w:color w:val="auto"/>
              </w:rPr>
            </w:pPr>
            <w:r>
              <w:rPr>
                <w:rFonts w:ascii="Times New Roman" w:cs="Times New Roman" w:eastAsia="Times New Roman" w:hAnsi="Times New Roman"/>
                <w:sz w:val="18"/>
                <w:szCs w:val="18"/>
                <w:b w:val="1"/>
                <w:bCs w:val="1"/>
                <w:color w:val="auto"/>
              </w:rPr>
              <w:t>(in</w:t>
            </w:r>
          </w:p>
        </w:tc>
        <w:tc>
          <w:tcPr>
            <w:tcW w:w="1600" w:type="dxa"/>
            <w:vAlign w:val="bottom"/>
            <w:tcBorders>
              <w:bottom w:val="single" w:sz="8" w:color="auto"/>
            </w:tcBorders>
            <w:gridSpan w:val="2"/>
          </w:tcPr>
          <w:p>
            <w:pPr>
              <w:jc w:val="right"/>
              <w:ind w:right="890"/>
              <w:spacing w:after="0" w:line="201" w:lineRule="exact"/>
              <w:rPr>
                <w:sz w:val="20"/>
                <w:szCs w:val="20"/>
                <w:color w:val="auto"/>
              </w:rPr>
            </w:pPr>
            <w:r>
              <w:rPr>
                <w:rFonts w:ascii="Times New Roman" w:cs="Times New Roman" w:eastAsia="Times New Roman" w:hAnsi="Times New Roman"/>
                <w:sz w:val="18"/>
                <w:szCs w:val="18"/>
                <w:b w:val="1"/>
                <w:bCs w:val="1"/>
                <w:color w:val="auto"/>
                <w:w w:val="71"/>
              </w:rPr>
              <w:t>thousands)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Balance, January 1, 2024</w:t>
            </w:r>
          </w:p>
        </w:tc>
        <w:tc>
          <w:tcPr>
            <w:tcW w:w="7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1,703,852</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0" w:type="dxa"/>
            <w:vAlign w:val="bottom"/>
            <w:shd w:val="clear" w:color="auto" w:fill="E6E6E6"/>
          </w:tcPr>
          <w:p>
            <w:pPr>
              <w:spacing w:after="0"/>
              <w:rPr>
                <w:sz w:val="18"/>
                <w:szCs w:val="18"/>
                <w:color w:val="auto"/>
              </w:rPr>
            </w:pP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(21,818)</w:t>
            </w:r>
          </w:p>
        </w:tc>
        <w:tc>
          <w:tcPr>
            <w:tcW w:w="28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shd w:val="clear" w:color="auto" w:fill="E6E6E6"/>
          </w:tcPr>
          <w:p>
            <w:pPr>
              <w:spacing w:after="0"/>
              <w:rPr>
                <w:sz w:val="18"/>
                <w:szCs w:val="18"/>
                <w:color w:val="auto"/>
              </w:rPr>
            </w:pPr>
          </w:p>
        </w:tc>
        <w:tc>
          <w:tcPr>
            <w:tcW w:w="260" w:type="dxa"/>
            <w:vAlign w:val="bottom"/>
            <w:shd w:val="clear" w:color="auto" w:fill="E6E6E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1,703,256</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Dissolution of non-controlling interest entity</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Distribution of Contingent Consideration</w:t>
            </w:r>
          </w:p>
        </w:tc>
        <w:tc>
          <w:tcPr>
            <w:tcW w:w="740" w:type="dxa"/>
            <w:vAlign w:val="bottom"/>
            <w:shd w:val="clear" w:color="auto" w:fill="E6E6E6"/>
          </w:tcPr>
          <w:p>
            <w:pPr>
              <w:spacing w:after="0"/>
              <w:rPr>
                <w:sz w:val="19"/>
                <w:szCs w:val="19"/>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22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3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6E6"/>
          </w:tcPr>
          <w:p>
            <w:pPr>
              <w:spacing w:after="0"/>
              <w:rPr>
                <w:sz w:val="19"/>
                <w:szCs w:val="19"/>
                <w:color w:val="auto"/>
              </w:rPr>
            </w:pP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17,259</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deferred shares</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Exercise of options and RSUs</w:t>
            </w:r>
          </w:p>
        </w:tc>
        <w:tc>
          <w:tcPr>
            <w:tcW w:w="740" w:type="dxa"/>
            <w:vAlign w:val="bottom"/>
            <w:shd w:val="clear" w:color="auto" w:fill="E6E6E6"/>
          </w:tcPr>
          <w:p>
            <w:pPr>
              <w:spacing w:after="0"/>
              <w:rPr>
                <w:sz w:val="19"/>
                <w:szCs w:val="19"/>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22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3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6E6"/>
          </w:tcPr>
          <w:p>
            <w:pPr>
              <w:spacing w:after="0"/>
              <w:rPr>
                <w:sz w:val="19"/>
                <w:szCs w:val="19"/>
                <w:color w:val="auto"/>
              </w:rPr>
            </w:pP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 through net share settlement</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2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40" w:type="dxa"/>
            <w:vAlign w:val="bottom"/>
            <w:shd w:val="clear" w:color="auto" w:fill="E6E6E6"/>
          </w:tcPr>
          <w:p>
            <w:pPr>
              <w:spacing w:after="0"/>
              <w:rPr>
                <w:sz w:val="19"/>
                <w:szCs w:val="19"/>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3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6E6"/>
          </w:tcPr>
          <w:p>
            <w:pPr>
              <w:spacing w:after="0"/>
              <w:rPr>
                <w:sz w:val="19"/>
                <w:szCs w:val="19"/>
                <w:color w:val="auto"/>
              </w:rPr>
            </w:pPr>
          </w:p>
        </w:tc>
        <w:tc>
          <w:tcPr>
            <w:tcW w:w="136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0" w:type="dxa"/>
            <w:vAlign w:val="bottom"/>
          </w:tcPr>
          <w:p>
            <w:pPr>
              <w:spacing w:after="0"/>
              <w:rPr>
                <w:sz w:val="1"/>
                <w:szCs w:val="1"/>
                <w:color w:val="auto"/>
              </w:rPr>
            </w:pPr>
          </w:p>
        </w:tc>
      </w:tr>
      <w:tr>
        <w:trPr>
          <w:trHeight w:val="22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740" w:type="dxa"/>
            <w:vAlign w:val="bottom"/>
            <w:shd w:val="clear" w:color="auto" w:fill="E6E6E6"/>
          </w:tcPr>
          <w:p>
            <w:pPr>
              <w:spacing w:after="0"/>
              <w:rPr>
                <w:sz w:val="19"/>
                <w:szCs w:val="19"/>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3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7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0" w:type="dxa"/>
            <w:vAlign w:val="bottom"/>
          </w:tcPr>
          <w:p>
            <w:pPr>
              <w:spacing w:after="0"/>
              <w:rPr>
                <w:sz w:val="1"/>
                <w:szCs w:val="1"/>
                <w:color w:val="auto"/>
              </w:rPr>
            </w:pPr>
          </w:p>
        </w:tc>
      </w:tr>
      <w:tr>
        <w:trPr>
          <w:trHeight w:val="221"/>
        </w:trPr>
        <w:tc>
          <w:tcPr>
            <w:tcW w:w="4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E6E6E6"/>
          </w:tcPr>
          <w:p>
            <w:pPr>
              <w:spacing w:after="0"/>
              <w:rPr>
                <w:sz w:val="19"/>
                <w:szCs w:val="19"/>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44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3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6E6E6"/>
          </w:tcPr>
          <w:p>
            <w:pPr>
              <w:spacing w:after="0"/>
              <w:rPr>
                <w:sz w:val="19"/>
                <w:szCs w:val="19"/>
                <w:color w:val="auto"/>
              </w:rPr>
            </w:pPr>
          </w:p>
        </w:tc>
        <w:tc>
          <w:tcPr>
            <w:tcW w:w="13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280" w:type="dxa"/>
            <w:vAlign w:val="bottom"/>
            <w:shd w:val="clear" w:color="auto" w:fill="E6E6E6"/>
          </w:tcPr>
          <w:p>
            <w:pPr>
              <w:spacing w:after="0"/>
              <w:rPr>
                <w:sz w:val="19"/>
                <w:szCs w:val="19"/>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(26,854)</w:t>
            </w:r>
          </w:p>
        </w:tc>
        <w:tc>
          <w:tcPr>
            <w:tcW w:w="20" w:type="dxa"/>
            <w:vAlign w:val="bottom"/>
            <w:tcBorders>
              <w:bottom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0" w:type="dxa"/>
            <w:vAlign w:val="bottom"/>
            <w:tcBorders>
              <w:bottom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Borders>
              <w:bottom w:val="single" w:sz="8" w:color="auto"/>
            </w:tcBorders>
          </w:tcPr>
          <w:p>
            <w:pPr>
              <w:spacing w:after="0"/>
              <w:rPr>
                <w:sz w:val="18"/>
                <w:szCs w:val="18"/>
                <w:color w:val="auto"/>
              </w:rPr>
            </w:pP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1,789,080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auto"/>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840" w:h="12240" w:orient="landscape"/>
          <w:cols w:equalWidth="0" w:num="1">
            <w:col w:w="14400"/>
          </w:cols>
          <w:pgMar w:left="720" w:top="894" w:right="720" w:bottom="2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5840" w:h="12240" w:orient="landscape"/>
          <w:cols w:equalWidth="0" w:num="1">
            <w:col w:w="14400"/>
          </w:cols>
          <w:pgMar w:left="720" w:top="894" w:right="720" w:bottom="207"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auto"/>
            </w:tcBorders>
          </w:tcPr>
          <w:p>
            <w:pPr>
              <w:spacing w:after="0"/>
              <w:rPr>
                <w:sz w:val="20"/>
                <w:szCs w:val="20"/>
                <w:color w:val="auto"/>
              </w:rPr>
            </w:pPr>
          </w:p>
        </w:tc>
        <w:tc>
          <w:tcPr>
            <w:tcW w:w="66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680" w:type="dxa"/>
            <w:vAlign w:val="bottom"/>
            <w:tcBorders>
              <w:bottom w:val="single" w:sz="8" w:color="E6E6E6"/>
            </w:tcBorders>
          </w:tcPr>
          <w:p>
            <w:pPr>
              <w:spacing w:after="0"/>
              <w:rPr>
                <w:sz w:val="17"/>
                <w:szCs w:val="17"/>
                <w:color w:val="auto"/>
              </w:rPr>
            </w:pPr>
          </w:p>
        </w:tc>
        <w:tc>
          <w:tcPr>
            <w:tcW w:w="20" w:type="dxa"/>
            <w:vAlign w:val="bottom"/>
            <w:tcBorders>
              <w:bottom w:val="single" w:sz="8" w:color="E6E6E6"/>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Green Thumb Industries Inc.</w:t>
            </w:r>
          </w:p>
        </w:tc>
        <w:tc>
          <w:tcPr>
            <w:tcW w:w="20" w:type="dxa"/>
            <w:vAlign w:val="bottom"/>
          </w:tcPr>
          <w:p>
            <w:pPr>
              <w:spacing w:after="0"/>
              <w:rPr>
                <w:sz w:val="19"/>
                <w:szCs w:val="19"/>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73,083</w:t>
            </w:r>
          </w:p>
        </w:tc>
        <w:tc>
          <w:tcPr>
            <w:tcW w:w="1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12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113,210</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100,790</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96,664</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(1,283 )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88,503</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Impairment of long-lived property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Loss (gain) from lease modification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(3,330 )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(17,477 )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Decrease in fair value of investments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17,460</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Gain on settlement of contingent consideration</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Increase (decrease) in fair value of contingent consideration</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(29,012 )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Decrease in fair value of warrants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(20,357 )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Shares issued for settlement of business obligation</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Gain on indemnification of deferred shares associated with post acquisition costs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(9,856 )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(12,000 )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(8,841 )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(34,192 )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(19,791 )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(5,603 )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(3,222 )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(48,685 )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(42,721 )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(38,258 )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Income tax receivable and payable, net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(5,244 )</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68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FLOWS PROVIDED BY OPERATING ACTIVITIES</w:t>
            </w:r>
          </w:p>
        </w:tc>
        <w:tc>
          <w:tcPr>
            <w:tcW w:w="2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auto"/>
              <w:bottom w:val="single" w:sz="8" w:color="auto"/>
            </w:tcBorders>
            <w:shd w:val="clear" w:color="auto" w:fill="E6E6E6"/>
          </w:tcPr>
          <w:p>
            <w:pPr>
              <w:spacing w:after="0"/>
              <w:rPr>
                <w:sz w:val="18"/>
                <w:szCs w:val="18"/>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195,183</w:t>
            </w:r>
          </w:p>
        </w:tc>
        <w:tc>
          <w:tcPr>
            <w:tcW w:w="1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224,968</w:t>
            </w:r>
          </w:p>
        </w:tc>
        <w:tc>
          <w:tcPr>
            <w:tcW w:w="1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158,564</w:t>
            </w: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(80,188 )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(220,035 )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(179,500 )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Investments in securities and associates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(39,631 )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(8,800 )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(5,804 )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equity investments and notes receivable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Settlement of acquisition consideration payable</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(31,732 )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businesses, net of cash acquired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(7,350 )</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680" w:type="dxa"/>
            <w:vAlign w:val="bottom"/>
            <w:tcBorders>
              <w:top w:val="single" w:sz="8" w:color="E6E6E6"/>
            </w:tcBorders>
            <w:shd w:val="clear" w:color="auto" w:fill="E6E6E6"/>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20" w:type="dxa"/>
            <w:vAlign w:val="bottom"/>
            <w:tcBorders>
              <w:top w:val="single" w:sz="8" w:color="E6E6E6"/>
            </w:tcBorders>
            <w:shd w:val="clear" w:color="auto" w:fill="E6E6E6"/>
          </w:tcPr>
          <w:p>
            <w:pPr>
              <w:spacing w:after="0"/>
              <w:rPr>
                <w:sz w:val="18"/>
                <w:szCs w:val="18"/>
                <w:color w:val="auto"/>
              </w:rPr>
            </w:pPr>
          </w:p>
        </w:tc>
        <w:tc>
          <w:tcPr>
            <w:tcW w:w="220" w:type="dxa"/>
            <w:vAlign w:val="bottom"/>
            <w:tcBorders>
              <w:top w:val="single" w:sz="8" w:color="auto"/>
              <w:bottom w:val="single" w:sz="8" w:color="auto"/>
            </w:tcBorders>
            <w:shd w:val="clear" w:color="auto" w:fill="E6E6E6"/>
          </w:tcPr>
          <w:p>
            <w:pPr>
              <w:spacing w:after="0"/>
              <w:rPr>
                <w:sz w:val="18"/>
                <w:szCs w:val="18"/>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(89,536</w:t>
            </w:r>
          </w:p>
        </w:tc>
        <w:tc>
          <w:tcPr>
            <w:tcW w:w="1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(227,908</w:t>
            </w:r>
          </w:p>
        </w:tc>
        <w:tc>
          <w:tcPr>
            <w:tcW w:w="12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spacing w:after="0"/>
              <w:rPr>
                <w:sz w:val="18"/>
                <w:szCs w:val="18"/>
                <w:color w:val="auto"/>
              </w:rPr>
            </w:pP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(219,946</w:t>
            </w:r>
          </w:p>
        </w:tc>
        <w:tc>
          <w:tcPr>
            <w:tcW w:w="1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w w:val="74"/>
                <w:shd w:val="clear" w:color="auto" w:fill="E6E6E6"/>
              </w:rPr>
              <w:t>)</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Distributions to non-controlling interest holders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(1,247 )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(14,879 )</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Contributions from unconsolidated subsidiaries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Repurchase of Subordinate Voting Shares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(43,078 )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(39,856 )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Proceeds from exercise of options and RSUs</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11,302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Principal repayment of notes payable</w:t>
            </w:r>
          </w:p>
        </w:tc>
        <w:tc>
          <w:tcPr>
            <w:tcW w:w="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(227,561 )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(25,485 )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680" w:type="dxa"/>
            <w:vAlign w:val="bottom"/>
            <w:tcBorders>
              <w:bottom w:val="single" w:sz="8" w:color="E6E6E6"/>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NET CASH FLOWS (USED IN) PROVIDED BY FINANCING ACTIVITIES</w:t>
            </w:r>
          </w:p>
        </w:tc>
        <w:tc>
          <w:tcPr>
            <w:tcW w:w="20" w:type="dxa"/>
            <w:vAlign w:val="bottom"/>
            <w:tcBorders>
              <w:bottom w:val="single" w:sz="8" w:color="E6E6E6"/>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(95,594</w:t>
            </w:r>
          </w:p>
        </w:tc>
        <w:tc>
          <w:tcPr>
            <w:tcW w:w="12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(13,108</w:t>
            </w:r>
          </w:p>
        </w:tc>
        <w:tc>
          <w:tcPr>
            <w:tcW w:w="12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E6E6E6"/>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8,644</w:t>
            </w:r>
          </w:p>
        </w:tc>
        <w:tc>
          <w:tcPr>
            <w:tcW w:w="100" w:type="dxa"/>
            <w:vAlign w:val="bottom"/>
            <w:tcBorders>
              <w:bottom w:val="single" w:sz="8" w:color="E6E6E6"/>
            </w:tcBorders>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0" w:type="dxa"/>
            <w:vAlign w:val="bottom"/>
            <w:shd w:val="clear" w:color="auto" w:fill="E6E6E6"/>
          </w:tcPr>
          <w:p>
            <w:pPr>
              <w:spacing w:after="0"/>
              <w:rPr>
                <w:sz w:val="18"/>
                <w:szCs w:val="18"/>
                <w:color w:val="auto"/>
              </w:rPr>
            </w:pPr>
          </w:p>
        </w:tc>
        <w:tc>
          <w:tcPr>
            <w:tcW w:w="22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668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 w:type="dxa"/>
            <w:vAlign w:val="bottom"/>
            <w:shd w:val="clear" w:color="auto" w:fill="E6E6E6"/>
          </w:tcPr>
          <w:p>
            <w:pPr>
              <w:spacing w:after="0"/>
              <w:rPr>
                <w:sz w:val="19"/>
                <w:szCs w:val="19"/>
                <w:color w:val="auto"/>
              </w:rPr>
            </w:pPr>
          </w:p>
        </w:tc>
        <w:tc>
          <w:tcPr>
            <w:tcW w:w="22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161,634</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9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177,682</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spacing w:after="0"/>
              <w:rPr>
                <w:sz w:val="19"/>
                <w:szCs w:val="19"/>
                <w:color w:val="auto"/>
              </w:rPr>
            </w:pPr>
          </w:p>
        </w:tc>
        <w:tc>
          <w:tcPr>
            <w:tcW w:w="9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230,420</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177,682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10840"/>
          </w:cols>
          <w:pgMar w:left="700" w:top="926" w:right="700" w:bottom="175"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Years Ended December 31, 2024, 2023 and 2022</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Borders>
              <w:top w:val="single" w:sz="8" w:color="auto"/>
            </w:tcBorders>
          </w:tcPr>
          <w:p>
            <w:pPr>
              <w:spacing w:after="0"/>
              <w:rPr>
                <w:sz w:val="20"/>
                <w:szCs w:val="20"/>
                <w:color w:val="auto"/>
              </w:rPr>
            </w:pPr>
          </w:p>
        </w:tc>
        <w:tc>
          <w:tcPr>
            <w:tcW w:w="6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9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00" w:type="dxa"/>
            <w:vAlign w:val="bottom"/>
            <w:tcBorders>
              <w:bottom w:val="single" w:sz="8" w:color="E6E6E6"/>
            </w:tcBorders>
          </w:tcPr>
          <w:p>
            <w:pPr>
              <w:spacing w:after="0"/>
              <w:rPr>
                <w:sz w:val="17"/>
                <w:szCs w:val="17"/>
                <w:color w:val="auto"/>
              </w:rPr>
            </w:pPr>
          </w:p>
        </w:tc>
        <w:tc>
          <w:tcPr>
            <w:tcW w:w="580" w:type="dxa"/>
            <w:vAlign w:val="bottom"/>
            <w:tcBorders>
              <w:bottom w:val="single" w:sz="8" w:color="E6E6E6"/>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E6E6E6"/>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80" w:type="dxa"/>
            <w:vAlign w:val="bottom"/>
            <w:shd w:val="clear" w:color="auto" w:fill="E6E6E6"/>
          </w:tcPr>
          <w:p>
            <w:pPr>
              <w:spacing w:after="0"/>
              <w:rPr>
                <w:sz w:val="18"/>
                <w:szCs w:val="18"/>
                <w:color w:val="auto"/>
              </w:rPr>
            </w:pPr>
          </w:p>
        </w:tc>
        <w:tc>
          <w:tcPr>
            <w:tcW w:w="24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8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120" w:type="dxa"/>
            <w:vAlign w:val="bottom"/>
            <w:shd w:val="clear" w:color="auto" w:fill="E6E6E6"/>
          </w:tcPr>
          <w:p>
            <w:pPr>
              <w:spacing w:after="0"/>
              <w:rPr>
                <w:sz w:val="18"/>
                <w:szCs w:val="18"/>
                <w:color w:val="auto"/>
              </w:rPr>
            </w:pPr>
          </w:p>
        </w:tc>
        <w:tc>
          <w:tcPr>
            <w:tcW w:w="260" w:type="dxa"/>
            <w:vAlign w:val="bottom"/>
            <w:shd w:val="clear" w:color="auto" w:fill="E6E6E6"/>
          </w:tcPr>
          <w:p>
            <w:pPr>
              <w:spacing w:after="0"/>
              <w:rPr>
                <w:sz w:val="18"/>
                <w:szCs w:val="18"/>
                <w:color w:val="auto"/>
              </w:rPr>
            </w:pPr>
          </w:p>
        </w:tc>
        <w:tc>
          <w:tcPr>
            <w:tcW w:w="900" w:type="dxa"/>
            <w:vAlign w:val="bottom"/>
            <w:shd w:val="clear" w:color="auto" w:fill="E6E6E6"/>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580" w:type="dxa"/>
            <w:vAlign w:val="bottom"/>
          </w:tcPr>
          <w:p>
            <w:pPr>
              <w:spacing w:after="0"/>
              <w:rPr>
                <w:sz w:val="22"/>
                <w:szCs w:val="22"/>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20" w:type="dxa"/>
            <w:vAlign w:val="bottom"/>
          </w:tcPr>
          <w:p>
            <w:pPr>
              <w:spacing w:after="0"/>
              <w:rPr>
                <w:sz w:val="22"/>
                <w:szCs w:val="22"/>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20,912</w:t>
            </w:r>
          </w:p>
        </w:tc>
        <w:tc>
          <w:tcPr>
            <w:tcW w:w="120" w:type="dxa"/>
            <w:vAlign w:val="bottom"/>
          </w:tcPr>
          <w:p>
            <w:pPr>
              <w:spacing w:after="0"/>
              <w:rPr>
                <w:sz w:val="22"/>
                <w:szCs w:val="22"/>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tcBorders>
              <w:top w:val="single" w:sz="8" w:color="E6E6E6"/>
            </w:tcBorders>
            <w:shd w:val="clear" w:color="auto" w:fill="E6E6E6"/>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580" w:type="dxa"/>
            <w:vAlign w:val="bottom"/>
            <w:tcBorders>
              <w:top w:val="single" w:sz="8" w:color="E6E6E6"/>
            </w:tcBorders>
            <w:shd w:val="clear" w:color="auto" w:fill="E6E6E6"/>
          </w:tcPr>
          <w:p>
            <w:pPr>
              <w:spacing w:after="0"/>
              <w:rPr>
                <w:sz w:val="17"/>
                <w:szCs w:val="17"/>
                <w:color w:val="auto"/>
              </w:rPr>
            </w:pPr>
          </w:p>
        </w:tc>
        <w:tc>
          <w:tcPr>
            <w:tcW w:w="240" w:type="dxa"/>
            <w:vAlign w:val="bottom"/>
            <w:tcBorders>
              <w:top w:val="single" w:sz="8" w:color="auto"/>
            </w:tcBorders>
            <w:shd w:val="clear" w:color="auto" w:fill="E6E6E6"/>
          </w:tcPr>
          <w:p>
            <w:pPr>
              <w:spacing w:after="0"/>
              <w:rPr>
                <w:sz w:val="17"/>
                <w:szCs w:val="17"/>
                <w:color w:val="auto"/>
              </w:rPr>
            </w:pPr>
          </w:p>
        </w:tc>
        <w:tc>
          <w:tcPr>
            <w:tcW w:w="900" w:type="dxa"/>
            <w:vAlign w:val="bottom"/>
            <w:tcBorders>
              <w:top w:val="single" w:sz="8" w:color="auto"/>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spacing w:after="0"/>
              <w:rPr>
                <w:sz w:val="17"/>
                <w:szCs w:val="17"/>
                <w:color w:val="auto"/>
              </w:rPr>
            </w:pPr>
          </w:p>
        </w:tc>
        <w:tc>
          <w:tcPr>
            <w:tcW w:w="980" w:type="dxa"/>
            <w:vAlign w:val="bottom"/>
            <w:tcBorders>
              <w:top w:val="single" w:sz="8" w:color="auto"/>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120" w:type="dxa"/>
            <w:vAlign w:val="bottom"/>
            <w:tcBorders>
              <w:top w:val="single" w:sz="8" w:color="E6E6E6"/>
            </w:tcBorders>
            <w:shd w:val="clear" w:color="auto" w:fill="E6E6E6"/>
          </w:tcPr>
          <w:p>
            <w:pPr>
              <w:spacing w:after="0"/>
              <w:rPr>
                <w:sz w:val="17"/>
                <w:szCs w:val="17"/>
                <w:color w:val="auto"/>
              </w:rPr>
            </w:pPr>
          </w:p>
        </w:tc>
        <w:tc>
          <w:tcPr>
            <w:tcW w:w="260" w:type="dxa"/>
            <w:vAlign w:val="bottom"/>
            <w:tcBorders>
              <w:top w:val="single" w:sz="8" w:color="auto"/>
            </w:tcBorders>
            <w:shd w:val="clear" w:color="auto" w:fill="E6E6E6"/>
          </w:tcPr>
          <w:p>
            <w:pPr>
              <w:spacing w:after="0"/>
              <w:rPr>
                <w:sz w:val="17"/>
                <w:szCs w:val="17"/>
                <w:color w:val="auto"/>
              </w:rPr>
            </w:pPr>
          </w:p>
        </w:tc>
        <w:tc>
          <w:tcPr>
            <w:tcW w:w="900" w:type="dxa"/>
            <w:vAlign w:val="bottom"/>
            <w:tcBorders>
              <w:top w:val="single" w:sz="8" w:color="auto"/>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10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Forgiveness of note receivable in exchange for real property</w:t>
            </w:r>
          </w:p>
        </w:tc>
        <w:tc>
          <w:tcPr>
            <w:tcW w:w="580" w:type="dxa"/>
            <w:vAlign w:val="bottom"/>
            <w:tcBorders>
              <w:bottom w:val="single" w:sz="8" w:color="E6E6E6"/>
            </w:tcBorders>
          </w:tcPr>
          <w:p>
            <w:pPr>
              <w:spacing w:after="0"/>
              <w:rPr>
                <w:sz w:val="22"/>
                <w:szCs w:val="22"/>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Borders>
              <w:bottom w:val="single" w:sz="8" w:color="E6E6E6"/>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22"/>
                <w:szCs w:val="22"/>
                <w:color w:val="auto"/>
              </w:rPr>
            </w:pPr>
          </w:p>
        </w:tc>
        <w:tc>
          <w:tcPr>
            <w:tcW w:w="120" w:type="dxa"/>
            <w:vAlign w:val="bottom"/>
            <w:tcBorders>
              <w:bottom w:val="single" w:sz="8" w:color="E6E6E6"/>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6E6E6"/>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100" w:type="dxa"/>
            <w:vAlign w:val="bottom"/>
            <w:shd w:val="clear" w:color="auto" w:fill="E6E6E6"/>
          </w:tcPr>
          <w:p>
            <w:pPr>
              <w:spacing w:after="0" w:line="192" w:lineRule="exact"/>
              <w:rPr>
                <w:sz w:val="20"/>
                <w:szCs w:val="20"/>
                <w:color w:val="auto"/>
              </w:rPr>
            </w:pPr>
            <w:r>
              <w:rPr>
                <w:rFonts w:ascii="Times New Roman" w:cs="Times New Roman" w:eastAsia="Times New Roman" w:hAnsi="Times New Roman"/>
                <w:sz w:val="18"/>
                <w:szCs w:val="18"/>
                <w:color w:val="auto"/>
              </w:rPr>
              <w:t>Accrued capital expenditures</w:t>
            </w:r>
          </w:p>
        </w:tc>
        <w:tc>
          <w:tcPr>
            <w:tcW w:w="580" w:type="dxa"/>
            <w:vAlign w:val="bottom"/>
            <w:shd w:val="clear" w:color="auto" w:fill="E6E6E6"/>
          </w:tcPr>
          <w:p>
            <w:pPr>
              <w:spacing w:after="0"/>
              <w:rPr>
                <w:sz w:val="16"/>
                <w:szCs w:val="16"/>
                <w:color w:val="auto"/>
              </w:rPr>
            </w:pPr>
          </w:p>
        </w:tc>
        <w:tc>
          <w:tcPr>
            <w:tcW w:w="240" w:type="dxa"/>
            <w:vAlign w:val="bottom"/>
            <w:tcBorders>
              <w:bottom w:val="single" w:sz="8" w:color="auto"/>
            </w:tcBorders>
            <w:shd w:val="clear" w:color="auto" w:fill="E6E6E6"/>
          </w:tcPr>
          <w:p>
            <w:pPr>
              <w:jc w:val="right"/>
              <w:ind w:right="7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E6E6E6"/>
          </w:tcPr>
          <w:p>
            <w:pPr>
              <w:jc w:val="right"/>
              <w:spacing w:after="0" w:line="192" w:lineRule="exact"/>
              <w:rPr>
                <w:sz w:val="20"/>
                <w:szCs w:val="20"/>
                <w:color w:val="auto"/>
              </w:rPr>
            </w:pPr>
            <w:r>
              <w:rPr>
                <w:rFonts w:ascii="Times New Roman" w:cs="Times New Roman" w:eastAsia="Times New Roman" w:hAnsi="Times New Roman"/>
                <w:sz w:val="18"/>
                <w:szCs w:val="18"/>
                <w:color w:val="auto"/>
              </w:rPr>
              <w:t>12,232</w:t>
            </w:r>
          </w:p>
        </w:tc>
        <w:tc>
          <w:tcPr>
            <w:tcW w:w="120" w:type="dxa"/>
            <w:vAlign w:val="bottom"/>
            <w:shd w:val="clear" w:color="auto" w:fill="E6E6E6"/>
          </w:tcPr>
          <w:p>
            <w:pPr>
              <w:spacing w:after="0"/>
              <w:rPr>
                <w:sz w:val="16"/>
                <w:szCs w:val="16"/>
                <w:color w:val="auto"/>
              </w:rPr>
            </w:pPr>
          </w:p>
        </w:tc>
        <w:tc>
          <w:tcPr>
            <w:tcW w:w="120" w:type="dxa"/>
            <w:vAlign w:val="bottom"/>
            <w:shd w:val="clear" w:color="auto" w:fill="E6E6E6"/>
          </w:tcPr>
          <w:p>
            <w:pPr>
              <w:spacing w:after="0"/>
              <w:rPr>
                <w:sz w:val="16"/>
                <w:szCs w:val="16"/>
                <w:color w:val="auto"/>
              </w:rPr>
            </w:pPr>
          </w:p>
        </w:tc>
        <w:tc>
          <w:tcPr>
            <w:tcW w:w="260" w:type="dxa"/>
            <w:vAlign w:val="bottom"/>
            <w:tcBorders>
              <w:bottom w:val="single" w:sz="8" w:color="auto"/>
            </w:tcBorders>
            <w:shd w:val="clear" w:color="auto" w:fill="E6E6E6"/>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line="192" w:lineRule="exact"/>
              <w:rPr>
                <w:sz w:val="20"/>
                <w:szCs w:val="20"/>
                <w:color w:val="auto"/>
              </w:rPr>
            </w:pPr>
            <w:r>
              <w:rPr>
                <w:rFonts w:ascii="Times New Roman" w:cs="Times New Roman" w:eastAsia="Times New Roman" w:hAnsi="Times New Roman"/>
                <w:sz w:val="18"/>
                <w:szCs w:val="18"/>
                <w:color w:val="auto"/>
              </w:rPr>
              <w:t>(30,966</w:t>
            </w:r>
          </w:p>
        </w:tc>
        <w:tc>
          <w:tcPr>
            <w:tcW w:w="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E6E6E6"/>
          </w:tcPr>
          <w:p>
            <w:pPr>
              <w:spacing w:after="0"/>
              <w:rPr>
                <w:sz w:val="16"/>
                <w:szCs w:val="16"/>
                <w:color w:val="auto"/>
              </w:rPr>
            </w:pPr>
          </w:p>
        </w:tc>
        <w:tc>
          <w:tcPr>
            <w:tcW w:w="260" w:type="dxa"/>
            <w:vAlign w:val="bottom"/>
            <w:tcBorders>
              <w:bottom w:val="single" w:sz="8" w:color="auto"/>
            </w:tcBorders>
            <w:shd w:val="clear" w:color="auto" w:fill="E6E6E6"/>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E6E6E6"/>
          </w:tcPr>
          <w:p>
            <w:pPr>
              <w:jc w:val="right"/>
              <w:spacing w:after="0" w:line="192" w:lineRule="exact"/>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E6E6E6"/>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increase in right of use asset</w:t>
            </w:r>
          </w:p>
        </w:tc>
        <w:tc>
          <w:tcPr>
            <w:tcW w:w="5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100" w:type="dxa"/>
            <w:vAlign w:val="bottom"/>
            <w:tcBorders>
              <w:bottom w:val="single" w:sz="8" w:color="E6E6E6"/>
            </w:tcBorders>
            <w:vMerge w:val="continue"/>
          </w:tcPr>
          <w:p>
            <w:pPr>
              <w:spacing w:after="0"/>
              <w:rPr>
                <w:sz w:val="20"/>
                <w:szCs w:val="20"/>
                <w:color w:val="auto"/>
              </w:rPr>
            </w:pPr>
          </w:p>
        </w:tc>
        <w:tc>
          <w:tcPr>
            <w:tcW w:w="580" w:type="dxa"/>
            <w:vAlign w:val="bottom"/>
            <w:tcBorders>
              <w:bottom w:val="single" w:sz="8" w:color="E6E6E6"/>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(12,102</w:t>
            </w:r>
          </w:p>
        </w:tc>
        <w:tc>
          <w:tcPr>
            <w:tcW w:w="120" w:type="dxa"/>
            <w:vAlign w:val="bottom"/>
            <w:tcBorders>
              <w:bottom w:val="single" w:sz="8" w:color="E6E6E6"/>
            </w:tcBorders>
            <w:vMerge w:val="continue"/>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(7,174</w:t>
            </w:r>
          </w:p>
        </w:tc>
        <w:tc>
          <w:tcPr>
            <w:tcW w:w="120" w:type="dxa"/>
            <w:vAlign w:val="bottom"/>
            <w:tcBorders>
              <w:bottom w:val="single" w:sz="8" w:color="E6E6E6"/>
            </w:tcBorders>
            <w:vMerge w:val="continue"/>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(74,996</w:t>
            </w:r>
          </w:p>
        </w:tc>
        <w:tc>
          <w:tcPr>
            <w:tcW w:w="100" w:type="dxa"/>
            <w:vAlign w:val="bottom"/>
            <w:tcBorders>
              <w:bottom w:val="single" w:sz="8" w:color="E6E6E6"/>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shd w:val="clear" w:color="auto" w:fill="E6E6E6"/>
          </w:tcPr>
          <w:p>
            <w:pPr>
              <w:spacing w:after="0" w:line="206" w:lineRule="exact"/>
              <w:rPr>
                <w:sz w:val="20"/>
                <w:szCs w:val="20"/>
                <w:color w:val="auto"/>
              </w:rPr>
            </w:pPr>
            <w:r>
              <w:rPr>
                <w:rFonts w:ascii="Times New Roman" w:cs="Times New Roman" w:eastAsia="Times New Roman" w:hAnsi="Times New Roman"/>
                <w:sz w:val="18"/>
                <w:szCs w:val="18"/>
                <w:color w:val="auto"/>
              </w:rPr>
              <w:t>Noncash increase in lease liability</w:t>
            </w:r>
          </w:p>
        </w:tc>
        <w:tc>
          <w:tcPr>
            <w:tcW w:w="580" w:type="dxa"/>
            <w:vAlign w:val="bottom"/>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12,102</w:t>
            </w: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7,174</w:t>
            </w: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74,996</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 issuance associated with note payable</w:t>
            </w:r>
          </w:p>
        </w:tc>
        <w:tc>
          <w:tcPr>
            <w:tcW w:w="5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100" w:type="dxa"/>
            <w:vAlign w:val="bottom"/>
            <w:tcBorders>
              <w:bottom w:val="single" w:sz="8" w:color="E6E6E6"/>
            </w:tcBorders>
            <w:vMerge w:val="continue"/>
          </w:tcPr>
          <w:p>
            <w:pPr>
              <w:spacing w:after="0"/>
              <w:rPr>
                <w:sz w:val="20"/>
                <w:szCs w:val="20"/>
                <w:color w:val="auto"/>
              </w:rPr>
            </w:pPr>
          </w:p>
        </w:tc>
        <w:tc>
          <w:tcPr>
            <w:tcW w:w="580" w:type="dxa"/>
            <w:vAlign w:val="bottom"/>
            <w:tcBorders>
              <w:bottom w:val="single" w:sz="8" w:color="E6E6E6"/>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E6E6E6"/>
            </w:tcBorders>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vMerge w:val="continue"/>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6E6E6"/>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shd w:val="clear" w:color="auto" w:fill="E6E6E6"/>
          </w:tcPr>
          <w:p>
            <w:pPr>
              <w:spacing w:after="0" w:line="206" w:lineRule="exact"/>
              <w:rPr>
                <w:sz w:val="20"/>
                <w:szCs w:val="20"/>
                <w:color w:val="auto"/>
              </w:rPr>
            </w:pPr>
            <w:r>
              <w:rPr>
                <w:rFonts w:ascii="Times New Roman" w:cs="Times New Roman" w:eastAsia="Times New Roman" w:hAnsi="Times New Roman"/>
                <w:sz w:val="18"/>
                <w:szCs w:val="18"/>
                <w:color w:val="auto"/>
              </w:rPr>
              <w:t>Mortgages associated with operating properties</w:t>
            </w:r>
          </w:p>
        </w:tc>
        <w:tc>
          <w:tcPr>
            <w:tcW w:w="580" w:type="dxa"/>
            <w:vAlign w:val="bottom"/>
            <w:shd w:val="clear" w:color="auto" w:fill="E6E6E6"/>
          </w:tcPr>
          <w:p>
            <w:pPr>
              <w:spacing w:after="0"/>
              <w:rPr>
                <w:sz w:val="17"/>
                <w:szCs w:val="17"/>
                <w:color w:val="auto"/>
              </w:rPr>
            </w:pPr>
          </w:p>
        </w:tc>
        <w:tc>
          <w:tcPr>
            <w:tcW w:w="240" w:type="dxa"/>
            <w:vAlign w:val="bottom"/>
            <w:tcBorders>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7,350</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issued for purchase of noncontrolling interest</w:t>
            </w:r>
          </w:p>
        </w:tc>
        <w:tc>
          <w:tcPr>
            <w:tcW w:w="5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6100" w:type="dxa"/>
            <w:vAlign w:val="bottom"/>
            <w:tcBorders>
              <w:bottom w:val="single" w:sz="8" w:color="E6E6E6"/>
            </w:tcBorders>
            <w:vMerge w:val="continue"/>
          </w:tcPr>
          <w:p>
            <w:pPr>
              <w:spacing w:after="0"/>
              <w:rPr>
                <w:sz w:val="20"/>
                <w:szCs w:val="20"/>
                <w:color w:val="auto"/>
              </w:rPr>
            </w:pPr>
          </w:p>
        </w:tc>
        <w:tc>
          <w:tcPr>
            <w:tcW w:w="580" w:type="dxa"/>
            <w:vAlign w:val="bottom"/>
            <w:tcBorders>
              <w:bottom w:val="single" w:sz="8" w:color="E6E6E6"/>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vMerge w:val="continue"/>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vMerge w:val="continue"/>
          </w:tcPr>
          <w:p>
            <w:pPr>
              <w:spacing w:after="0"/>
              <w:rPr>
                <w:sz w:val="20"/>
                <w:szCs w:val="20"/>
                <w:color w:val="auto"/>
              </w:rPr>
            </w:pPr>
          </w:p>
        </w:tc>
        <w:tc>
          <w:tcPr>
            <w:tcW w:w="120" w:type="dxa"/>
            <w:vAlign w:val="bottom"/>
            <w:tcBorders>
              <w:bottom w:val="single" w:sz="8" w:color="E6E6E6"/>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2,379</w:t>
            </w:r>
          </w:p>
        </w:tc>
        <w:tc>
          <w:tcPr>
            <w:tcW w:w="100" w:type="dxa"/>
            <w:vAlign w:val="bottom"/>
            <w:tcBorders>
              <w:bottom w:val="single" w:sz="8" w:color="E6E6E6"/>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E6E6E6"/>
            </w:tcBorders>
            <w:shd w:val="clear" w:color="auto" w:fill="E6E6E6"/>
          </w:tcPr>
          <w:p>
            <w:pPr>
              <w:spacing w:after="0" w:line="206" w:lineRule="exact"/>
              <w:rPr>
                <w:sz w:val="20"/>
                <w:szCs w:val="20"/>
                <w:color w:val="auto"/>
              </w:rPr>
            </w:pPr>
            <w:r>
              <w:rPr>
                <w:rFonts w:ascii="Times New Roman" w:cs="Times New Roman" w:eastAsia="Times New Roman" w:hAnsi="Times New Roman"/>
                <w:sz w:val="18"/>
                <w:szCs w:val="18"/>
                <w:color w:val="auto"/>
              </w:rPr>
              <w:t>Issuance of shares associated with contingent consideration</w:t>
            </w:r>
          </w:p>
        </w:tc>
        <w:tc>
          <w:tcPr>
            <w:tcW w:w="58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17,259</w:t>
            </w:r>
          </w:p>
        </w:tc>
        <w:tc>
          <w:tcPr>
            <w:tcW w:w="12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12,524</w:t>
            </w:r>
          </w:p>
        </w:tc>
        <w:tc>
          <w:tcPr>
            <w:tcW w:w="120" w:type="dxa"/>
            <w:vAlign w:val="bottom"/>
            <w:tcBorders>
              <w:bottom w:val="single" w:sz="8" w:color="E6E6E6"/>
            </w:tcBorders>
            <w:shd w:val="clear" w:color="auto" w:fill="E6E6E6"/>
          </w:tcPr>
          <w:p>
            <w:pPr>
              <w:spacing w:after="0"/>
              <w:rPr>
                <w:sz w:val="19"/>
                <w:szCs w:val="19"/>
                <w:color w:val="auto"/>
              </w:rPr>
            </w:pPr>
          </w:p>
        </w:tc>
        <w:tc>
          <w:tcPr>
            <w:tcW w:w="12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13,111</w:t>
            </w:r>
          </w:p>
        </w:tc>
        <w:tc>
          <w:tcPr>
            <w:tcW w:w="100" w:type="dxa"/>
            <w:vAlign w:val="bottom"/>
            <w:tcBorders>
              <w:bottom w:val="single" w:sz="8" w:color="E6E6E6"/>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share issuances</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E6E6E6"/>
            </w:tcBorders>
            <w:vMerge w:val="continue"/>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jc w:val="right"/>
              <w:ind w:right="75"/>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jc w:val="right"/>
              <w:ind w:right="7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jc w:val="right"/>
              <w:ind w:right="7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6E6E6"/>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E6E6E6"/>
            </w:tcBorders>
            <w:shd w:val="clear" w:color="auto" w:fill="E6E6E6"/>
          </w:tcPr>
          <w:p>
            <w:pPr>
              <w:spacing w:after="0" w:line="206" w:lineRule="exact"/>
              <w:rPr>
                <w:sz w:val="20"/>
                <w:szCs w:val="20"/>
                <w:color w:val="auto"/>
              </w:rPr>
            </w:pPr>
            <w:r>
              <w:rPr>
                <w:rFonts w:ascii="Times New Roman" w:cs="Times New Roman" w:eastAsia="Times New Roman" w:hAnsi="Times New Roman"/>
                <w:sz w:val="18"/>
                <w:szCs w:val="18"/>
                <w:color w:val="auto"/>
              </w:rPr>
              <w:t>Distribution of deferred shares</w:t>
            </w:r>
          </w:p>
        </w:tc>
        <w:tc>
          <w:tcPr>
            <w:tcW w:w="580" w:type="dxa"/>
            <w:vAlign w:val="bottom"/>
            <w:tcBorders>
              <w:bottom w:val="single" w:sz="8" w:color="E6E6E6"/>
            </w:tcBorders>
            <w:shd w:val="clear" w:color="auto" w:fill="E6E6E6"/>
          </w:tcPr>
          <w:p>
            <w:pPr>
              <w:spacing w:after="0"/>
              <w:rPr>
                <w:sz w:val="19"/>
                <w:szCs w:val="19"/>
                <w:color w:val="auto"/>
              </w:rPr>
            </w:pPr>
          </w:p>
        </w:tc>
        <w:tc>
          <w:tcPr>
            <w:tcW w:w="240" w:type="dxa"/>
            <w:vAlign w:val="bottom"/>
            <w:tcBorders>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(6,611</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(20,454</w:t>
            </w:r>
          </w:p>
        </w:tc>
        <w:tc>
          <w:tcPr>
            <w:tcW w:w="120" w:type="dxa"/>
            <w:vAlign w:val="bottom"/>
            <w:tcBorders>
              <w:bottom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E6E6E6"/>
            </w:tcBorders>
            <w:shd w:val="clear" w:color="auto" w:fill="E6E6E6"/>
          </w:tcPr>
          <w:p>
            <w:pPr>
              <w:spacing w:after="0"/>
              <w:rPr>
                <w:sz w:val="19"/>
                <w:szCs w:val="19"/>
                <w:color w:val="auto"/>
              </w:rPr>
            </w:pPr>
          </w:p>
        </w:tc>
        <w:tc>
          <w:tcPr>
            <w:tcW w:w="260" w:type="dxa"/>
            <w:vAlign w:val="bottom"/>
            <w:tcBorders>
              <w:bottom w:val="single" w:sz="8" w:color="auto"/>
            </w:tcBorders>
            <w:shd w:val="clear" w:color="auto" w:fill="E6E6E6"/>
          </w:tcPr>
          <w:p>
            <w:pPr>
              <w:jc w:val="right"/>
              <w:ind w:right="7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E6E6E6"/>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6E6E6"/>
            </w:tcBorders>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of shares under business combinations</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100" w:type="dxa"/>
            <w:vAlign w:val="bottom"/>
            <w:tcBorders>
              <w:bottom w:val="single" w:sz="8" w:color="E6E6E6"/>
            </w:tcBorders>
            <w:vMerge w:val="continue"/>
          </w:tcPr>
          <w:p>
            <w:pPr>
              <w:spacing w:after="0"/>
              <w:rPr>
                <w:sz w:val="19"/>
                <w:szCs w:val="19"/>
                <w:color w:val="auto"/>
              </w:rPr>
            </w:pPr>
          </w:p>
        </w:tc>
        <w:tc>
          <w:tcPr>
            <w:tcW w:w="580" w:type="dxa"/>
            <w:vAlign w:val="bottom"/>
            <w:tcBorders>
              <w:bottom w:val="single" w:sz="8" w:color="E6E6E6"/>
            </w:tcBorders>
          </w:tcPr>
          <w:p>
            <w:pPr>
              <w:spacing w:after="0"/>
              <w:rPr>
                <w:sz w:val="19"/>
                <w:szCs w:val="19"/>
                <w:color w:val="auto"/>
              </w:rPr>
            </w:pPr>
          </w:p>
        </w:tc>
        <w:tc>
          <w:tcPr>
            <w:tcW w:w="240" w:type="dxa"/>
            <w:vAlign w:val="bottom"/>
            <w:tcBorders>
              <w:bottom w:val="single" w:sz="8" w:color="auto"/>
            </w:tcBorders>
          </w:tcPr>
          <w:p>
            <w:pPr>
              <w:jc w:val="right"/>
              <w:ind w:right="75"/>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jc w:val="right"/>
              <w:ind w:right="7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E6E6E6"/>
            </w:tcBorders>
          </w:tcPr>
          <w:p>
            <w:pPr>
              <w:spacing w:after="0"/>
              <w:rPr>
                <w:sz w:val="19"/>
                <w:szCs w:val="19"/>
                <w:color w:val="auto"/>
              </w:rPr>
            </w:pPr>
          </w:p>
        </w:tc>
        <w:tc>
          <w:tcPr>
            <w:tcW w:w="120" w:type="dxa"/>
            <w:vAlign w:val="bottom"/>
            <w:tcBorders>
              <w:bottom w:val="single" w:sz="8" w:color="E6E6E6"/>
            </w:tcBorders>
          </w:tcPr>
          <w:p>
            <w:pPr>
              <w:spacing w:after="0"/>
              <w:rPr>
                <w:sz w:val="19"/>
                <w:szCs w:val="19"/>
                <w:color w:val="auto"/>
              </w:rPr>
            </w:pPr>
          </w:p>
        </w:tc>
        <w:tc>
          <w:tcPr>
            <w:tcW w:w="260" w:type="dxa"/>
            <w:vAlign w:val="bottom"/>
            <w:tcBorders>
              <w:bottom w:val="single" w:sz="8" w:color="auto"/>
            </w:tcBorders>
          </w:tcPr>
          <w:p>
            <w:pPr>
              <w:jc w:val="right"/>
              <w:ind w:right="7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E6E6E6"/>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1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tc>
        <w:tc>
          <w:tcPr>
            <w:tcW w:w="5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 assumed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Contingent liabilities</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interests issued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Fair value of previously held equity interest</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00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(11,336 )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consideration receivable</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shd w:val="clear" w:color="auto" w:fill="E6E6E6"/>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5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02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100" w:type="dxa"/>
            <w:vAlign w:val="bottom"/>
            <w:gridSpan w:val="2"/>
            <w:shd w:val="clear" w:color="auto" w:fill="E6E6E6"/>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9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E6E6E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Settlement of noncontrolling interests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tcBorders>
              <w:top w:val="single" w:sz="8" w:color="E6E6E6"/>
            </w:tcBorders>
            <w:shd w:val="clear" w:color="auto" w:fill="E6E6E6"/>
          </w:tcPr>
          <w:p>
            <w:pPr>
              <w:spacing w:after="0"/>
              <w:rPr>
                <w:sz w:val="18"/>
                <w:szCs w:val="18"/>
                <w:color w:val="auto"/>
              </w:rPr>
            </w:pPr>
          </w:p>
        </w:tc>
        <w:tc>
          <w:tcPr>
            <w:tcW w:w="580" w:type="dxa"/>
            <w:vAlign w:val="bottom"/>
            <w:tcBorders>
              <w:top w:val="single" w:sz="8" w:color="E6E6E6"/>
            </w:tcBorders>
            <w:shd w:val="clear" w:color="auto" w:fill="E6E6E6"/>
          </w:tcPr>
          <w:p>
            <w:pPr>
              <w:spacing w:after="0"/>
              <w:rPr>
                <w:sz w:val="18"/>
                <w:szCs w:val="18"/>
                <w:color w:val="auto"/>
              </w:rPr>
            </w:pPr>
          </w:p>
        </w:tc>
        <w:tc>
          <w:tcPr>
            <w:tcW w:w="240" w:type="dxa"/>
            <w:vAlign w:val="bottom"/>
            <w:tcBorders>
              <w:top w:val="single" w:sz="8" w:color="auto"/>
              <w:bottom w:val="single" w:sz="8" w:color="auto"/>
            </w:tcBorders>
            <w:shd w:val="clear" w:color="auto" w:fill="E6E6E6"/>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E6E6E6"/>
            </w:tcBorders>
            <w:shd w:val="clear" w:color="auto" w:fill="E6E6E6"/>
          </w:tcPr>
          <w:p>
            <w:pPr>
              <w:spacing w:after="0"/>
              <w:rPr>
                <w:sz w:val="18"/>
                <w:szCs w:val="18"/>
                <w:color w:val="auto"/>
              </w:rPr>
            </w:pPr>
          </w:p>
        </w:tc>
        <w:tc>
          <w:tcPr>
            <w:tcW w:w="120" w:type="dxa"/>
            <w:vAlign w:val="bottom"/>
            <w:tcBorders>
              <w:top w:val="single" w:sz="8" w:color="E6E6E6"/>
            </w:tcBorders>
            <w:shd w:val="clear" w:color="auto" w:fill="E6E6E6"/>
          </w:tcPr>
          <w:p>
            <w:pPr>
              <w:spacing w:after="0"/>
              <w:rPr>
                <w:sz w:val="18"/>
                <w:szCs w:val="18"/>
                <w:color w:val="auto"/>
              </w:rPr>
            </w:pPr>
          </w:p>
        </w:tc>
        <w:tc>
          <w:tcPr>
            <w:tcW w:w="260" w:type="dxa"/>
            <w:vAlign w:val="bottom"/>
            <w:tcBorders>
              <w:top w:val="single" w:sz="8" w:color="auto"/>
              <w:bottom w:val="single" w:sz="8" w:color="auto"/>
            </w:tcBorders>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7,350</w:t>
            </w: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840"/>
          </w:cols>
          <w:pgMar w:left="700" w:top="926" w:right="7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840"/>
          </w:cols>
          <w:pgMar w:left="700" w:top="926" w:right="700" w:bottom="175"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4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Green Thumb Industries Inc. (“Green Thumb” or the “Company”),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&amp;Shine, Beboe, Dogwalkers, Doctor Solomon’s, Good Green, incredibles, and RYTHM, to third-party retail stores across the United States as well as to Green Thumb owned retail stores. The Company also owns and operates retail cannabis stores that include a national chain named RISE, which sell our products and third-party products. As of December 31, 2024, Green Thumb has revenue in fourteen markets (California, Connecticut, Florida, Illinois, Maryland, Massachusetts, Minnesota, Nevada, New Jersey, New York, Ohio, Pennsylvania, Rhode Island and Virginia), employs approximately 4,800 people and serves millions of patients and customers annually.</w:t>
      </w:r>
    </w:p>
    <w:p>
      <w:pPr>
        <w:spacing w:after="0" w:line="176"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20"/>
          <w:szCs w:val="20"/>
          <w:color w:val="auto"/>
        </w:rPr>
        <w:t>The Company’s registered office is located at 250 Howe Street,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Vancouver, British Columbia, V6C 3R8. The Company’s U.S. headquarters is at 325 W. Huron St., Suite 700, Chicago, IL 60654.</w:t>
      </w:r>
    </w:p>
    <w:p>
      <w:pPr>
        <w:spacing w:after="0" w:line="200" w:lineRule="exact"/>
        <w:rPr>
          <w:sz w:val="20"/>
          <w:szCs w:val="20"/>
          <w:color w:val="auto"/>
        </w:rPr>
      </w:pPr>
    </w:p>
    <w:p>
      <w:pPr>
        <w:ind w:left="600" w:hanging="600"/>
        <w:spacing w:after="0"/>
        <w:tabs>
          <w:tab w:leader="none" w:pos="60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Preparation and Statement of Compliance</w:t>
      </w:r>
    </w:p>
    <w:p>
      <w:pPr>
        <w:spacing w:after="0" w:line="280" w:lineRule="exact"/>
        <w:rPr>
          <w:sz w:val="20"/>
          <w:szCs w:val="20"/>
          <w:color w:val="auto"/>
        </w:rPr>
      </w:pPr>
    </w:p>
    <w:p>
      <w:pPr>
        <w:ind w:left="500" w:right="40"/>
        <w:spacing w:after="0" w:line="277" w:lineRule="auto"/>
        <w:rPr>
          <w:sz w:val="20"/>
          <w:szCs w:val="20"/>
          <w:color w:val="auto"/>
        </w:rPr>
      </w:pPr>
      <w:r>
        <w:rPr>
          <w:rFonts w:ascii="Times New Roman" w:cs="Times New Roman" w:eastAsia="Times New Roman" w:hAnsi="Times New Roman"/>
          <w:sz w:val="20"/>
          <w:szCs w:val="20"/>
          <w:color w:val="auto"/>
        </w:rPr>
        <w:t>The consolidated financial statements as of December 31, 2024, 2023 and 2022 (the “Consolidated Financial Statements”), have been prepared in accordance with accounting principles generally accepted in the United States of America (“GAAP”).</w:t>
      </w:r>
    </w:p>
    <w:p>
      <w:pPr>
        <w:spacing w:after="0" w:line="275" w:lineRule="exact"/>
        <w:rPr>
          <w:sz w:val="20"/>
          <w:szCs w:val="20"/>
          <w:color w:val="auto"/>
        </w:rPr>
      </w:pPr>
    </w:p>
    <w:p>
      <w:pPr>
        <w:ind w:left="980" w:hanging="491"/>
        <w:spacing w:after="0"/>
        <w:tabs>
          <w:tab w:leader="none" w:pos="98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Measurement</w:t>
      </w:r>
    </w:p>
    <w:p>
      <w:pPr>
        <w:spacing w:after="0" w:line="280" w:lineRule="exact"/>
        <w:rPr>
          <w:sz w:val="20"/>
          <w:szCs w:val="20"/>
          <w:color w:val="auto"/>
        </w:rPr>
      </w:pPr>
    </w:p>
    <w:p>
      <w:pPr>
        <w:ind w:left="500" w:right="340"/>
        <w:spacing w:after="0" w:line="277"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on the going concern basis, under the historical cost convention, except for certain financial instruments that are measured at fair value as described herein.</w:t>
      </w:r>
    </w:p>
    <w:p>
      <w:pPr>
        <w:spacing w:after="0" w:line="45" w:lineRule="exact"/>
        <w:rPr>
          <w:sz w:val="20"/>
          <w:szCs w:val="20"/>
          <w:color w:val="auto"/>
        </w:rPr>
      </w:pPr>
    </w:p>
    <w:p>
      <w:pPr>
        <w:ind w:left="980" w:hanging="491"/>
        <w:spacing w:after="0"/>
        <w:tabs>
          <w:tab w:leader="none" w:pos="98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Functional and Presentation Currency</w:t>
      </w:r>
    </w:p>
    <w:p>
      <w:pPr>
        <w:spacing w:after="0" w:line="280" w:lineRule="exact"/>
        <w:rPr>
          <w:sz w:val="20"/>
          <w:szCs w:val="20"/>
          <w:color w:val="auto"/>
        </w:rPr>
      </w:pPr>
    </w:p>
    <w:p>
      <w:pPr>
        <w:ind w:left="500" w:right="360"/>
        <w:spacing w:after="0" w:line="277" w:lineRule="auto"/>
        <w:rPr>
          <w:sz w:val="20"/>
          <w:szCs w:val="20"/>
          <w:color w:val="auto"/>
        </w:rPr>
      </w:pPr>
      <w:r>
        <w:rPr>
          <w:rFonts w:ascii="Times New Roman" w:cs="Times New Roman" w:eastAsia="Times New Roman" w:hAnsi="Times New Roman"/>
          <w:sz w:val="20"/>
          <w:szCs w:val="20"/>
          <w:color w:val="auto"/>
        </w:rPr>
        <w:t>The Company’s functional currency, as determined by management, is the United States (“U.S.”) dollar. These consolidated financial statements are presented in U.S. dollars.</w:t>
      </w:r>
    </w:p>
    <w:p>
      <w:pPr>
        <w:spacing w:after="0" w:line="45" w:lineRule="exact"/>
        <w:rPr>
          <w:sz w:val="20"/>
          <w:szCs w:val="20"/>
          <w:color w:val="auto"/>
        </w:rPr>
      </w:pPr>
    </w:p>
    <w:p>
      <w:pPr>
        <w:ind w:left="980" w:hanging="491"/>
        <w:spacing w:after="0"/>
        <w:tabs>
          <w:tab w:leader="none" w:pos="98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Basis of Consolidation</w:t>
      </w:r>
    </w:p>
    <w:p>
      <w:pPr>
        <w:spacing w:after="0" w:line="280" w:lineRule="exact"/>
        <w:rPr>
          <w:sz w:val="20"/>
          <w:szCs w:val="20"/>
          <w:color w:val="auto"/>
        </w:rPr>
      </w:pPr>
    </w:p>
    <w:p>
      <w:pPr>
        <w:ind w:left="500" w:right="360"/>
        <w:spacing w:after="0" w:line="258" w:lineRule="auto"/>
        <w:rPr>
          <w:sz w:val="20"/>
          <w:szCs w:val="20"/>
          <w:color w:val="auto"/>
        </w:rPr>
      </w:pPr>
      <w:r>
        <w:rPr>
          <w:rFonts w:ascii="Times New Roman" w:cs="Times New Roman" w:eastAsia="Times New Roman" w:hAnsi="Times New Roman"/>
          <w:sz w:val="20"/>
          <w:szCs w:val="20"/>
          <w:color w:val="auto"/>
        </w:rPr>
        <w:t>The consolidated financial statements for the years ended December 31, 2024, 2023 and 2022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178" w:lineRule="exact"/>
        <w:rPr>
          <w:sz w:val="20"/>
          <w:szCs w:val="20"/>
          <w:color w:val="auto"/>
        </w:rPr>
      </w:pPr>
    </w:p>
    <w:p>
      <w:pPr>
        <w:ind w:left="500" w:right="180"/>
        <w:spacing w:after="0" w:line="252" w:lineRule="auto"/>
        <w:rPr>
          <w:sz w:val="20"/>
          <w:szCs w:val="20"/>
          <w:color w:val="auto"/>
        </w:rPr>
      </w:pPr>
      <w:r>
        <w:rPr>
          <w:rFonts w:ascii="Times New Roman" w:cs="Times New Roman" w:eastAsia="Times New Roman" w:hAnsi="Times New Roman"/>
          <w:sz w:val="20"/>
          <w:szCs w:val="20"/>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184" w:lineRule="exact"/>
        <w:rPr>
          <w:sz w:val="20"/>
          <w:szCs w:val="20"/>
          <w:color w:val="auto"/>
        </w:rPr>
      </w:pPr>
    </w:p>
    <w:p>
      <w:pPr>
        <w:ind w:left="500" w:right="240"/>
        <w:spacing w:after="0" w:line="277" w:lineRule="auto"/>
        <w:rPr>
          <w:sz w:val="20"/>
          <w:szCs w:val="20"/>
          <w:color w:val="auto"/>
        </w:rPr>
      </w:pPr>
      <w:r>
        <w:rPr>
          <w:rFonts w:ascii="Times New Roman" w:cs="Times New Roman" w:eastAsia="Times New Roman" w:hAnsi="Times New Roman"/>
          <w:sz w:val="20"/>
          <w:szCs w:val="20"/>
          <w:color w:val="auto"/>
        </w:rPr>
        <w:t>The following are the Company’s wholly owned subsidiaries that are included in these consolidated financial statements as of and for the years ended December 31, 2024,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3900" w:type="dxa"/>
            <w:vAlign w:val="bottom"/>
            <w:tcBorders>
              <w:bottom w:val="single" w:sz="8" w:color="auto"/>
            </w:tcBorders>
          </w:tcPr>
          <w:p>
            <w:pPr>
              <w:jc w:val="center"/>
              <w:ind w:left="1940"/>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c>
          <w:tcPr>
            <w:tcW w:w="680" w:type="dxa"/>
            <w:vAlign w:val="bottom"/>
            <w:tcBorders>
              <w:bottom w:val="single" w:sz="8" w:color="E6E6E6"/>
            </w:tcBorders>
          </w:tcPr>
          <w:p>
            <w:pPr>
              <w:spacing w:after="0"/>
              <w:rPr>
                <w:sz w:val="22"/>
                <w:szCs w:val="22"/>
                <w:color w:val="auto"/>
              </w:rPr>
            </w:pPr>
          </w:p>
        </w:tc>
        <w:tc>
          <w:tcPr>
            <w:tcW w:w="250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Interest</w:t>
            </w:r>
          </w:p>
        </w:tc>
      </w:tr>
      <w:tr>
        <w:trPr>
          <w:trHeight w:val="220"/>
        </w:trPr>
        <w:tc>
          <w:tcPr>
            <w:tcW w:w="372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GTI23, Inc.</w:t>
            </w:r>
          </w:p>
        </w:tc>
        <w:tc>
          <w:tcPr>
            <w:tcW w:w="3900" w:type="dxa"/>
            <w:vAlign w:val="bottom"/>
            <w:shd w:val="clear" w:color="auto" w:fill="E6E6E6"/>
          </w:tcPr>
          <w:p>
            <w:pPr>
              <w:jc w:val="center"/>
              <w:ind w:left="1920"/>
              <w:spacing w:after="0" w:line="220" w:lineRule="exact"/>
              <w:rPr>
                <w:sz w:val="20"/>
                <w:szCs w:val="20"/>
                <w:color w:val="auto"/>
              </w:rPr>
            </w:pPr>
            <w:r>
              <w:rPr>
                <w:rFonts w:ascii="Times New Roman" w:cs="Times New Roman" w:eastAsia="Times New Roman" w:hAnsi="Times New Roman"/>
                <w:sz w:val="20"/>
                <w:szCs w:val="20"/>
                <w:color w:val="auto"/>
                <w:w w:val="99"/>
              </w:rPr>
              <w:t>Delaware</w:t>
            </w:r>
          </w:p>
        </w:tc>
        <w:tc>
          <w:tcPr>
            <w:tcW w:w="680" w:type="dxa"/>
            <w:vAlign w:val="bottom"/>
            <w:shd w:val="clear" w:color="auto" w:fill="E6E6E6"/>
          </w:tcPr>
          <w:p>
            <w:pPr>
              <w:spacing w:after="0"/>
              <w:rPr>
                <w:sz w:val="19"/>
                <w:szCs w:val="19"/>
                <w:color w:val="auto"/>
              </w:rPr>
            </w:pPr>
          </w:p>
        </w:tc>
        <w:tc>
          <w:tcPr>
            <w:tcW w:w="2500" w:type="dxa"/>
            <w:vAlign w:val="bottom"/>
            <w:shd w:val="clear" w:color="auto" w:fill="E6E6E6"/>
          </w:tcPr>
          <w:p>
            <w:pPr>
              <w:jc w:val="right"/>
              <w:ind w:right="180"/>
              <w:spacing w:after="0" w:line="220" w:lineRule="exact"/>
              <w:rPr>
                <w:sz w:val="20"/>
                <w:szCs w:val="20"/>
                <w:color w:val="auto"/>
              </w:rPr>
            </w:pPr>
            <w:r>
              <w:rPr>
                <w:rFonts w:ascii="Times New Roman" w:cs="Times New Roman" w:eastAsia="Times New Roman" w:hAnsi="Times New Roman"/>
                <w:sz w:val="20"/>
                <w:szCs w:val="20"/>
                <w:color w:val="auto"/>
              </w:rPr>
              <w:t>100%</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VCP23, LLC</w:t>
            </w:r>
          </w:p>
        </w:tc>
        <w:tc>
          <w:tcPr>
            <w:tcW w:w="3900" w:type="dxa"/>
            <w:vAlign w:val="bottom"/>
          </w:tcPr>
          <w:p>
            <w:pPr>
              <w:jc w:val="center"/>
              <w:ind w:left="1920"/>
              <w:spacing w:after="0"/>
              <w:rPr>
                <w:sz w:val="20"/>
                <w:szCs w:val="20"/>
                <w:color w:val="auto"/>
              </w:rPr>
            </w:pPr>
            <w:r>
              <w:rPr>
                <w:rFonts w:ascii="Times New Roman" w:cs="Times New Roman" w:eastAsia="Times New Roman" w:hAnsi="Times New Roman"/>
                <w:sz w:val="20"/>
                <w:szCs w:val="20"/>
                <w:color w:val="auto"/>
                <w:w w:val="99"/>
              </w:rPr>
              <w:t>Delaware</w:t>
            </w:r>
          </w:p>
        </w:tc>
        <w:tc>
          <w:tcPr>
            <w:tcW w:w="680" w:type="dxa"/>
            <w:vAlign w:val="bottom"/>
          </w:tcPr>
          <w:p>
            <w:pPr>
              <w:spacing w:after="0"/>
              <w:rPr>
                <w:sz w:val="19"/>
                <w:szCs w:val="19"/>
                <w:color w:val="auto"/>
              </w:rPr>
            </w:pPr>
          </w:p>
        </w:tc>
        <w:tc>
          <w:tcPr>
            <w:tcW w:w="25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372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GTI Core, LLC</w:t>
            </w:r>
          </w:p>
        </w:tc>
        <w:tc>
          <w:tcPr>
            <w:tcW w:w="3900" w:type="dxa"/>
            <w:vAlign w:val="bottom"/>
            <w:shd w:val="clear" w:color="auto" w:fill="E6E6E6"/>
          </w:tcPr>
          <w:p>
            <w:pPr>
              <w:jc w:val="center"/>
              <w:ind w:left="1920"/>
              <w:spacing w:after="0"/>
              <w:rPr>
                <w:sz w:val="20"/>
                <w:szCs w:val="20"/>
                <w:color w:val="auto"/>
              </w:rPr>
            </w:pPr>
            <w:r>
              <w:rPr>
                <w:rFonts w:ascii="Times New Roman" w:cs="Times New Roman" w:eastAsia="Times New Roman" w:hAnsi="Times New Roman"/>
                <w:sz w:val="20"/>
                <w:szCs w:val="20"/>
                <w:color w:val="auto"/>
                <w:w w:val="99"/>
              </w:rPr>
              <w:t>Delaware</w:t>
            </w:r>
          </w:p>
        </w:tc>
        <w:tc>
          <w:tcPr>
            <w:tcW w:w="31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00" w:lineRule="exact"/>
        <w:rPr>
          <w:sz w:val="20"/>
          <w:szCs w:val="20"/>
          <w:color w:val="auto"/>
        </w:rPr>
      </w:pP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800"/>
          </w:cols>
          <w:pgMar w:left="720" w:top="696" w:right="720" w:bottom="175"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37" w:lineRule="exact"/>
        <w:rPr>
          <w:sz w:val="20"/>
          <w:szCs w:val="20"/>
          <w:color w:val="auto"/>
        </w:rPr>
      </w:pPr>
    </w:p>
    <w:p>
      <w:pPr>
        <w:ind w:left="980" w:hanging="490"/>
        <w:spacing w:after="0"/>
        <w:tabs>
          <w:tab w:leader="none" w:pos="98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Basis of Consolidation </w:t>
      </w:r>
      <w:r>
        <w:rPr>
          <w:rFonts w:ascii="Times New Roman" w:cs="Times New Roman" w:eastAsia="Times New Roman" w:hAnsi="Times New Roman"/>
          <w:sz w:val="20"/>
          <w:szCs w:val="20"/>
          <w:color w:val="auto"/>
        </w:rPr>
        <w:t>(Continued)</w:t>
      </w:r>
    </w:p>
    <w:p>
      <w:pPr>
        <w:spacing w:after="0" w:line="280" w:lineRule="exact"/>
        <w:rPr>
          <w:sz w:val="20"/>
          <w:szCs w:val="20"/>
          <w:color w:val="auto"/>
        </w:rPr>
      </w:pPr>
    </w:p>
    <w:p>
      <w:pPr>
        <w:ind w:left="500" w:right="300"/>
        <w:spacing w:after="0" w:line="305" w:lineRule="auto"/>
        <w:rPr>
          <w:sz w:val="20"/>
          <w:szCs w:val="20"/>
          <w:color w:val="auto"/>
        </w:rPr>
      </w:pPr>
      <w:r>
        <w:rPr>
          <w:rFonts w:ascii="Times New Roman" w:cs="Times New Roman" w:eastAsia="Times New Roman" w:hAnsi="Times New Roman"/>
          <w:sz w:val="19"/>
          <w:szCs w:val="19"/>
          <w:color w:val="auto"/>
        </w:rPr>
        <w:t>The following are VCP23, LLC’s and GTI Core, LLC’s wholly owned subsidiaries and entities over which the Company has control, that are included in these consolidated financial statements for the years ended December 31, 2024, 2023 and 2022:</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Subsidiaries</w:t>
            </w:r>
          </w:p>
        </w:tc>
        <w:tc>
          <w:tcPr>
            <w:tcW w:w="1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20"/>
                <w:szCs w:val="20"/>
                <w:b w:val="1"/>
                <w:bCs w:val="1"/>
                <w:color w:val="auto"/>
              </w:rPr>
              <w:t>Ownership</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40" w:type="dxa"/>
            <w:vAlign w:val="bottom"/>
            <w:tcBorders>
              <w:bottom w:val="single" w:sz="8" w:color="E6E6E6"/>
            </w:tcBorders>
          </w:tcPr>
          <w:p>
            <w:pPr>
              <w:spacing w:after="0"/>
              <w:rPr>
                <w:sz w:val="22"/>
                <w:szCs w:val="22"/>
                <w:color w:val="auto"/>
              </w:rPr>
            </w:pPr>
          </w:p>
        </w:tc>
        <w:tc>
          <w:tcPr>
            <w:tcW w:w="25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20"/>
                <w:szCs w:val="20"/>
                <w:b w:val="1"/>
                <w:bCs w:val="1"/>
                <w:color w:val="auto"/>
              </w:rPr>
              <w:t>Purpose</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JB17,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0"/>
                <w:szCs w:val="20"/>
                <w:color w:val="auto"/>
              </w:rPr>
            </w:pPr>
          </w:p>
        </w:tc>
        <w:tc>
          <w:tcPr>
            <w:tcW w:w="15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Maryland</w:t>
            </w:r>
          </w:p>
        </w:tc>
        <w:tc>
          <w:tcPr>
            <w:tcW w:w="340" w:type="dxa"/>
            <w:vAlign w:val="bottom"/>
            <w:shd w:val="clear" w:color="auto" w:fill="E6E6E6"/>
          </w:tcPr>
          <w:p>
            <w:pPr>
              <w:spacing w:after="0"/>
              <w:rPr>
                <w:sz w:val="20"/>
                <w:szCs w:val="20"/>
                <w:color w:val="auto"/>
              </w:rPr>
            </w:pPr>
          </w:p>
        </w:tc>
        <w:tc>
          <w:tcPr>
            <w:tcW w:w="25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GTI-Clinic Illinois Holdings,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8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20"/>
                <w:szCs w:val="20"/>
                <w:color w:val="auto"/>
              </w:rPr>
              <w:t>Illinois</w:t>
            </w:r>
          </w:p>
        </w:tc>
        <w:tc>
          <w:tcPr>
            <w:tcW w:w="340" w:type="dxa"/>
            <w:vAlign w:val="bottom"/>
          </w:tcPr>
          <w:p>
            <w:pPr>
              <w:spacing w:after="0"/>
              <w:rPr>
                <w:sz w:val="21"/>
                <w:szCs w:val="2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ILDISP,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Illinois</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RISE Holdings, Inc.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Massachusetts</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Liberty Compassion Inc.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Massachusetts</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Maryland,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Maryland</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Ohio Investors 2017,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Ohio</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Holding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Ohio,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Ohio</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Nevada,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Nevada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Pennsylvania,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Pennsylvania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Florida,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Florida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Holding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KSGNF,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Florida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GTI New Jersey,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New Jersey</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KW Ventures Holdings,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Pennsylvania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Chesapeake Alternatives,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Maryland</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Meshow,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Maryland</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Maryland Health and Wellness Center, Inc.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Maryland</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Advanced Grow Labs,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Connecticut</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Bluepoint Wellness of Westport,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46%</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Connecticut</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Bluepoint Apothecary,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Connecticut</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Southern CT Wellness and Healing</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Connecticut</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Integral Associates,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Nevada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Integral Associates CA,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California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Fiorello Pharmaceuticals, Inc.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New York</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Dharma Pharmaceuticals,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Virginia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Summit Medical Compassion Center, Inc.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Rhode Island</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LeafLine Industries,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Minnesota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License holder</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MC Brands,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Colorado</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For Success Holding Company</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California</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VCP IP Holdings,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Intellectual property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Vision Management Services,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RSLGH,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Management company</w:t>
            </w:r>
          </w:p>
        </w:tc>
      </w:tr>
      <w:tr>
        <w:trPr>
          <w:trHeight w:val="244"/>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TWD18,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Investment company</w:t>
            </w:r>
          </w:p>
        </w:tc>
      </w:tr>
      <w:tr>
        <w:trPr>
          <w:trHeight w:val="26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auto"/>
              </w:rPr>
              <w:t>VCP Real Estate Holdings, LLC</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100%</w:t>
            </w: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Delaware</w:t>
            </w:r>
          </w:p>
        </w:tc>
        <w:tc>
          <w:tcPr>
            <w:tcW w:w="29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Real Estate holding company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-5281295</wp:posOffset>
                </wp:positionV>
                <wp:extent cx="3670300" cy="1549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40" o:spid="_x0000_s1065" style="position:absolute;margin-left:0pt;margin-top:-415.8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-5287645</wp:posOffset>
                </wp:positionV>
                <wp:extent cx="339090" cy="16129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 cy="161290"/>
                        </a:xfrm>
                        <a:prstGeom prst="rect">
                          <a:avLst/>
                        </a:prstGeom>
                        <a:solidFill>
                          <a:srgbClr val="E6E6E6"/>
                        </a:solidFill>
                      </wps:spPr>
                      <wps:bodyPr/>
                    </wps:wsp>
                  </a:graphicData>
                </a:graphic>
              </wp:anchor>
            </w:drawing>
          </mc:Choice>
          <mc:Fallback>
            <w:pict>
              <v:rect id="Shape 41" o:spid="_x0000_s1066" style="position:absolute;margin-left:289pt;margin-top:-416.3499pt;width:26.7pt;height:12.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-4971415</wp:posOffset>
                </wp:positionV>
                <wp:extent cx="3670300" cy="1549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42" o:spid="_x0000_s1067" style="position:absolute;margin-left:0pt;margin-top:-391.4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-4971415</wp:posOffset>
                </wp:positionV>
                <wp:extent cx="3187700" cy="15494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43" o:spid="_x0000_s1068" style="position:absolute;margin-left:289pt;margin-top:-391.4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-4661535</wp:posOffset>
                </wp:positionV>
                <wp:extent cx="3670300" cy="1549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44" o:spid="_x0000_s1069" style="position:absolute;margin-left:0pt;margin-top:-367.0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-4661535</wp:posOffset>
                </wp:positionV>
                <wp:extent cx="3187700" cy="15494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45" o:spid="_x0000_s1070" style="position:absolute;margin-left:289pt;margin-top:-367.0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-4351655</wp:posOffset>
                </wp:positionV>
                <wp:extent cx="3670300" cy="1549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46" o:spid="_x0000_s1071" style="position:absolute;margin-left:0pt;margin-top:-342.6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-4351655</wp:posOffset>
                </wp:positionV>
                <wp:extent cx="3187700" cy="15494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47" o:spid="_x0000_s1072" style="position:absolute;margin-left:289pt;margin-top:-342.6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-4041775</wp:posOffset>
                </wp:positionV>
                <wp:extent cx="3670300" cy="15494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48" o:spid="_x0000_s1073" style="position:absolute;margin-left:0pt;margin-top:-318.2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-4041775</wp:posOffset>
                </wp:positionV>
                <wp:extent cx="3187700" cy="15494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49" o:spid="_x0000_s1074" style="position:absolute;margin-left:289pt;margin-top:-318.2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-3731895</wp:posOffset>
                </wp:positionV>
                <wp:extent cx="3670300" cy="15494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50" o:spid="_x0000_s1075" style="position:absolute;margin-left:0pt;margin-top:-293.8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-3731895</wp:posOffset>
                </wp:positionV>
                <wp:extent cx="3187700" cy="15494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51" o:spid="_x0000_s1076" style="position:absolute;margin-left:289pt;margin-top:-293.8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-3422015</wp:posOffset>
                </wp:positionV>
                <wp:extent cx="3670300" cy="1549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52" o:spid="_x0000_s1077" style="position:absolute;margin-left:0pt;margin-top:-269.4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-3422015</wp:posOffset>
                </wp:positionV>
                <wp:extent cx="3187700" cy="15494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53" o:spid="_x0000_s1078" style="position:absolute;margin-left:289pt;margin-top:-269.4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-3112135</wp:posOffset>
                </wp:positionV>
                <wp:extent cx="3670300" cy="15494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54" o:spid="_x0000_s1079" style="position:absolute;margin-left:0pt;margin-top:-245.0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-3112135</wp:posOffset>
                </wp:positionV>
                <wp:extent cx="3187700" cy="15494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55" o:spid="_x0000_s1080" style="position:absolute;margin-left:289pt;margin-top:-245.0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-2802255</wp:posOffset>
                </wp:positionV>
                <wp:extent cx="3670300" cy="1549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56" o:spid="_x0000_s1081" style="position:absolute;margin-left:0pt;margin-top:-220.6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-2802255</wp:posOffset>
                </wp:positionV>
                <wp:extent cx="3187700" cy="15494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57" o:spid="_x0000_s1082" style="position:absolute;margin-left:289pt;margin-top:-220.6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-2492375</wp:posOffset>
                </wp:positionV>
                <wp:extent cx="3670300" cy="15494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58" o:spid="_x0000_s1083" style="position:absolute;margin-left:0pt;margin-top:-196.2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-2492375</wp:posOffset>
                </wp:positionV>
                <wp:extent cx="3187700" cy="15494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59" o:spid="_x0000_s1084" style="position:absolute;margin-left:289pt;margin-top:-196.2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-2182495</wp:posOffset>
                </wp:positionV>
                <wp:extent cx="3670300" cy="15494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60" o:spid="_x0000_s1085" style="position:absolute;margin-left:0pt;margin-top:-171.8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-2182495</wp:posOffset>
                </wp:positionV>
                <wp:extent cx="3187700" cy="15494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61" o:spid="_x0000_s1086" style="position:absolute;margin-left:289pt;margin-top:-171.8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-1872615</wp:posOffset>
                </wp:positionV>
                <wp:extent cx="3670300" cy="1549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62" o:spid="_x0000_s1087" style="position:absolute;margin-left:0pt;margin-top:-147.4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-1872615</wp:posOffset>
                </wp:positionV>
                <wp:extent cx="3187700" cy="15494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63" o:spid="_x0000_s1088" style="position:absolute;margin-left:289pt;margin-top:-147.4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-1562735</wp:posOffset>
                </wp:positionV>
                <wp:extent cx="3670300" cy="15494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64" o:spid="_x0000_s1089" style="position:absolute;margin-left:0pt;margin-top:-123.0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-1562735</wp:posOffset>
                </wp:positionV>
                <wp:extent cx="3187700" cy="15494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65" o:spid="_x0000_s1090" style="position:absolute;margin-left:289pt;margin-top:-123.0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-1252855</wp:posOffset>
                </wp:positionV>
                <wp:extent cx="3670300" cy="15494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66" o:spid="_x0000_s1091" style="position:absolute;margin-left:0pt;margin-top:-98.6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-1252855</wp:posOffset>
                </wp:positionV>
                <wp:extent cx="3187700" cy="15494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67" o:spid="_x0000_s1092" style="position:absolute;margin-left:289pt;margin-top:-98.6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-942975</wp:posOffset>
                </wp:positionV>
                <wp:extent cx="3670300" cy="15494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68" o:spid="_x0000_s1093" style="position:absolute;margin-left:0pt;margin-top:-74.2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-942975</wp:posOffset>
                </wp:positionV>
                <wp:extent cx="3187700" cy="15494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69" o:spid="_x0000_s1094" style="position:absolute;margin-left:289pt;margin-top:-74.2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-633095</wp:posOffset>
                </wp:positionV>
                <wp:extent cx="3670300" cy="15494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70" o:spid="_x0000_s1095" style="position:absolute;margin-left:0pt;margin-top:-49.8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-633095</wp:posOffset>
                </wp:positionV>
                <wp:extent cx="3187700" cy="15494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71" o:spid="_x0000_s1096" style="position:absolute;margin-left:289pt;margin-top:-49.8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-323215</wp:posOffset>
                </wp:positionV>
                <wp:extent cx="3670300" cy="1549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70300" cy="154940"/>
                        </a:xfrm>
                        <a:prstGeom prst="rect">
                          <a:avLst/>
                        </a:prstGeom>
                        <a:solidFill>
                          <a:srgbClr val="E6E6E6"/>
                        </a:solidFill>
                      </wps:spPr>
                      <wps:bodyPr/>
                    </wps:wsp>
                  </a:graphicData>
                </a:graphic>
              </wp:anchor>
            </w:drawing>
          </mc:Choice>
          <mc:Fallback>
            <w:pict>
              <v:rect id="Shape 72" o:spid="_x0000_s1097" style="position:absolute;margin-left:0pt;margin-top:-25.4499pt;width:289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mc:AlternateContent>
          <mc:Choice Requires="wps">
            <w:drawing>
              <wp:anchor simplePos="0" relativeHeight="251657728" behindDoc="1" locked="0" layoutInCell="0" allowOverlap="1">
                <wp:simplePos x="0" y="0"/>
                <wp:positionH relativeFrom="column">
                  <wp:posOffset>3670300</wp:posOffset>
                </wp:positionH>
                <wp:positionV relativeFrom="paragraph">
                  <wp:posOffset>-323215</wp:posOffset>
                </wp:positionV>
                <wp:extent cx="3187700" cy="15494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7700" cy="154940"/>
                        </a:xfrm>
                        <a:prstGeom prst="rect">
                          <a:avLst/>
                        </a:prstGeom>
                        <a:solidFill>
                          <a:srgbClr val="E6E6E6"/>
                        </a:solidFill>
                      </wps:spPr>
                      <wps:bodyPr/>
                    </wps:wsp>
                  </a:graphicData>
                </a:graphic>
              </wp:anchor>
            </w:drawing>
          </mc:Choice>
          <mc:Fallback>
            <w:pict>
              <v:rect id="Shape 73" o:spid="_x0000_s1098" style="position:absolute;margin-left:289pt;margin-top:-25.4499pt;width:251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ectPr>
          <w:pgSz w:w="12240" w:h="15840" w:orient="portrait"/>
          <w:cols w:equalWidth="0" w:num="1">
            <w:col w:w="10800"/>
          </w:cols>
          <w:pgMar w:left="720" w:top="696" w:right="7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800"/>
          </w:cols>
          <w:pgMar w:left="720" w:top="696" w:right="720" w:bottom="175" w:gutter="0" w:footer="0" w:header="0"/>
          <w:type w:val="continuous"/>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 in Associates</w:t>
      </w:r>
    </w:p>
    <w:p>
      <w:pPr>
        <w:spacing w:after="0" w:line="280" w:lineRule="exact"/>
        <w:rPr>
          <w:sz w:val="20"/>
          <w:szCs w:val="20"/>
          <w:color w:val="auto"/>
        </w:rPr>
      </w:pPr>
    </w:p>
    <w:p>
      <w:pPr>
        <w:ind w:left="500" w:right="40"/>
        <w:spacing w:after="0" w:line="252" w:lineRule="auto"/>
        <w:rPr>
          <w:sz w:val="20"/>
          <w:szCs w:val="20"/>
          <w:color w:val="auto"/>
        </w:rPr>
      </w:pPr>
      <w:r>
        <w:rPr>
          <w:rFonts w:ascii="Times New Roman" w:cs="Times New Roman" w:eastAsia="Times New Roman" w:hAnsi="Times New Roman"/>
          <w:sz w:val="20"/>
          <w:szCs w:val="20"/>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Accounting policies of associates have been adjusted where necessary to ensure consistency with the policies adopted by the Company.</w:t>
      </w:r>
    </w:p>
    <w:p>
      <w:pPr>
        <w:spacing w:after="0" w:line="184" w:lineRule="exact"/>
        <w:rPr>
          <w:sz w:val="20"/>
          <w:szCs w:val="20"/>
          <w:color w:val="auto"/>
        </w:rPr>
      </w:pPr>
    </w:p>
    <w:p>
      <w:pPr>
        <w:ind w:left="500" w:right="220"/>
        <w:spacing w:after="0" w:line="247" w:lineRule="auto"/>
        <w:rPr>
          <w:sz w:val="20"/>
          <w:szCs w:val="20"/>
          <w:color w:val="auto"/>
        </w:rPr>
      </w:pPr>
      <w:r>
        <w:rPr>
          <w:rFonts w:ascii="Times New Roman" w:cs="Times New Roman" w:eastAsia="Times New Roman" w:hAnsi="Times New Roman"/>
          <w:sz w:val="20"/>
          <w:szCs w:val="20"/>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190" w:lineRule="exact"/>
        <w:rPr>
          <w:sz w:val="20"/>
          <w:szCs w:val="20"/>
          <w:color w:val="auto"/>
        </w:rPr>
      </w:pPr>
    </w:p>
    <w:p>
      <w:pPr>
        <w:ind w:left="500"/>
        <w:spacing w:after="0" w:line="249" w:lineRule="auto"/>
        <w:rPr>
          <w:sz w:val="20"/>
          <w:szCs w:val="20"/>
          <w:color w:val="auto"/>
        </w:rPr>
      </w:pPr>
      <w:r>
        <w:rPr>
          <w:rFonts w:ascii="Times New Roman" w:cs="Times New Roman" w:eastAsia="Times New Roman" w:hAnsi="Times New Roman"/>
          <w:sz w:val="20"/>
          <w:szCs w:val="20"/>
          <w:color w:val="auto"/>
        </w:rPr>
        <w:t>On November 5, 2024 (the “Transaction Date”), the Company acquired a noncontrolling financial interest in Agrify Corporation (“Agrify”), a related-party, in exchange for $18,280 thousand in cash and Subordinate Voting Shares of Green Thumb. As part of the Transaction, the Company also acquired warrants that would allow the Company to extend its ownership stake if exercised. Separately, Agrify's Board of Directors appointed Benjamin Kovler as its Chairman and Interim CEO and Armon Vakali, Vice President, Strategic Initiatives and Partnerships of Green Thumb, as a member of its Board.</w:t>
      </w:r>
    </w:p>
    <w:p>
      <w:pPr>
        <w:spacing w:after="0" w:line="187" w:lineRule="exact"/>
        <w:rPr>
          <w:sz w:val="20"/>
          <w:szCs w:val="20"/>
          <w:color w:val="auto"/>
        </w:rPr>
      </w:pPr>
    </w:p>
    <w:p>
      <w:pPr>
        <w:ind w:left="500" w:right="160"/>
        <w:spacing w:after="0" w:line="249" w:lineRule="auto"/>
        <w:rPr>
          <w:sz w:val="20"/>
          <w:szCs w:val="20"/>
          <w:color w:val="auto"/>
        </w:rPr>
      </w:pPr>
      <w:r>
        <w:rPr>
          <w:rFonts w:ascii="Times New Roman" w:cs="Times New Roman" w:eastAsia="Times New Roman" w:hAnsi="Times New Roman"/>
          <w:sz w:val="20"/>
          <w:szCs w:val="20"/>
          <w:color w:val="auto"/>
        </w:rPr>
        <w:t>As of the Transaction Date, the carrying value of the Company’s investment in Agrify exceeded its proportionate share of the net assets of Agrify by approximately $12,700 thousand. The premium was recognized as part of the carrying value in the Company’s equity investment in Agrify. The difference was attributed to goodwill in Agrify. The equity method goodwill will not be amortized, but tested for impairment to the extent impairment indicators exist. As of December 31, 2024, no such impairment indicators were identified.</w:t>
      </w:r>
    </w:p>
    <w:p>
      <w:pPr>
        <w:spacing w:after="0" w:line="303" w:lineRule="exact"/>
        <w:rPr>
          <w:sz w:val="20"/>
          <w:szCs w:val="20"/>
          <w:color w:val="auto"/>
        </w:rPr>
      </w:pPr>
    </w:p>
    <w:p>
      <w:pPr>
        <w:ind w:left="980" w:hanging="491"/>
        <w:spacing w:after="0"/>
        <w:tabs>
          <w:tab w:leader="none" w:pos="98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Non-controlling Interests</w:t>
      </w:r>
    </w:p>
    <w:p>
      <w:pPr>
        <w:spacing w:after="0" w:line="280" w:lineRule="exact"/>
        <w:rPr>
          <w:sz w:val="20"/>
          <w:szCs w:val="20"/>
          <w:color w:val="auto"/>
        </w:rPr>
      </w:pPr>
    </w:p>
    <w:p>
      <w:pPr>
        <w:ind w:left="500" w:right="20"/>
        <w:spacing w:after="0" w:line="246" w:lineRule="auto"/>
        <w:rPr>
          <w:sz w:val="20"/>
          <w:szCs w:val="20"/>
          <w:color w:val="auto"/>
        </w:rPr>
      </w:pPr>
      <w:r>
        <w:rPr>
          <w:rFonts w:ascii="Times New Roman" w:cs="Times New Roman" w:eastAsia="Times New Roman" w:hAnsi="Times New Roman"/>
          <w:sz w:val="20"/>
          <w:szCs w:val="20"/>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Green Thumb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306" w:lineRule="exact"/>
        <w:rPr>
          <w:sz w:val="20"/>
          <w:szCs w:val="20"/>
          <w:color w:val="auto"/>
        </w:rPr>
      </w:pPr>
    </w:p>
    <w:p>
      <w:pPr>
        <w:ind w:left="980" w:hanging="491"/>
        <w:spacing w:after="0"/>
        <w:tabs>
          <w:tab w:leader="none" w:pos="98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and Cash Equivalents</w:t>
      </w:r>
    </w:p>
    <w:p>
      <w:pPr>
        <w:spacing w:after="0" w:line="280" w:lineRule="exact"/>
        <w:rPr>
          <w:sz w:val="20"/>
          <w:szCs w:val="20"/>
          <w:color w:val="auto"/>
        </w:rPr>
      </w:pPr>
    </w:p>
    <w:p>
      <w:pPr>
        <w:ind w:left="500" w:right="300"/>
        <w:spacing w:after="0" w:line="277" w:lineRule="auto"/>
        <w:rPr>
          <w:sz w:val="20"/>
          <w:szCs w:val="20"/>
          <w:color w:val="auto"/>
        </w:rPr>
      </w:pPr>
      <w:r>
        <w:rPr>
          <w:rFonts w:ascii="Times New Roman" w:cs="Times New Roman" w:eastAsia="Times New Roman" w:hAnsi="Times New Roman"/>
          <w:sz w:val="20"/>
          <w:szCs w:val="20"/>
          <w:color w:val="auto"/>
        </w:rPr>
        <w:t>Cash and cash equivalents include cash deposits in financial institutions, other deposits that are readily convertible into cash, with original maturities of three months or less, and cash held at retail locations.</w:t>
      </w:r>
    </w:p>
    <w:p>
      <w:pPr>
        <w:sectPr>
          <w:pgSz w:w="12240" w:h="15840" w:orient="portrait"/>
          <w:cols w:equalWidth="0" w:num="1">
            <w:col w:w="10780"/>
          </w:cols>
          <w:pgMar w:left="720" w:top="696" w:right="7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780"/>
          </w:cols>
          <w:pgMar w:left="720" w:top="696" w:right="740" w:bottom="175"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Accounts and Notes Receivable</w:t>
      </w:r>
    </w:p>
    <w:p>
      <w:pPr>
        <w:spacing w:after="0" w:line="280" w:lineRule="exact"/>
        <w:rPr>
          <w:sz w:val="20"/>
          <w:szCs w:val="20"/>
          <w:color w:val="auto"/>
        </w:rPr>
      </w:pPr>
    </w:p>
    <w:p>
      <w:pPr>
        <w:ind w:left="500" w:right="40"/>
        <w:spacing w:after="0" w:line="249" w:lineRule="auto"/>
        <w:rPr>
          <w:sz w:val="20"/>
          <w:szCs w:val="20"/>
          <w:color w:val="auto"/>
        </w:rPr>
      </w:pPr>
      <w:r>
        <w:rPr>
          <w:rFonts w:ascii="Times New Roman" w:cs="Times New Roman" w:eastAsia="Times New Roman" w:hAnsi="Times New Roman"/>
          <w:sz w:val="20"/>
          <w:szCs w:val="20"/>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years ended December 31, 2024 and 2023 the Company recorded approximately $4,484 thousand and $1,658 thousand, respectively, in allowance for doubtful accounts. During the years ended December 31, 2024, 2023 and 2022, the Company recorded bad debt expense of $3,088 thousand, $729 thousand and $423 thousand, respectively.</w:t>
      </w:r>
    </w:p>
    <w:p>
      <w:pPr>
        <w:spacing w:after="0" w:line="187" w:lineRule="exact"/>
        <w:rPr>
          <w:sz w:val="20"/>
          <w:szCs w:val="20"/>
          <w:color w:val="auto"/>
        </w:rPr>
      </w:pPr>
    </w:p>
    <w:p>
      <w:pPr>
        <w:ind w:left="500"/>
        <w:spacing w:after="0" w:line="246" w:lineRule="auto"/>
        <w:rPr>
          <w:sz w:val="20"/>
          <w:szCs w:val="20"/>
          <w:color w:val="auto"/>
        </w:rPr>
      </w:pPr>
      <w:r>
        <w:rPr>
          <w:rFonts w:ascii="Times New Roman" w:cs="Times New Roman" w:eastAsia="Times New Roman" w:hAnsi="Times New Roman"/>
          <w:sz w:val="20"/>
          <w:szCs w:val="20"/>
          <w:color w:val="auto"/>
        </w:rPr>
        <w:t>Notes receivable are initially recorded at their fair value, which generally reflects the face value of the instrument. Notes receivable are subsequently carried at amortized cost minus impairment. Allowance for the uncollectibility of notes receivable is evaluated individually based on specific credit risk characteristics, including the borrower’s financial condition, collateral and payment history. During the year ended December 31, 2024, the Company extended a convertible secured note to Agrify, a related-party, the carrying value of which was $10,000 thousand as of the period then ended. The convertible note receivable matures on November 5, 2025, bears interest of 10% per annum and was recorded within other current assets on the Company's consolidated balance sheets.</w:t>
      </w:r>
    </w:p>
    <w:p>
      <w:pPr>
        <w:spacing w:after="0" w:line="306" w:lineRule="exact"/>
        <w:rPr>
          <w:sz w:val="20"/>
          <w:szCs w:val="20"/>
          <w:color w:val="auto"/>
        </w:rPr>
      </w:pPr>
    </w:p>
    <w:p>
      <w:pPr>
        <w:ind w:left="980" w:hanging="491"/>
        <w:spacing w:after="0"/>
        <w:tabs>
          <w:tab w:leader="none" w:pos="98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80" w:lineRule="exact"/>
        <w:rPr>
          <w:sz w:val="20"/>
          <w:szCs w:val="20"/>
          <w:color w:val="auto"/>
        </w:rPr>
      </w:pPr>
    </w:p>
    <w:p>
      <w:pPr>
        <w:ind w:left="500" w:right="160"/>
        <w:spacing w:after="0" w:line="277" w:lineRule="auto"/>
        <w:rPr>
          <w:sz w:val="20"/>
          <w:szCs w:val="20"/>
          <w:color w:val="auto"/>
        </w:rPr>
      </w:pPr>
      <w:r>
        <w:rPr>
          <w:rFonts w:ascii="Times New Roman" w:cs="Times New Roman" w:eastAsia="Times New Roman" w:hAnsi="Times New Roman"/>
          <w:sz w:val="20"/>
          <w:szCs w:val="20"/>
          <w:color w:val="auto"/>
        </w:rPr>
        <w:t>Inventories of purchased finished goods and packing materials are initially valued at cost and subsequently at the lower of cost and net realizable value.</w:t>
      </w:r>
    </w:p>
    <w:p>
      <w:pPr>
        <w:spacing w:after="0" w:line="159" w:lineRule="exact"/>
        <w:rPr>
          <w:sz w:val="20"/>
          <w:szCs w:val="20"/>
          <w:color w:val="auto"/>
        </w:rPr>
      </w:pPr>
    </w:p>
    <w:p>
      <w:pPr>
        <w:ind w:left="500" w:right="520"/>
        <w:spacing w:after="0" w:line="258" w:lineRule="auto"/>
        <w:rPr>
          <w:sz w:val="20"/>
          <w:szCs w:val="20"/>
          <w:color w:val="auto"/>
        </w:rPr>
      </w:pPr>
      <w:r>
        <w:rPr>
          <w:rFonts w:ascii="Times New Roman" w:cs="Times New Roman" w:eastAsia="Times New Roman" w:hAnsi="Times New Roman"/>
          <w:sz w:val="20"/>
          <w:szCs w:val="20"/>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178" w:lineRule="exact"/>
        <w:rPr>
          <w:sz w:val="20"/>
          <w:szCs w:val="20"/>
          <w:color w:val="auto"/>
        </w:rPr>
      </w:pPr>
    </w:p>
    <w:p>
      <w:pPr>
        <w:ind w:left="500" w:right="300"/>
        <w:spacing w:after="0" w:line="270" w:lineRule="auto"/>
        <w:rPr>
          <w:sz w:val="20"/>
          <w:szCs w:val="20"/>
          <w:color w:val="auto"/>
        </w:rPr>
      </w:pPr>
      <w:r>
        <w:rPr>
          <w:rFonts w:ascii="Times New Roman" w:cs="Times New Roman" w:eastAsia="Times New Roman" w:hAnsi="Times New Roman"/>
          <w:sz w:val="19"/>
          <w:szCs w:val="19"/>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283" w:lineRule="exact"/>
        <w:rPr>
          <w:sz w:val="20"/>
          <w:szCs w:val="20"/>
          <w:color w:val="auto"/>
        </w:rPr>
      </w:pPr>
    </w:p>
    <w:p>
      <w:pPr>
        <w:ind w:left="980" w:hanging="491"/>
        <w:spacing w:after="0"/>
        <w:tabs>
          <w:tab w:leader="none" w:pos="98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80" w:lineRule="exact"/>
        <w:rPr>
          <w:sz w:val="20"/>
          <w:szCs w:val="20"/>
          <w:color w:val="auto"/>
        </w:rPr>
      </w:pPr>
    </w:p>
    <w:p>
      <w:pPr>
        <w:ind w:left="500" w:right="340"/>
        <w:spacing w:after="0" w:line="252" w:lineRule="auto"/>
        <w:rPr>
          <w:sz w:val="20"/>
          <w:szCs w:val="20"/>
          <w:color w:val="auto"/>
        </w:rPr>
      </w:pPr>
      <w:r>
        <w:rPr>
          <w:rFonts w:ascii="Times New Roman" w:cs="Times New Roman" w:eastAsia="Times New Roman" w:hAnsi="Times New Roman"/>
          <w:sz w:val="20"/>
          <w:szCs w:val="20"/>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Land</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Not</w:t>
            </w:r>
          </w:p>
        </w:tc>
        <w:tc>
          <w:tcPr>
            <w:tcW w:w="14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Depreciated</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Land Improvements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30 Years</w:t>
            </w:r>
          </w:p>
        </w:tc>
      </w:t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Buildings and Improvements</w:t>
            </w:r>
          </w:p>
        </w:tc>
        <w:tc>
          <w:tcPr>
            <w:tcW w:w="920" w:type="dxa"/>
            <w:vAlign w:val="bottom"/>
            <w:shd w:val="clear" w:color="auto" w:fill="E6E6E6"/>
          </w:tcPr>
          <w:p>
            <w:pPr>
              <w:spacing w:after="0"/>
              <w:rPr>
                <w:sz w:val="19"/>
                <w:szCs w:val="19"/>
                <w:color w:val="auto"/>
              </w:rPr>
            </w:pPr>
          </w:p>
        </w:tc>
        <w:tc>
          <w:tcPr>
            <w:tcW w:w="14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39 Years</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Furniture and Fixtures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7 Years</w:t>
            </w:r>
          </w:p>
        </w:tc>
      </w:t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Computer Equipment and Software</w:t>
            </w:r>
          </w:p>
        </w:tc>
        <w:tc>
          <w:tcPr>
            <w:tcW w:w="920" w:type="dxa"/>
            <w:vAlign w:val="bottom"/>
            <w:shd w:val="clear" w:color="auto" w:fill="E6E6E6"/>
          </w:tcPr>
          <w:p>
            <w:pPr>
              <w:spacing w:after="0"/>
              <w:rPr>
                <w:sz w:val="19"/>
                <w:szCs w:val="19"/>
                <w:color w:val="auto"/>
              </w:rPr>
            </w:pPr>
          </w:p>
        </w:tc>
        <w:tc>
          <w:tcPr>
            <w:tcW w:w="14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5 Years</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Leasehold Improvements</w:t>
            </w:r>
          </w:p>
        </w:tc>
        <w:tc>
          <w:tcPr>
            <w:tcW w:w="23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Remaining Life of Lease</w:t>
            </w:r>
          </w:p>
        </w:tc>
      </w:t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Production and Processing Equipment</w:t>
            </w: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4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 7 Years</w:t>
            </w:r>
          </w:p>
        </w:tc>
      </w:tr>
      <w:tr>
        <w:trPr>
          <w:trHeight w:val="266"/>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Assets Under Construction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Not</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Depreciated</w:t>
            </w:r>
          </w:p>
        </w:tc>
      </w:tr>
    </w:tbl>
    <w:p>
      <w:pPr>
        <w:spacing w:after="0" w:line="174" w:lineRule="exact"/>
        <w:rPr>
          <w:sz w:val="20"/>
          <w:szCs w:val="20"/>
          <w:color w:val="auto"/>
        </w:rPr>
      </w:pPr>
    </w:p>
    <w:p>
      <w:pPr>
        <w:ind w:left="500" w:right="440"/>
        <w:spacing w:after="0" w:line="252" w:lineRule="auto"/>
        <w:rPr>
          <w:sz w:val="20"/>
          <w:szCs w:val="20"/>
          <w:color w:val="auto"/>
        </w:rPr>
      </w:pPr>
      <w:r>
        <w:rPr>
          <w:rFonts w:ascii="Times New Roman" w:cs="Times New Roman" w:eastAsia="Times New Roman" w:hAnsi="Times New Roman"/>
          <w:sz w:val="20"/>
          <w:szCs w:val="20"/>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780"/>
          </w:cols>
          <w:pgMar w:left="720" w:top="696" w:right="740" w:bottom="186" w:gutter="0" w:footer="0" w:header="0"/>
          <w:type w:val="continuous"/>
        </w:sectPr>
      </w:pPr>
    </w:p>
    <w:bookmarkStart w:id="89" w:name="page90"/>
    <w:bookmarkEnd w:id="89"/>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480"/>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60" w:hanging="500"/>
        <w:spacing w:after="0"/>
        <w:tabs>
          <w:tab w:leader="none" w:pos="560" w:val="left"/>
        </w:tabs>
        <w:numPr>
          <w:ilvl w:val="1"/>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0" w:lineRule="exact"/>
        <w:rPr>
          <w:rFonts w:ascii="Times New Roman" w:cs="Times New Roman" w:eastAsia="Times New Roman" w:hAnsi="Times New Roman"/>
          <w:sz w:val="20"/>
          <w:szCs w:val="20"/>
          <w:b w:val="1"/>
          <w:bCs w:val="1"/>
          <w:color w:val="auto"/>
        </w:rPr>
      </w:pPr>
    </w:p>
    <w:p>
      <w:pPr>
        <w:spacing w:after="0" w:line="276" w:lineRule="exact"/>
        <w:rPr>
          <w:rFonts w:ascii="Times New Roman" w:cs="Times New Roman" w:eastAsia="Times New Roman" w:hAnsi="Times New Roman"/>
          <w:sz w:val="20"/>
          <w:szCs w:val="20"/>
          <w:b w:val="1"/>
          <w:bCs w:val="1"/>
          <w:color w:val="auto"/>
        </w:rPr>
      </w:pPr>
    </w:p>
    <w:p>
      <w:pPr>
        <w:ind w:left="500" w:hanging="491"/>
        <w:spacing w:after="0"/>
        <w:tabs>
          <w:tab w:leader="none" w:pos="500" w:val="left"/>
        </w:tabs>
        <w:numPr>
          <w:ilvl w:val="0"/>
          <w:numId w:val="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Property and Equipment </w:t>
      </w:r>
      <w:r>
        <w:rPr>
          <w:rFonts w:ascii="Times New Roman" w:cs="Times New Roman" w:eastAsia="Times New Roman" w:hAnsi="Times New Roman"/>
          <w:sz w:val="20"/>
          <w:szCs w:val="20"/>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-323215</wp:posOffset>
                </wp:positionH>
                <wp:positionV relativeFrom="paragraph">
                  <wp:posOffset>-357505</wp:posOffset>
                </wp:positionV>
                <wp:extent cx="689483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99pt,-28.1499pt" to="517.45pt,-28.1499pt" o:allowincell="f" strokecolor="#000000" strokeweight="0.75pt"/>
            </w:pict>
          </mc:Fallback>
        </mc:AlternateContent>
      </w:r>
    </w:p>
    <w:p>
      <w:pPr>
        <w:spacing w:after="0" w:line="260" w:lineRule="exact"/>
        <w:rPr>
          <w:sz w:val="20"/>
          <w:szCs w:val="20"/>
          <w:color w:val="auto"/>
        </w:rPr>
      </w:pPr>
    </w:p>
    <w:p>
      <w:pPr>
        <w:ind w:left="20" w:right="80"/>
        <w:spacing w:after="0" w:line="243" w:lineRule="auto"/>
        <w:rPr>
          <w:sz w:val="20"/>
          <w:szCs w:val="20"/>
          <w:color w:val="auto"/>
        </w:rPr>
      </w:pPr>
      <w:r>
        <w:rPr>
          <w:rFonts w:ascii="Times New Roman" w:cs="Times New Roman" w:eastAsia="Times New Roman" w:hAnsi="Times New Roman"/>
          <w:sz w:val="20"/>
          <w:szCs w:val="20"/>
          <w:color w:val="auto"/>
        </w:rPr>
        <w:t>The Company evaluates the recoverability of other long-lived assets, including property, plant and equipment, and certain identifiable intangible assets, whenever events or changes in circumstances indicate that the carrying value of an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 During the years ended December 31, 2024, 2023 and 2022, the Company recorded impairment charges of $450 thousand, $5,467 thousand and $1,419 thousand respectively, within selling, general, and administrative expenses on the consolidated statement of operations.</w:t>
      </w:r>
    </w:p>
    <w:p>
      <w:pPr>
        <w:spacing w:after="0" w:line="309" w:lineRule="exact"/>
        <w:rPr>
          <w:sz w:val="20"/>
          <w:szCs w:val="20"/>
          <w:color w:val="auto"/>
        </w:rPr>
      </w:pPr>
    </w:p>
    <w:p>
      <w:pPr>
        <w:ind w:left="500" w:hanging="491"/>
        <w:spacing w:after="0"/>
        <w:tabs>
          <w:tab w:leader="none" w:pos="50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280" w:lineRule="exact"/>
        <w:rPr>
          <w:sz w:val="20"/>
          <w:szCs w:val="20"/>
          <w:color w:val="auto"/>
        </w:rPr>
      </w:pPr>
    </w:p>
    <w:p>
      <w:pPr>
        <w:ind w:left="20" w:right="220"/>
        <w:spacing w:after="0" w:line="249" w:lineRule="auto"/>
        <w:rPr>
          <w:sz w:val="20"/>
          <w:szCs w:val="20"/>
          <w:color w:val="auto"/>
        </w:rPr>
      </w:pPr>
      <w:r>
        <w:rPr>
          <w:rFonts w:ascii="Times New Roman" w:cs="Times New Roman" w:eastAsia="Times New Roman" w:hAnsi="Times New Roman"/>
          <w:sz w:val="20"/>
          <w:szCs w:val="20"/>
          <w:color w:val="auto"/>
        </w:rPr>
        <w:t>Notes receivable instruments and investments in equity of private companies represent financial assets without readily determinable fair values. The Company measures such investments at cost minus impairment, plus or minus changes resulting from observable price changes in orderly transactions for identical or similar investments of the same issuer. Subsequent changes in fair value are recognized in profit or loss. The Company performs an assessment on a quarterly basis to determine whether triggering events for impairment exist.</w:t>
      </w:r>
    </w:p>
    <w:p>
      <w:pPr>
        <w:spacing w:after="0" w:line="303" w:lineRule="exact"/>
        <w:rPr>
          <w:sz w:val="20"/>
          <w:szCs w:val="20"/>
          <w:color w:val="auto"/>
        </w:rPr>
      </w:pPr>
    </w:p>
    <w:p>
      <w:pPr>
        <w:ind w:left="500" w:hanging="491"/>
        <w:spacing w:after="0"/>
        <w:tabs>
          <w:tab w:leader="none" w:pos="50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w:t>
      </w:r>
    </w:p>
    <w:p>
      <w:pPr>
        <w:spacing w:after="0" w:line="280" w:lineRule="exact"/>
        <w:rPr>
          <w:sz w:val="20"/>
          <w:szCs w:val="20"/>
          <w:color w:val="auto"/>
        </w:rPr>
      </w:pPr>
    </w:p>
    <w:p>
      <w:pPr>
        <w:ind w:left="20" w:right="120"/>
        <w:spacing w:after="0" w:line="252" w:lineRule="auto"/>
        <w:rPr>
          <w:sz w:val="20"/>
          <w:szCs w:val="20"/>
          <w:color w:val="auto"/>
        </w:rPr>
      </w:pPr>
      <w:r>
        <w:rPr>
          <w:rFonts w:ascii="Times New Roman" w:cs="Times New Roman" w:eastAsia="Times New Roman" w:hAnsi="Times New Roman"/>
          <w:sz w:val="20"/>
          <w:szCs w:val="20"/>
          <w:color w:val="auto"/>
        </w:rPr>
        <w:t>Intangible assets are recorded at cost less accumulated amortization and impairment losses, if any. Intangible assets acquired in a business combination are measured at fair value at the acquisition date. Amortization periods of assets with finite lives are based on management’s estimates at the date of acquisition and were as follows for each class of intangible asset as of December 31, 2024:</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Licenses and Permits</w:t>
            </w:r>
          </w:p>
        </w:tc>
        <w:tc>
          <w:tcPr>
            <w:tcW w:w="2360" w:type="dxa"/>
            <w:vAlign w:val="bottom"/>
            <w:shd w:val="clear" w:color="auto" w:fill="E6E6E6"/>
          </w:tcPr>
          <w:p>
            <w:pPr>
              <w:jc w:val="center"/>
              <w:ind w:left="120"/>
              <w:spacing w:after="0"/>
              <w:rPr>
                <w:sz w:val="20"/>
                <w:szCs w:val="20"/>
                <w:color w:val="auto"/>
              </w:rPr>
            </w:pPr>
            <w:r>
              <w:rPr>
                <w:rFonts w:ascii="Times New Roman" w:cs="Times New Roman" w:eastAsia="Times New Roman" w:hAnsi="Times New Roman"/>
                <w:sz w:val="20"/>
                <w:szCs w:val="20"/>
                <w:color w:val="auto"/>
                <w:w w:val="98"/>
              </w:rPr>
              <w:t>15 years</w:t>
            </w:r>
          </w:p>
        </w:tc>
      </w:tr>
      <w:tr>
        <w:trPr>
          <w:trHeight w:val="230"/>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Tradenames</w:t>
            </w:r>
          </w:p>
        </w:tc>
        <w:tc>
          <w:tcPr>
            <w:tcW w:w="2360" w:type="dxa"/>
            <w:vAlign w:val="bottom"/>
          </w:tcPr>
          <w:p>
            <w:pPr>
              <w:jc w:val="center"/>
              <w:ind w:left="100"/>
              <w:spacing w:after="0"/>
              <w:rPr>
                <w:sz w:val="20"/>
                <w:szCs w:val="20"/>
                <w:color w:val="auto"/>
              </w:rPr>
            </w:pPr>
            <w:r>
              <w:rPr>
                <w:rFonts w:ascii="Times New Roman" w:cs="Times New Roman" w:eastAsia="Times New Roman" w:hAnsi="Times New Roman"/>
                <w:sz w:val="20"/>
                <w:szCs w:val="20"/>
                <w:color w:val="auto"/>
              </w:rPr>
              <w:t>5-15 years</w:t>
            </w:r>
          </w:p>
        </w:tc>
      </w:tr>
      <w:tr>
        <w:trPr>
          <w:trHeight w:val="230"/>
        </w:trPr>
        <w:tc>
          <w:tcPr>
            <w:tcW w:w="432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Customer Relationships</w:t>
            </w:r>
          </w:p>
        </w:tc>
        <w:tc>
          <w:tcPr>
            <w:tcW w:w="2360" w:type="dxa"/>
            <w:vAlign w:val="bottom"/>
            <w:shd w:val="clear" w:color="auto" w:fill="E6E6E6"/>
          </w:tcPr>
          <w:p>
            <w:pPr>
              <w:jc w:val="center"/>
              <w:ind w:left="120"/>
              <w:spacing w:after="0"/>
              <w:rPr>
                <w:sz w:val="20"/>
                <w:szCs w:val="20"/>
                <w:color w:val="auto"/>
              </w:rPr>
            </w:pPr>
            <w:r>
              <w:rPr>
                <w:rFonts w:ascii="Times New Roman" w:cs="Times New Roman" w:eastAsia="Times New Roman" w:hAnsi="Times New Roman"/>
                <w:sz w:val="20"/>
                <w:szCs w:val="20"/>
                <w:color w:val="auto"/>
              </w:rPr>
              <w:t>7 years</w:t>
            </w:r>
          </w:p>
        </w:tc>
      </w:tr>
      <w:tr>
        <w:trPr>
          <w:trHeight w:val="266"/>
        </w:trPr>
        <w:tc>
          <w:tcPr>
            <w:tcW w:w="43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Non-competition Agreement</w:t>
            </w:r>
          </w:p>
        </w:tc>
        <w:tc>
          <w:tcPr>
            <w:tcW w:w="236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rPr>
              <w:t>5 years</w:t>
            </w:r>
          </w:p>
        </w:tc>
      </w:tr>
    </w:tbl>
    <w:p>
      <w:pPr>
        <w:spacing w:after="0" w:line="174" w:lineRule="exact"/>
        <w:rPr>
          <w:sz w:val="20"/>
          <w:szCs w:val="20"/>
          <w:color w:val="auto"/>
        </w:rPr>
      </w:pPr>
    </w:p>
    <w:p>
      <w:pPr>
        <w:ind w:left="20" w:right="100"/>
        <w:spacing w:after="0" w:line="277" w:lineRule="auto"/>
        <w:rPr>
          <w:sz w:val="20"/>
          <w:szCs w:val="20"/>
          <w:color w:val="auto"/>
        </w:rPr>
      </w:pPr>
      <w:r>
        <w:rPr>
          <w:rFonts w:ascii="Times New Roman" w:cs="Times New Roman" w:eastAsia="Times New Roman" w:hAnsi="Times New Roman"/>
          <w:sz w:val="20"/>
          <w:szCs w:val="20"/>
          <w:color w:val="auto"/>
        </w:rPr>
        <w:t>Intangible assets with finite lives are amortized over their estimated useful lives. The estimated useful lives, residual values and amortization methods are reviewed at each year end, and any changes in estimates are accounted for prospectively.</w:t>
      </w:r>
    </w:p>
    <w:p>
      <w:pPr>
        <w:spacing w:after="0" w:line="159" w:lineRule="exact"/>
        <w:rPr>
          <w:sz w:val="20"/>
          <w:szCs w:val="20"/>
          <w:color w:val="auto"/>
        </w:rPr>
      </w:pPr>
    </w:p>
    <w:p>
      <w:pPr>
        <w:ind w:left="20"/>
        <w:spacing w:after="0" w:line="251" w:lineRule="auto"/>
        <w:rPr>
          <w:sz w:val="20"/>
          <w:szCs w:val="20"/>
          <w:color w:val="auto"/>
        </w:rPr>
      </w:pPr>
      <w:r>
        <w:rPr>
          <w:rFonts w:ascii="Times New Roman" w:cs="Times New Roman" w:eastAsia="Times New Roman" w:hAnsi="Times New Roman"/>
          <w:sz w:val="20"/>
          <w:szCs w:val="20"/>
          <w:color w:val="auto"/>
        </w:rPr>
        <w:t>During the 2022 annual review, management determined that certain trade names associated with the 2019 acquisition of Integral Associates, LLC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Integral</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were impaired.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 such impairment charges were recorded during the years ended December 31, 2024 or 2023.</w:t>
      </w:r>
    </w:p>
    <w:p>
      <w:pPr>
        <w:sectPr>
          <w:pgSz w:w="12240" w:h="15840" w:orient="portrait"/>
          <w:cols w:equalWidth="0" w:num="1">
            <w:col w:w="10320"/>
          </w:cols>
          <w:pgMar w:left="120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320"/>
          </w:cols>
          <w:pgMar w:left="1200" w:top="696" w:right="720" w:bottom="186"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480"/>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(m)</w:t>
        <w:tab/>
        <w:t>Goodwill</w:t>
      </w:r>
    </w:p>
    <w:p>
      <w:pPr>
        <w:spacing w:after="0" w:line="280" w:lineRule="exact"/>
        <w:rPr>
          <w:sz w:val="20"/>
          <w:szCs w:val="20"/>
          <w:color w:val="auto"/>
        </w:rPr>
      </w:pPr>
    </w:p>
    <w:p>
      <w:pPr>
        <w:ind w:left="500" w:right="40"/>
        <w:spacing w:after="0" w:line="258" w:lineRule="auto"/>
        <w:rPr>
          <w:sz w:val="20"/>
          <w:szCs w:val="20"/>
          <w:color w:val="auto"/>
        </w:rPr>
      </w:pPr>
      <w:r>
        <w:rPr>
          <w:rFonts w:ascii="Times New Roman" w:cs="Times New Roman" w:eastAsia="Times New Roman" w:hAnsi="Times New Roman"/>
          <w:sz w:val="20"/>
          <w:szCs w:val="20"/>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178" w:lineRule="exact"/>
        <w:rPr>
          <w:sz w:val="20"/>
          <w:szCs w:val="20"/>
          <w:color w:val="auto"/>
        </w:rPr>
      </w:pPr>
    </w:p>
    <w:p>
      <w:pPr>
        <w:ind w:left="500" w:right="20"/>
        <w:spacing w:after="0" w:line="249" w:lineRule="auto"/>
        <w:rPr>
          <w:sz w:val="20"/>
          <w:szCs w:val="20"/>
          <w:color w:val="auto"/>
        </w:rPr>
      </w:pPr>
      <w:r>
        <w:rPr>
          <w:rFonts w:ascii="Times New Roman" w:cs="Times New Roman" w:eastAsia="Times New Roman" w:hAnsi="Times New Roman"/>
          <w:sz w:val="20"/>
          <w:szCs w:val="20"/>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as of October 1, for impairment or more frequently if events or circumstances indicate that the carrying value may not be recoverable. An impaired asset is written down to its estimated fair value based on the most recent information available.</w:t>
      </w:r>
    </w:p>
    <w:p>
      <w:pPr>
        <w:spacing w:after="0" w:line="187" w:lineRule="exact"/>
        <w:rPr>
          <w:sz w:val="20"/>
          <w:szCs w:val="20"/>
          <w:color w:val="auto"/>
        </w:rPr>
      </w:pPr>
    </w:p>
    <w:p>
      <w:pPr>
        <w:ind w:left="500"/>
        <w:spacing w:after="0" w:line="245" w:lineRule="auto"/>
        <w:rPr>
          <w:sz w:val="20"/>
          <w:szCs w:val="20"/>
          <w:color w:val="auto"/>
        </w:rPr>
      </w:pPr>
      <w:r>
        <w:rPr>
          <w:rFonts w:ascii="Times New Roman" w:cs="Times New Roman" w:eastAsia="Times New Roman" w:hAnsi="Times New Roman"/>
          <w:sz w:val="20"/>
          <w:szCs w:val="20"/>
          <w:color w:val="auto"/>
        </w:rPr>
        <w:t xml:space="preserve">The Company applies the guidance in </w:t>
      </w:r>
      <w:r>
        <w:rPr>
          <w:rFonts w:ascii="Times New Roman" w:cs="Times New Roman" w:eastAsia="Times New Roman" w:hAnsi="Times New Roman"/>
          <w:sz w:val="20"/>
          <w:szCs w:val="20"/>
          <w:i w:val="1"/>
          <w:iCs w:val="1"/>
          <w:color w:val="auto"/>
        </w:rPr>
        <w:t>Accounting Standards Update (“ASU”) 2011-08, Intangibles-Goodwill and Other-Testing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Goodwill for Impairment</w:t>
      </w:r>
      <w:r>
        <w:rPr>
          <w:rFonts w:ascii="Times New Roman" w:cs="Times New Roman" w:eastAsia="Times New Roman" w:hAnsi="Times New Roman"/>
          <w:sz w:val="20"/>
          <w:szCs w:val="20"/>
          <w:color w:val="auto"/>
        </w:rPr>
        <w:t>, which provides entities with an option to perform a qualitative assessment (commonly referred to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92" w:lineRule="exact"/>
        <w:rPr>
          <w:sz w:val="20"/>
          <w:szCs w:val="20"/>
          <w:color w:val="auto"/>
        </w:rPr>
      </w:pPr>
    </w:p>
    <w:p>
      <w:pPr>
        <w:jc w:val="both"/>
        <w:ind w:left="500" w:right="880"/>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performed the Step Zero analysis for its goodwill impairment test. As a result of the Company’s Step Zero analysis, no further quantitative impairment test was deemed necessary.</w:t>
      </w:r>
    </w:p>
    <w:p>
      <w:pPr>
        <w:spacing w:after="0" w:line="178" w:lineRule="exact"/>
        <w:rPr>
          <w:sz w:val="20"/>
          <w:szCs w:val="20"/>
          <w:color w:val="auto"/>
        </w:rPr>
      </w:pPr>
    </w:p>
    <w:p>
      <w:pPr>
        <w:ind w:left="500" w:right="20"/>
        <w:spacing w:after="0" w:line="249" w:lineRule="auto"/>
        <w:rPr>
          <w:sz w:val="20"/>
          <w:szCs w:val="20"/>
          <w:color w:val="auto"/>
        </w:rPr>
      </w:pPr>
      <w:r>
        <w:rPr>
          <w:rFonts w:ascii="Times New Roman" w:cs="Times New Roman" w:eastAsia="Times New Roman" w:hAnsi="Times New Roman"/>
          <w:sz w:val="20"/>
          <w:szCs w:val="20"/>
          <w:color w:val="auto"/>
        </w:rPr>
        <w:t xml:space="preserve">During 2022, the Company reevaluated its existing reporting units under the accounting guidance provided in </w:t>
      </w:r>
      <w:r>
        <w:rPr>
          <w:rFonts w:ascii="Times New Roman" w:cs="Times New Roman" w:eastAsia="Times New Roman" w:hAnsi="Times New Roman"/>
          <w:sz w:val="20"/>
          <w:szCs w:val="20"/>
          <w:i w:val="1"/>
          <w:iCs w:val="1"/>
          <w:color w:val="auto"/>
        </w:rPr>
        <w:t>Accounting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Standards Codification (“ASC”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280, Segment Reporting</w:t>
      </w:r>
      <w:r>
        <w:rPr>
          <w:rFonts w:ascii="Times New Roman" w:cs="Times New Roman" w:eastAsia="Times New Roman" w:hAnsi="Times New Roman"/>
          <w:sz w:val="20"/>
          <w:szCs w:val="20"/>
          <w:color w:val="auto"/>
        </w:rPr>
        <w:t>, and determined that the individual components within each respective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 were economically similar and thus, 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87" w:lineRule="exact"/>
        <w:rPr>
          <w:sz w:val="20"/>
          <w:szCs w:val="20"/>
          <w:color w:val="auto"/>
        </w:rPr>
      </w:pPr>
    </w:p>
    <w:p>
      <w:pPr>
        <w:ind w:left="500" w:right="220"/>
        <w:spacing w:after="0" w:line="277" w:lineRule="auto"/>
        <w:rPr>
          <w:sz w:val="20"/>
          <w:szCs w:val="20"/>
          <w:color w:val="auto"/>
        </w:rPr>
      </w:pPr>
      <w:r>
        <w:rPr>
          <w:rFonts w:ascii="Times New Roman" w:cs="Times New Roman" w:eastAsia="Times New Roman" w:hAnsi="Times New Roman"/>
          <w:sz w:val="20"/>
          <w:szCs w:val="20"/>
          <w:color w:val="auto"/>
        </w:rPr>
        <w:t>As part of the Company’s reevaluation of its reporting units, the accounting guidance required the reporting units be tested for impairment through a Step 1 quantitative analysis.</w:t>
      </w:r>
    </w:p>
    <w:p>
      <w:pPr>
        <w:spacing w:after="0" w:line="159" w:lineRule="exact"/>
        <w:rPr>
          <w:sz w:val="20"/>
          <w:szCs w:val="20"/>
          <w:color w:val="auto"/>
        </w:rPr>
      </w:pPr>
    </w:p>
    <w:p>
      <w:pPr>
        <w:ind w:left="500" w:right="40"/>
        <w:spacing w:after="0" w:line="249" w:lineRule="auto"/>
        <w:rPr>
          <w:sz w:val="20"/>
          <w:szCs w:val="20"/>
          <w:color w:val="auto"/>
        </w:rPr>
      </w:pPr>
      <w:r>
        <w:rPr>
          <w:rFonts w:ascii="Times New Roman" w:cs="Times New Roman" w:eastAsia="Times New Roman" w:hAnsi="Times New Roman"/>
          <w:sz w:val="20"/>
          <w:szCs w:val="20"/>
          <w:color w:val="auto"/>
        </w:rPr>
        <w:t>The analysis performed included estimating the fair value of each reporting unit using either an income or market approach. The income approach required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estimated fair value using comparable marketplace fair value data from within a comparable industry grouping.</w:t>
      </w:r>
    </w:p>
    <w:p>
      <w:pPr>
        <w:spacing w:after="0" w:line="187" w:lineRule="exact"/>
        <w:rPr>
          <w:sz w:val="20"/>
          <w:szCs w:val="20"/>
          <w:color w:val="auto"/>
        </w:rPr>
      </w:pPr>
    </w:p>
    <w:p>
      <w:pPr>
        <w:ind w:left="500" w:right="140"/>
        <w:spacing w:after="0" w:line="252" w:lineRule="auto"/>
        <w:rPr>
          <w:sz w:val="20"/>
          <w:szCs w:val="20"/>
          <w:color w:val="auto"/>
        </w:rPr>
      </w:pPr>
      <w:r>
        <w:rPr>
          <w:rFonts w:ascii="Times New Roman" w:cs="Times New Roman" w:eastAsia="Times New Roman" w:hAnsi="Times New Roman"/>
          <w:sz w:val="20"/>
          <w:szCs w:val="20"/>
          <w:color w:val="auto"/>
        </w:rPr>
        <w:t>As a result of the Company’s analysis, an impairment charge of $44,392 thousand associated with its Nevada Consumer Packaged Goods operations and $12,980 thousand associated with its Nevada Retail operations, was recorded during the year ended December 31, 2022, as the carrying value of the reporting units exceeded their estimated fair value by such amounts. No such impairment charges were recorded for the years ended December 31, 2024 or 2023.</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10800"/>
          </w:cols>
          <w:pgMar w:left="720" w:top="696" w:right="720" w:bottom="186" w:gutter="0" w:footer="0" w:header="0"/>
          <w:type w:val="continuous"/>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80" w:lineRule="exact"/>
        <w:rPr>
          <w:sz w:val="20"/>
          <w:szCs w:val="20"/>
          <w:color w:val="auto"/>
        </w:rPr>
      </w:pPr>
    </w:p>
    <w:p>
      <w:pPr>
        <w:ind w:left="500" w:right="60"/>
        <w:spacing w:after="0" w:line="249" w:lineRule="auto"/>
        <w:rPr>
          <w:sz w:val="20"/>
          <w:szCs w:val="20"/>
          <w:color w:val="auto"/>
        </w:rPr>
      </w:pPr>
      <w:r>
        <w:rPr>
          <w:rFonts w:ascii="Times New Roman" w:cs="Times New Roman" w:eastAsia="Times New Roman" w:hAnsi="Times New Roman"/>
          <w:sz w:val="20"/>
          <w:szCs w:val="20"/>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187"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0"/>
          <w:szCs w:val="20"/>
          <w:color w:val="auto"/>
        </w:rPr>
        <w:t>Deferred tax assets and liabilities are measured using the enacted taxes rates. The effect on deferred tax assets and liabilities of a change in tax law or tax rates is recognized in income in the period that enactment occurs. As discussed further in Note 11— Income Taxes, the Company is subject to the limitations of Internal Revenue Code of 1986, as amended (“IRC”) Section 280E.</w:t>
      </w:r>
    </w:p>
    <w:p>
      <w:pPr>
        <w:spacing w:after="0" w:line="294" w:lineRule="exact"/>
        <w:rPr>
          <w:sz w:val="20"/>
          <w:szCs w:val="20"/>
          <w:color w:val="auto"/>
        </w:rPr>
      </w:pPr>
    </w:p>
    <w:p>
      <w:pPr>
        <w:ind w:left="980" w:hanging="491"/>
        <w:spacing w:after="0"/>
        <w:tabs>
          <w:tab w:leader="none" w:pos="98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280" w:lineRule="exact"/>
        <w:rPr>
          <w:sz w:val="20"/>
          <w:szCs w:val="20"/>
          <w:color w:val="auto"/>
        </w:rPr>
      </w:pPr>
    </w:p>
    <w:p>
      <w:pPr>
        <w:ind w:left="500" w:right="60"/>
        <w:spacing w:after="0" w:line="252" w:lineRule="auto"/>
        <w:rPr>
          <w:sz w:val="20"/>
          <w:szCs w:val="20"/>
          <w:color w:val="auto"/>
        </w:rPr>
      </w:pPr>
      <w:r>
        <w:rPr>
          <w:rFonts w:ascii="Times New Roman" w:cs="Times New Roman" w:eastAsia="Times New Roman" w:hAnsi="Times New Roman"/>
          <w:sz w:val="20"/>
          <w:szCs w:val="20"/>
          <w:color w:val="auto"/>
        </w:rPr>
        <w:t xml:space="preserve">Revenue is recognized by the Company in accordance with </w:t>
      </w:r>
      <w:r>
        <w:rPr>
          <w:rFonts w:ascii="Times New Roman" w:cs="Times New Roman" w:eastAsia="Times New Roman" w:hAnsi="Times New Roman"/>
          <w:sz w:val="20"/>
          <w:szCs w:val="20"/>
          <w:i w:val="1"/>
          <w:iCs w:val="1"/>
          <w:color w:val="auto"/>
        </w:rPr>
        <w:t>ASU 2014-09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Revenue from Contracts with Customers (Topic 606)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ASU 2014-09</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Through application of the standard, the Company recognizes revenue to depict the transfer of promised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goods or services to the customer in an amount that reflects the consideration to which the Company expects to be entitled in exchange for those goods or services.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 xml:space="preserve">In order to recognize revenue under </w:t>
      </w:r>
      <w:r>
        <w:rPr>
          <w:rFonts w:ascii="Times New Roman" w:cs="Times New Roman" w:eastAsia="Times New Roman" w:hAnsi="Times New Roman"/>
          <w:sz w:val="20"/>
          <w:szCs w:val="20"/>
          <w:i w:val="1"/>
          <w:iCs w:val="1"/>
          <w:color w:val="auto"/>
        </w:rPr>
        <w:t>ASU 2014-09</w:t>
      </w:r>
      <w:r>
        <w:rPr>
          <w:rFonts w:ascii="Times New Roman" w:cs="Times New Roman" w:eastAsia="Times New Roman" w:hAnsi="Times New Roman"/>
          <w:sz w:val="20"/>
          <w:szCs w:val="20"/>
          <w:color w:val="auto"/>
        </w:rPr>
        <w:t>, the Company applies the following five (5) steps:</w:t>
      </w:r>
    </w:p>
    <w:p>
      <w:pPr>
        <w:spacing w:after="0" w:line="244" w:lineRule="exact"/>
        <w:rPr>
          <w:sz w:val="20"/>
          <w:szCs w:val="20"/>
          <w:color w:val="auto"/>
        </w:rPr>
      </w:pPr>
    </w:p>
    <w:p>
      <w:pPr>
        <w:ind w:left="1400" w:hanging="340"/>
        <w:spacing w:after="0"/>
        <w:tabs>
          <w:tab w:leader="none" w:pos="14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a customer along with a corresponding contract;</w:t>
      </w:r>
    </w:p>
    <w:p>
      <w:pPr>
        <w:spacing w:after="0" w:line="243" w:lineRule="exact"/>
        <w:rPr>
          <w:rFonts w:ascii="Times New Roman" w:cs="Times New Roman" w:eastAsia="Times New Roman" w:hAnsi="Times New Roman"/>
          <w:sz w:val="20"/>
          <w:szCs w:val="20"/>
          <w:color w:val="auto"/>
        </w:rPr>
      </w:pPr>
    </w:p>
    <w:p>
      <w:pPr>
        <w:ind w:left="1400" w:hanging="341"/>
        <w:spacing w:after="0"/>
        <w:tabs>
          <w:tab w:leader="none" w:pos="14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 in the contract to transfer goods or provide distinct services to a customer;</w:t>
      </w:r>
    </w:p>
    <w:p>
      <w:pPr>
        <w:spacing w:after="0" w:line="289" w:lineRule="exact"/>
        <w:rPr>
          <w:rFonts w:ascii="Times New Roman" w:cs="Times New Roman" w:eastAsia="Times New Roman" w:hAnsi="Times New Roman"/>
          <w:sz w:val="20"/>
          <w:szCs w:val="20"/>
          <w:color w:val="auto"/>
        </w:rPr>
      </w:pPr>
    </w:p>
    <w:p>
      <w:pPr>
        <w:ind w:left="1400" w:right="180" w:hanging="328"/>
        <w:spacing w:after="0" w:line="277" w:lineRule="auto"/>
        <w:tabs>
          <w:tab w:leader="none" w:pos="14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 the Company expects to be entitled to in exchange for transferring promised goods or services to a customer;</w:t>
      </w:r>
    </w:p>
    <w:p>
      <w:pPr>
        <w:spacing w:after="0" w:line="173" w:lineRule="exact"/>
        <w:rPr>
          <w:rFonts w:ascii="Times New Roman" w:cs="Times New Roman" w:eastAsia="Times New Roman" w:hAnsi="Times New Roman"/>
          <w:sz w:val="20"/>
          <w:szCs w:val="20"/>
          <w:color w:val="auto"/>
        </w:rPr>
      </w:pPr>
    </w:p>
    <w:p>
      <w:pPr>
        <w:ind w:left="1400" w:hanging="333"/>
        <w:spacing w:after="0"/>
        <w:tabs>
          <w:tab w:leader="none" w:pos="140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performance obligation(s) in the contract; and</w:t>
      </w:r>
    </w:p>
    <w:p>
      <w:pPr>
        <w:spacing w:after="0" w:line="243" w:lineRule="exact"/>
        <w:rPr>
          <w:rFonts w:ascii="Times New Roman" w:cs="Times New Roman" w:eastAsia="Times New Roman" w:hAnsi="Times New Roman"/>
          <w:sz w:val="20"/>
          <w:szCs w:val="20"/>
          <w:color w:val="auto"/>
        </w:rPr>
      </w:pPr>
    </w:p>
    <w:p>
      <w:pPr>
        <w:ind w:left="1420" w:hanging="348"/>
        <w:spacing w:after="0"/>
        <w:tabs>
          <w:tab w:leader="none" w:pos="142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 revenue when or as the Company satisfies the performance obligation(s).</w:t>
      </w:r>
    </w:p>
    <w:p>
      <w:pPr>
        <w:spacing w:after="0" w:line="230" w:lineRule="exact"/>
        <w:rPr>
          <w:sz w:val="20"/>
          <w:szCs w:val="20"/>
          <w:color w:val="auto"/>
        </w:rPr>
      </w:pPr>
    </w:p>
    <w:p>
      <w:pPr>
        <w:jc w:val="both"/>
        <w:ind w:left="500" w:right="80"/>
        <w:spacing w:after="0" w:line="249" w:lineRule="auto"/>
        <w:rPr>
          <w:sz w:val="20"/>
          <w:szCs w:val="20"/>
          <w:color w:val="auto"/>
        </w:rPr>
      </w:pPr>
      <w:r>
        <w:rPr>
          <w:rFonts w:ascii="Times New Roman" w:cs="Times New Roman" w:eastAsia="Times New Roman" w:hAnsi="Times New Roman"/>
          <w:sz w:val="20"/>
          <w:szCs w:val="20"/>
          <w:color w:val="auto"/>
        </w:rPr>
        <w:t>Revenues consist of Consumer Packaged Goods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During the years ended December 31, 2024, 2023 and 2022, sales discounts totaled $267,298 thousand, $232,031 thousand and $167,288 thousand, respectively.</w:t>
      </w:r>
    </w:p>
    <w:p>
      <w:pPr>
        <w:spacing w:after="0" w:line="187" w:lineRule="exact"/>
        <w:rPr>
          <w:sz w:val="20"/>
          <w:szCs w:val="20"/>
          <w:color w:val="auto"/>
        </w:rPr>
      </w:pPr>
    </w:p>
    <w:p>
      <w:pPr>
        <w:ind w:left="500" w:right="220"/>
        <w:spacing w:after="0" w:line="277" w:lineRule="auto"/>
        <w:rPr>
          <w:sz w:val="20"/>
          <w:szCs w:val="20"/>
          <w:color w:val="auto"/>
        </w:rPr>
      </w:pPr>
      <w:r>
        <w:rPr>
          <w:rFonts w:ascii="Times New Roman" w:cs="Times New Roman" w:eastAsia="Times New Roman" w:hAnsi="Times New Roman"/>
          <w:sz w:val="20"/>
          <w:szCs w:val="20"/>
          <w:color w:val="auto"/>
        </w:rPr>
        <w:t>Revenue is recognized upon the satisfaction of the performance obligation. The Company satisfies its performance obligation and transfers control upon delivery and acceptance by the customer.</w:t>
      </w:r>
    </w:p>
    <w:p>
      <w:pPr>
        <w:spacing w:after="0" w:line="159" w:lineRule="exact"/>
        <w:rPr>
          <w:sz w:val="20"/>
          <w:szCs w:val="20"/>
          <w:color w:val="auto"/>
        </w:rPr>
      </w:pPr>
    </w:p>
    <w:p>
      <w:pPr>
        <w:jc w:val="both"/>
        <w:ind w:left="500" w:right="60"/>
        <w:spacing w:after="0" w:line="252" w:lineRule="auto"/>
        <w:rPr>
          <w:sz w:val="20"/>
          <w:szCs w:val="20"/>
          <w:color w:val="auto"/>
        </w:rPr>
      </w:pPr>
      <w:r>
        <w:rPr>
          <w:rFonts w:ascii="Times New Roman" w:cs="Times New Roman" w:eastAsia="Times New Roman" w:hAnsi="Times New Roman"/>
          <w:sz w:val="20"/>
          <w:szCs w:val="20"/>
          <w:color w:val="auto"/>
        </w:rPr>
        <w:t>At some locations, the Company offers a loyalty reward program to its retail customers. A portion of the revenue generated in a sale must be allocated to the loyalty points earned. The amount allocated to the points earned is deferred until the loyalty points are redeemed or expire. As of December 31, 2024 and 2023, the loyalty liability totaled $5,149 thousand and $4,839 thousand, respectively, and is included in accrued liabilities on the consolidated balance sheets.</w:t>
      </w:r>
    </w:p>
    <w:p>
      <w:pPr>
        <w:sectPr>
          <w:pgSz w:w="12240" w:h="15840" w:orient="portrait"/>
          <w:cols w:equalWidth="0" w:num="1">
            <w:col w:w="10760"/>
          </w:cols>
          <w:pgMar w:left="720" w:top="69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760"/>
          </w:cols>
          <w:pgMar w:left="720" w:top="696" w:right="760" w:bottom="186"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Payments</w:t>
      </w:r>
    </w:p>
    <w:p>
      <w:pPr>
        <w:spacing w:after="0" w:line="280" w:lineRule="exact"/>
        <w:rPr>
          <w:sz w:val="20"/>
          <w:szCs w:val="20"/>
          <w:color w:val="auto"/>
        </w:rPr>
      </w:pPr>
    </w:p>
    <w:p>
      <w:pPr>
        <w:ind w:left="500" w:right="120"/>
        <w:spacing w:after="0" w:line="247" w:lineRule="auto"/>
        <w:rPr>
          <w:sz w:val="20"/>
          <w:szCs w:val="20"/>
          <w:color w:val="auto"/>
        </w:rPr>
      </w:pPr>
      <w:r>
        <w:rPr>
          <w:rFonts w:ascii="Times New Roman" w:cs="Times New Roman" w:eastAsia="Times New Roman" w:hAnsi="Times New Roman"/>
          <w:sz w:val="20"/>
          <w:szCs w:val="20"/>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190" w:lineRule="exact"/>
        <w:rPr>
          <w:sz w:val="20"/>
          <w:szCs w:val="20"/>
          <w:color w:val="auto"/>
        </w:rPr>
      </w:pPr>
    </w:p>
    <w:p>
      <w:pPr>
        <w:ind w:left="500" w:right="100"/>
        <w:spacing w:after="0" w:line="277" w:lineRule="auto"/>
        <w:rPr>
          <w:sz w:val="20"/>
          <w:szCs w:val="20"/>
          <w:color w:val="auto"/>
        </w:rPr>
      </w:pPr>
      <w:r>
        <w:rPr>
          <w:rFonts w:ascii="Times New Roman" w:cs="Times New Roman" w:eastAsia="Times New Roman" w:hAnsi="Times New Roman"/>
          <w:sz w:val="20"/>
          <w:szCs w:val="20"/>
          <w:color w:val="auto"/>
        </w:rPr>
        <w:t>Equity settled stock-based payments under stock-based payments plans are ultimately recognized as an expense in profit or loss with a corresponding credit to contributed surplus, in equity.</w:t>
      </w:r>
    </w:p>
    <w:p>
      <w:pPr>
        <w:spacing w:after="0" w:line="159" w:lineRule="exact"/>
        <w:rPr>
          <w:sz w:val="20"/>
          <w:szCs w:val="20"/>
          <w:color w:val="auto"/>
        </w:rPr>
      </w:pPr>
    </w:p>
    <w:p>
      <w:pPr>
        <w:ind w:left="500" w:right="80"/>
        <w:spacing w:after="0" w:line="247" w:lineRule="auto"/>
        <w:rPr>
          <w:sz w:val="20"/>
          <w:szCs w:val="20"/>
          <w:color w:val="auto"/>
        </w:rPr>
      </w:pPr>
      <w:r>
        <w:rPr>
          <w:rFonts w:ascii="Times New Roman" w:cs="Times New Roman" w:eastAsia="Times New Roman" w:hAnsi="Times New Roman"/>
          <w:sz w:val="20"/>
          <w:szCs w:val="20"/>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options expected to vest differs from the previous estimate. Any cumulative adjustment prior to vesting is recognized in the current period. No adjustment is made to any expense recognized in a prior period if share options ultimately exercised are different to that estimated on vesting.</w:t>
      </w:r>
    </w:p>
    <w:p>
      <w:pPr>
        <w:spacing w:after="0" w:line="306" w:lineRule="exact"/>
        <w:rPr>
          <w:sz w:val="20"/>
          <w:szCs w:val="20"/>
          <w:color w:val="auto"/>
        </w:rPr>
      </w:pPr>
    </w:p>
    <w:p>
      <w:pPr>
        <w:ind w:left="980" w:hanging="491"/>
        <w:spacing w:after="0"/>
        <w:tabs>
          <w:tab w:leader="none" w:pos="98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280" w:lineRule="exact"/>
        <w:rPr>
          <w:sz w:val="20"/>
          <w:szCs w:val="20"/>
          <w:color w:val="auto"/>
        </w:rPr>
      </w:pPr>
    </w:p>
    <w:p>
      <w:pPr>
        <w:ind w:left="500" w:right="40"/>
        <w:spacing w:after="0" w:line="246"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0"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0"/>
          <w:szCs w:val="20"/>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Level 1</w:t>
      </w:r>
      <w:r>
        <w:rPr>
          <w:rFonts w:ascii="Times New Roman" w:cs="Times New Roman" w:eastAsia="Times New Roman" w:hAnsi="Times New Roman"/>
          <w:sz w:val="20"/>
          <w:szCs w:val="20"/>
          <w:color w:val="auto"/>
        </w:rPr>
        <w:t>—Unadjusted quoted prices in active markets for identical assets or liabilities;</w:t>
      </w:r>
    </w:p>
    <w:p>
      <w:pPr>
        <w:spacing w:after="0" w:line="28" w:lineRule="exact"/>
        <w:rPr>
          <w:sz w:val="20"/>
          <w:szCs w:val="20"/>
          <w:color w:val="auto"/>
        </w:rPr>
      </w:pPr>
    </w:p>
    <w:p>
      <w:pPr>
        <w:ind w:left="720" w:right="700"/>
        <w:spacing w:after="0" w:line="248" w:lineRule="auto"/>
        <w:rPr>
          <w:sz w:val="20"/>
          <w:szCs w:val="20"/>
          <w:color w:val="auto"/>
        </w:rPr>
      </w:pPr>
      <w:r>
        <w:rPr>
          <w:rFonts w:ascii="Times New Roman" w:cs="Times New Roman" w:eastAsia="Times New Roman" w:hAnsi="Times New Roman"/>
          <w:sz w:val="20"/>
          <w:szCs w:val="20"/>
          <w:i w:val="1"/>
          <w:iCs w:val="1"/>
          <w:color w:val="auto"/>
        </w:rPr>
        <w:t>Level 2</w:t>
      </w:r>
      <w:r>
        <w:rPr>
          <w:rFonts w:ascii="Times New Roman" w:cs="Times New Roman" w:eastAsia="Times New Roman" w:hAnsi="Times New Roman"/>
          <w:sz w:val="20"/>
          <w:szCs w:val="20"/>
          <w:color w:val="auto"/>
        </w:rPr>
        <w:t>—Inputs other than quoted prices that are observable for the asset or liability, either directly or indirectly; and</w:t>
      </w:r>
      <w:r>
        <w:rPr>
          <w:rFonts w:ascii="Times New Roman" w:cs="Times New Roman" w:eastAsia="Times New Roman" w:hAnsi="Times New Roman"/>
          <w:sz w:val="20"/>
          <w:szCs w:val="20"/>
          <w:i w:val="1"/>
          <w:iCs w:val="1"/>
          <w:color w:val="auto"/>
        </w:rPr>
        <w:t xml:space="preserve"> Level 3</w:t>
      </w:r>
      <w:r>
        <w:rPr>
          <w:rFonts w:ascii="Times New Roman" w:cs="Times New Roman" w:eastAsia="Times New Roman" w:hAnsi="Times New Roman"/>
          <w:sz w:val="20"/>
          <w:szCs w:val="20"/>
          <w:color w:val="auto"/>
        </w:rPr>
        <w:t>—Inputs for the asset or liability that are not based on observable market data.</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For further details, see Note 14—Fair Value Measurements.</w:t>
      </w:r>
    </w:p>
    <w:p>
      <w:pPr>
        <w:spacing w:after="0" w:line="346" w:lineRule="exact"/>
        <w:rPr>
          <w:sz w:val="20"/>
          <w:szCs w:val="20"/>
          <w:color w:val="auto"/>
        </w:rPr>
      </w:pPr>
    </w:p>
    <w:p>
      <w:pPr>
        <w:ind w:left="980" w:hanging="491"/>
        <w:spacing w:after="0"/>
        <w:tabs>
          <w:tab w:leader="none" w:pos="98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80"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230" w:lineRule="exact"/>
        <w:rPr>
          <w:sz w:val="20"/>
          <w:szCs w:val="20"/>
          <w:color w:val="auto"/>
        </w:rPr>
      </w:pPr>
    </w:p>
    <w:p>
      <w:pPr>
        <w:jc w:val="both"/>
        <w:ind w:left="500" w:right="140"/>
        <w:spacing w:after="0" w:line="258" w:lineRule="auto"/>
        <w:rPr>
          <w:sz w:val="20"/>
          <w:szCs w:val="20"/>
          <w:color w:val="auto"/>
        </w:rPr>
      </w:pPr>
      <w:r>
        <w:rPr>
          <w:rFonts w:ascii="Times New Roman" w:cs="Times New Roman" w:eastAsia="Times New Roman" w:hAnsi="Times New Roman"/>
          <w:sz w:val="20"/>
          <w:szCs w:val="20"/>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800"/>
          </w:cols>
          <w:pgMar w:left="720" w:top="696" w:right="720" w:bottom="186"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Capital</w:t>
      </w:r>
    </w:p>
    <w:p>
      <w:pPr>
        <w:spacing w:after="0" w:line="280" w:lineRule="exact"/>
        <w:rPr>
          <w:sz w:val="20"/>
          <w:szCs w:val="20"/>
          <w:color w:val="auto"/>
        </w:rPr>
      </w:pPr>
    </w:p>
    <w:p>
      <w:pPr>
        <w:ind w:left="500" w:right="140"/>
        <w:spacing w:after="0" w:line="249" w:lineRule="auto"/>
        <w:rPr>
          <w:sz w:val="20"/>
          <w:szCs w:val="20"/>
          <w:color w:val="auto"/>
        </w:rPr>
      </w:pPr>
      <w:r>
        <w:rPr>
          <w:rFonts w:ascii="Times New Roman" w:cs="Times New Roman" w:eastAsia="Times New Roman" w:hAnsi="Times New Roman"/>
          <w:sz w:val="20"/>
          <w:szCs w:val="20"/>
          <w:color w:val="auto"/>
        </w:rPr>
        <w:t xml:space="preserve">Common Shares are classified as equity (the Company’s Super Voting Shares, Multiple Voting Shares and Subordinate Voting Shares are all considered Common Shares).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w:t>
      </w:r>
      <w:r>
        <w:rPr>
          <w:rFonts w:ascii="Times New Roman" w:cs="Times New Roman" w:eastAsia="Times New Roman" w:hAnsi="Times New Roman"/>
          <w:sz w:val="20"/>
          <w:szCs w:val="20"/>
          <w:i w:val="1"/>
          <w:iCs w:val="1"/>
          <w:color w:val="auto"/>
        </w:rPr>
        <w:t>ASC 740, Income Taxes</w:t>
      </w:r>
      <w:r>
        <w:rPr>
          <w:rFonts w:ascii="Times New Roman" w:cs="Times New Roman" w:eastAsia="Times New Roman" w:hAnsi="Times New Roman"/>
          <w:sz w:val="20"/>
          <w:szCs w:val="20"/>
          <w:color w:val="auto"/>
        </w:rPr>
        <w:t>.</w:t>
      </w:r>
    </w:p>
    <w:p>
      <w:pPr>
        <w:spacing w:after="0" w:line="303" w:lineRule="exact"/>
        <w:rPr>
          <w:sz w:val="20"/>
          <w:szCs w:val="20"/>
          <w:color w:val="auto"/>
        </w:rPr>
      </w:pPr>
    </w:p>
    <w:p>
      <w:pPr>
        <w:ind w:left="980" w:hanging="491"/>
        <w:spacing w:after="0"/>
        <w:tabs>
          <w:tab w:leader="none" w:pos="98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Earnings per Share</w:t>
      </w:r>
    </w:p>
    <w:p>
      <w:pPr>
        <w:spacing w:after="0" w:line="280" w:lineRule="exact"/>
        <w:rPr>
          <w:sz w:val="20"/>
          <w:szCs w:val="20"/>
          <w:color w:val="auto"/>
        </w:rPr>
      </w:pPr>
    </w:p>
    <w:p>
      <w:pPr>
        <w:ind w:left="500"/>
        <w:spacing w:after="0" w:line="244" w:lineRule="auto"/>
        <w:rPr>
          <w:sz w:val="20"/>
          <w:szCs w:val="20"/>
          <w:color w:val="auto"/>
        </w:rPr>
      </w:pPr>
      <w:r>
        <w:rPr>
          <w:rFonts w:ascii="Times New Roman" w:cs="Times New Roman" w:eastAsia="Times New Roman" w:hAnsi="Times New Roman"/>
          <w:sz w:val="20"/>
          <w:szCs w:val="20"/>
          <w:color w:val="auto"/>
        </w:rPr>
        <w:t>Basic earnings per share is calculated using the treasury stock method, by dividing the net earnings attributable to shareholders by the weighted average number of Common Shares outstanding during each of the periods presented. Contingently issuable shares (including shares held in escrow) are not considered outstanding Common Shares and consequently are not included in the basic earnings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RSUs, options and warrants. As of December 31, 2024, the Company had 8,238,472 options, 7,678,310 RSUs and 1,811,075 warrants outstanding. As of December 31, 2023, the Company had 10,071,467 options, 3,620,638 RSUs and 3,734,555 warrants outstanding. As of December 31, 2022, the Company had 9,577,947 options, 947,502 RSUs and 3,734,555 warrants outstanding.</w:t>
      </w:r>
    </w:p>
    <w:p>
      <w:pPr>
        <w:spacing w:after="0" w:line="196" w:lineRule="exact"/>
        <w:rPr>
          <w:sz w:val="20"/>
          <w:szCs w:val="20"/>
          <w:color w:val="auto"/>
        </w:rPr>
      </w:pPr>
    </w:p>
    <w:p>
      <w:pPr>
        <w:ind w:left="500" w:right="100"/>
        <w:spacing w:after="0" w:line="245" w:lineRule="auto"/>
        <w:rPr>
          <w:sz w:val="20"/>
          <w:szCs w:val="20"/>
          <w:color w:val="auto"/>
        </w:rPr>
      </w:pPr>
      <w:r>
        <w:rPr>
          <w:rFonts w:ascii="Times New Roman" w:cs="Times New Roman" w:eastAsia="Times New Roman" w:hAnsi="Times New Roman"/>
          <w:sz w:val="20"/>
          <w:szCs w:val="20"/>
          <w:color w:val="auto"/>
        </w:rPr>
        <w:t>In order to determine diluted earnings per share, it is assumed that any proceeds from the exercise of dilutive unvested RSUs, options, and warrants would be used to repurchase Common Shares at the average market price during the period. Under the treasury stock method, the diluted earnings per share calculation excludes any potential conversion of options and convertible debt that would increase earnings per share or decrease loss per share. For the year ended December 31, 2024, the computation of diluted earnings per share included 895,518 options, 4,189,705 RSUs and 12,960 warrants. For the year ended December 31, 2023, the computation of diluted earnings per share included 220,325 options, 1,679,198 RSUs and 0 warrants. For the year ended December 31, 2022, the computation of diluted earnings per share included 1,001,835 options, 243,194 RSUs and 121,945 warrants.</w:t>
      </w:r>
    </w:p>
    <w:p>
      <w:pPr>
        <w:spacing w:after="0" w:line="192" w:lineRule="exact"/>
        <w:rPr>
          <w:sz w:val="20"/>
          <w:szCs w:val="20"/>
          <w:color w:val="auto"/>
        </w:rPr>
      </w:pPr>
    </w:p>
    <w:p>
      <w:pPr>
        <w:ind w:left="500" w:right="280"/>
        <w:spacing w:after="0" w:line="277" w:lineRule="auto"/>
        <w:rPr>
          <w:sz w:val="20"/>
          <w:szCs w:val="20"/>
          <w:color w:val="auto"/>
        </w:rPr>
      </w:pPr>
      <w:r>
        <w:rPr>
          <w:rFonts w:ascii="Times New Roman" w:cs="Times New Roman" w:eastAsia="Times New Roman" w:hAnsi="Times New Roman"/>
          <w:sz w:val="20"/>
          <w:szCs w:val="20"/>
          <w:color w:val="auto"/>
        </w:rPr>
        <w:t>For the years ended December 31, 2024, 2023, and 2022 the weighted average number of anti-dilutive options excluded from the computation of diluted earnings per share were 970,606; 2,477,120; and 1,895,273, respectively.</w:t>
      </w:r>
    </w:p>
    <w:p>
      <w:pPr>
        <w:spacing w:after="0" w:line="275" w:lineRule="exact"/>
        <w:rPr>
          <w:sz w:val="20"/>
          <w:szCs w:val="20"/>
          <w:color w:val="auto"/>
        </w:rPr>
      </w:pPr>
    </w:p>
    <w:p>
      <w:pPr>
        <w:ind w:left="980" w:hanging="491"/>
        <w:spacing w:after="0"/>
        <w:tabs>
          <w:tab w:leader="none" w:pos="98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280" w:lineRule="exact"/>
        <w:rPr>
          <w:sz w:val="20"/>
          <w:szCs w:val="20"/>
          <w:color w:val="auto"/>
        </w:rPr>
      </w:pPr>
    </w:p>
    <w:p>
      <w:pPr>
        <w:ind w:left="500" w:right="60"/>
        <w:spacing w:after="0" w:line="245" w:lineRule="auto"/>
        <w:rPr>
          <w:sz w:val="20"/>
          <w:szCs w:val="20"/>
          <w:color w:val="auto"/>
        </w:rPr>
      </w:pPr>
      <w:r>
        <w:rPr>
          <w:rFonts w:ascii="Times New Roman" w:cs="Times New Roman" w:eastAsia="Times New Roman" w:hAnsi="Times New Roman"/>
          <w:sz w:val="20"/>
          <w:szCs w:val="20"/>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192" w:lineRule="exact"/>
        <w:rPr>
          <w:sz w:val="20"/>
          <w:szCs w:val="20"/>
          <w:color w:val="auto"/>
        </w:rPr>
      </w:pPr>
    </w:p>
    <w:p>
      <w:pPr>
        <w:ind w:left="500" w:right="200"/>
        <w:spacing w:after="0" w:line="249" w:lineRule="auto"/>
        <w:rPr>
          <w:sz w:val="20"/>
          <w:szCs w:val="20"/>
          <w:color w:val="auto"/>
        </w:rPr>
      </w:pPr>
      <w:r>
        <w:rPr>
          <w:rFonts w:ascii="Times New Roman" w:cs="Times New Roman" w:eastAsia="Times New Roman" w:hAnsi="Times New Roman"/>
          <w:sz w:val="20"/>
          <w:szCs w:val="20"/>
          <w:color w:val="auto"/>
        </w:rPr>
        <w:t>Contingent consideration is measured upon acquisition and is estimated using probability weighting of potential payouts. Contingent consideration classified as a liability requires remeasurement at each period-end, with adjustments to the fair value of the liability recorded within selling, general, and administrative expenses. Equity classified contingent consideration is measured as of the date of acquisition and assessed at each period-end to determine whether equity classification remains appropriate.</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800"/>
          </w:cols>
          <w:pgMar w:left="720" w:top="696" w:right="720" w:bottom="186" w:gutter="0" w:footer="0" w:header="0"/>
          <w:type w:val="continuous"/>
        </w:sectPr>
      </w:pPr>
    </w:p>
    <w:bookmarkStart w:id="94" w:name="page95"/>
    <w:bookmarkEnd w:id="9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Impairment of Other Long-Lived Assets</w:t>
      </w:r>
    </w:p>
    <w:p>
      <w:pPr>
        <w:spacing w:after="0" w:line="280" w:lineRule="exact"/>
        <w:rPr>
          <w:sz w:val="20"/>
          <w:szCs w:val="20"/>
          <w:color w:val="auto"/>
        </w:rPr>
      </w:pPr>
    </w:p>
    <w:p>
      <w:pPr>
        <w:ind w:left="500" w:right="140"/>
        <w:spacing w:after="0" w:line="246" w:lineRule="auto"/>
        <w:rPr>
          <w:sz w:val="20"/>
          <w:szCs w:val="20"/>
          <w:color w:val="auto"/>
        </w:rPr>
      </w:pPr>
      <w:r>
        <w:rPr>
          <w:rFonts w:ascii="Times New Roman" w:cs="Times New Roman" w:eastAsia="Times New Roman" w:hAnsi="Times New Roman"/>
          <w:sz w:val="20"/>
          <w:szCs w:val="20"/>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w:t>
      </w:r>
    </w:p>
    <w:p>
      <w:pPr>
        <w:spacing w:after="0" w:line="190" w:lineRule="exact"/>
        <w:rPr>
          <w:sz w:val="20"/>
          <w:szCs w:val="20"/>
          <w:color w:val="auto"/>
        </w:rPr>
      </w:pPr>
    </w:p>
    <w:p>
      <w:pPr>
        <w:jc w:val="both"/>
        <w:ind w:left="500" w:right="80"/>
        <w:spacing w:after="0" w:line="249" w:lineRule="auto"/>
        <w:rPr>
          <w:sz w:val="20"/>
          <w:szCs w:val="20"/>
          <w:color w:val="auto"/>
        </w:rPr>
      </w:pPr>
      <w:r>
        <w:rPr>
          <w:rFonts w:ascii="Times New Roman" w:cs="Times New Roman" w:eastAsia="Times New Roman" w:hAnsi="Times New Roman"/>
          <w:sz w:val="20"/>
          <w:szCs w:val="20"/>
          <w:color w:val="auto"/>
        </w:rPr>
        <w:t>When the Company determines that the carrying value of long-lived assets may not be recoverable based upon the existence of one or more of the indicators, the asset group is assessed for impairment based on the estimated future undiscounted cash flows expected to result from the use of the asset group and its eventual disposition. If the carrying value of an asset group exceeds its estimated future undiscounted cash flows, an impairment loss is recorded for the excess of the asset group’s carrying value over its fair value.</w:t>
      </w:r>
    </w:p>
    <w:p>
      <w:pPr>
        <w:spacing w:after="0" w:line="187" w:lineRule="exact"/>
        <w:rPr>
          <w:sz w:val="20"/>
          <w:szCs w:val="20"/>
          <w:color w:val="auto"/>
        </w:rPr>
      </w:pPr>
    </w:p>
    <w:p>
      <w:pPr>
        <w:ind w:left="500" w:right="240"/>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2024, 2023 and 2022, the Company recorded impairment charges associated with long-lived fixed assets of $450 thousand, $5,467 thousand and $1,419 thousand respectively, within selling, general, and administrative expenses on the consolidated statement of operations.</w:t>
      </w:r>
    </w:p>
    <w:p>
      <w:pPr>
        <w:spacing w:after="0" w:line="294" w:lineRule="exact"/>
        <w:rPr>
          <w:sz w:val="20"/>
          <w:szCs w:val="20"/>
          <w:color w:val="auto"/>
        </w:rPr>
      </w:pPr>
    </w:p>
    <w:p>
      <w:pPr>
        <w:ind w:left="980" w:hanging="491"/>
        <w:spacing w:after="0"/>
        <w:tabs>
          <w:tab w:leader="none" w:pos="98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Judgments, Estimates and Assumptions</w:t>
      </w:r>
    </w:p>
    <w:p>
      <w:pPr>
        <w:spacing w:after="0" w:line="280" w:lineRule="exact"/>
        <w:rPr>
          <w:sz w:val="20"/>
          <w:szCs w:val="20"/>
          <w:color w:val="auto"/>
        </w:rPr>
      </w:pPr>
    </w:p>
    <w:p>
      <w:pPr>
        <w:ind w:left="500" w:right="240"/>
        <w:spacing w:after="0" w:line="249"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7" w:lineRule="exact"/>
        <w:rPr>
          <w:sz w:val="20"/>
          <w:szCs w:val="20"/>
          <w:color w:val="auto"/>
        </w:rPr>
      </w:pPr>
    </w:p>
    <w:p>
      <w:pPr>
        <w:ind w:left="500" w:right="720"/>
        <w:spacing w:after="0" w:line="277" w:lineRule="auto"/>
        <w:rPr>
          <w:sz w:val="20"/>
          <w:szCs w:val="20"/>
          <w:color w:val="auto"/>
        </w:rPr>
      </w:pPr>
      <w:r>
        <w:rPr>
          <w:rFonts w:ascii="Times New Roman" w:cs="Times New Roman" w:eastAsia="Times New Roman" w:hAnsi="Times New Roman"/>
          <w:sz w:val="20"/>
          <w:szCs w:val="20"/>
          <w:color w:val="auto"/>
        </w:rPr>
        <w:t>Significant judgments, estimates and assumptions that have the most significant effect on the amounts recognized in the consolidated financial statements are described below.</w:t>
      </w:r>
    </w:p>
    <w:p>
      <w:pPr>
        <w:spacing w:after="0" w:line="173" w:lineRule="exact"/>
        <w:rPr>
          <w:sz w:val="20"/>
          <w:szCs w:val="20"/>
          <w:color w:val="auto"/>
        </w:rPr>
      </w:pPr>
    </w:p>
    <w:p>
      <w:pPr>
        <w:ind w:left="1400" w:hanging="443"/>
        <w:spacing w:after="0"/>
        <w:tabs>
          <w:tab w:leader="none" w:pos="1400" w:val="left"/>
        </w:tabs>
        <w:numPr>
          <w:ilvl w:val="0"/>
          <w:numId w:val="6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Estimated Useful Lives and Amortization of Intangible Assets (Also see Note 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Intangible Asset and Goodwill)</w:t>
      </w:r>
    </w:p>
    <w:p>
      <w:pPr>
        <w:spacing w:after="0" w:line="230" w:lineRule="exact"/>
        <w:rPr>
          <w:sz w:val="20"/>
          <w:szCs w:val="20"/>
          <w:color w:val="auto"/>
        </w:rPr>
      </w:pPr>
    </w:p>
    <w:p>
      <w:pPr>
        <w:ind w:left="500" w:right="220"/>
        <w:spacing w:after="0" w:line="277" w:lineRule="auto"/>
        <w:rPr>
          <w:sz w:val="20"/>
          <w:szCs w:val="20"/>
          <w:color w:val="auto"/>
        </w:rPr>
      </w:pPr>
      <w:r>
        <w:rPr>
          <w:rFonts w:ascii="Times New Roman" w:cs="Times New Roman" w:eastAsia="Times New Roman" w:hAnsi="Times New Roman"/>
          <w:sz w:val="20"/>
          <w:szCs w:val="20"/>
          <w:color w:val="auto"/>
        </w:rPr>
        <w:t>Amortization of intangible assets is recorded on a straight-line basis over their estimated useful lives, which do not exceed the contractual period, if any.</w:t>
      </w:r>
    </w:p>
    <w:p>
      <w:pPr>
        <w:spacing w:after="0" w:line="175"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20"/>
          <w:szCs w:val="20"/>
          <w:i w:val="1"/>
          <w:iCs w:val="1"/>
          <w:color w:val="auto"/>
        </w:rPr>
        <w:t>(ii)</w:t>
        <w:tab/>
        <w:t>Business Combinations</w:t>
      </w:r>
    </w:p>
    <w:p>
      <w:pPr>
        <w:spacing w:after="0" w:line="228" w:lineRule="exact"/>
        <w:rPr>
          <w:sz w:val="20"/>
          <w:szCs w:val="20"/>
          <w:color w:val="auto"/>
        </w:rPr>
      </w:pPr>
    </w:p>
    <w:p>
      <w:pPr>
        <w:ind w:left="500" w:right="100"/>
        <w:spacing w:after="0" w:line="258" w:lineRule="auto"/>
        <w:rPr>
          <w:sz w:val="20"/>
          <w:szCs w:val="20"/>
          <w:color w:val="auto"/>
        </w:rPr>
      </w:pPr>
      <w:r>
        <w:rPr>
          <w:rFonts w:ascii="Times New Roman" w:cs="Times New Roman" w:eastAsia="Times New Roman" w:hAnsi="Times New Roman"/>
          <w:sz w:val="20"/>
          <w:szCs w:val="20"/>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78" w:lineRule="exact"/>
        <w:rPr>
          <w:sz w:val="20"/>
          <w:szCs w:val="20"/>
          <w:color w:val="auto"/>
        </w:rPr>
      </w:pPr>
    </w:p>
    <w:p>
      <w:pPr>
        <w:ind w:left="500"/>
        <w:spacing w:after="0" w:line="247" w:lineRule="auto"/>
        <w:rPr>
          <w:sz w:val="20"/>
          <w:szCs w:val="20"/>
          <w:color w:val="auto"/>
        </w:rPr>
      </w:pPr>
      <w:r>
        <w:rPr>
          <w:rFonts w:ascii="Times New Roman" w:cs="Times New Roman" w:eastAsia="Times New Roman" w:hAnsi="Times New Roman"/>
          <w:sz w:val="20"/>
          <w:szCs w:val="20"/>
          <w:color w:val="auto"/>
        </w:rPr>
        <w:t>In determining the fair value of all identifiable assets, liabilities and contingent liabilities acquired, the most significant estimates relate to contingent consideration and intangible assets. Management exercises judgment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90" w:lineRule="exact"/>
        <w:rPr>
          <w:sz w:val="20"/>
          <w:szCs w:val="20"/>
          <w:color w:val="auto"/>
        </w:rPr>
      </w:pPr>
    </w:p>
    <w:p>
      <w:pPr>
        <w:jc w:val="both"/>
        <w:ind w:left="500" w:right="60"/>
        <w:spacing w:after="0" w:line="278" w:lineRule="auto"/>
        <w:rPr>
          <w:sz w:val="20"/>
          <w:szCs w:val="20"/>
          <w:color w:val="auto"/>
        </w:rPr>
      </w:pPr>
      <w:r>
        <w:rPr>
          <w:rFonts w:ascii="Times New Roman" w:cs="Times New Roman" w:eastAsia="Times New Roman" w:hAnsi="Times New Roman"/>
          <w:sz w:val="19"/>
          <w:szCs w:val="19"/>
          <w:color w:val="auto"/>
        </w:rPr>
        <w:t>Cannabis licenses are the primary intangible asset acquired in business combinations as they provide the Company the ability to operate in each market. However, some cannabis licenses are subject to renewal and therefore there is some risk of non-renewal for several reasons, including operational, regulatory, legal or economic. To appropriately consider the risk of non-renewal, the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F-16</w:t>
      </w:r>
    </w:p>
    <w:p>
      <w:pPr>
        <w:sectPr>
          <w:pgSz w:w="12240" w:h="15840" w:orient="portrait"/>
          <w:cols w:equalWidth="0" w:num="1">
            <w:col w:w="10800"/>
          </w:cols>
          <w:pgMar w:left="720" w:top="696" w:right="720" w:bottom="175"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980" w:hanging="491"/>
        <w:spacing w:after="0"/>
        <w:tabs>
          <w:tab w:leader="none" w:pos="98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Judgments, Estimates and Assumptions </w:t>
      </w:r>
      <w:r>
        <w:rPr>
          <w:rFonts w:ascii="Times New Roman" w:cs="Times New Roman" w:eastAsia="Times New Roman" w:hAnsi="Times New Roman"/>
          <w:sz w:val="20"/>
          <w:szCs w:val="20"/>
          <w:color w:val="auto"/>
        </w:rPr>
        <w:t>(Continued)</w:t>
      </w:r>
    </w:p>
    <w:p>
      <w:pPr>
        <w:spacing w:after="0" w:line="280" w:lineRule="exact"/>
        <w:rPr>
          <w:sz w:val="20"/>
          <w:szCs w:val="20"/>
          <w:color w:val="auto"/>
        </w:rPr>
      </w:pPr>
    </w:p>
    <w:p>
      <w:pPr>
        <w:ind w:left="500" w:right="380"/>
        <w:spacing w:after="0" w:line="277" w:lineRule="auto"/>
        <w:rPr>
          <w:sz w:val="20"/>
          <w:szCs w:val="20"/>
          <w:color w:val="auto"/>
        </w:rPr>
      </w:pPr>
      <w:r>
        <w:rPr>
          <w:rFonts w:ascii="Times New Roman" w:cs="Times New Roman" w:eastAsia="Times New Roman" w:hAnsi="Times New Roman"/>
          <w:sz w:val="20"/>
          <w:szCs w:val="20"/>
          <w:color w:val="auto"/>
        </w:rPr>
        <w:t>Company applies probability weighting to the expected future net cash flows in calculating the fair value of these intangible assets. The key assumptions used in these cash flow projections include discount rates and terminal growth rates.</w:t>
      </w:r>
    </w:p>
    <w:p>
      <w:pPr>
        <w:spacing w:after="0" w:line="159" w:lineRule="exact"/>
        <w:rPr>
          <w:sz w:val="20"/>
          <w:szCs w:val="20"/>
          <w:color w:val="auto"/>
        </w:rPr>
      </w:pPr>
    </w:p>
    <w:p>
      <w:pPr>
        <w:ind w:left="500" w:right="280"/>
        <w:spacing w:after="0" w:line="252" w:lineRule="auto"/>
        <w:rPr>
          <w:sz w:val="20"/>
          <w:szCs w:val="20"/>
          <w:color w:val="auto"/>
        </w:rPr>
      </w:pPr>
      <w:r>
        <w:rPr>
          <w:rFonts w:ascii="Times New Roman" w:cs="Times New Roman" w:eastAsia="Times New Roman" w:hAnsi="Times New Roman"/>
          <w:sz w:val="20"/>
          <w:szCs w:val="20"/>
          <w:color w:val="auto"/>
        </w:rPr>
        <w:t>Of the key assumptions used, the impact of the estimated fair value of the intangible assets have the greatest sensitivity to the estimated discount rate used in the valuation. Other significant assumptions include revenue, gross profit, operating expenses and anticipated capital expenditures which are based upon the Corporation’s historical operations along with management projections.</w:t>
      </w:r>
    </w:p>
    <w:p>
      <w:pPr>
        <w:spacing w:after="0" w:line="184"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20"/>
          <w:szCs w:val="20"/>
          <w:color w:val="auto"/>
        </w:rPr>
        <w:t>The evaluations are linked closely to the assumptions made by management regarding the future performance of these assets and any changes in the discount rate applied.</w:t>
      </w:r>
    </w:p>
    <w:p>
      <w:pPr>
        <w:spacing w:after="0" w:line="17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i w:val="1"/>
          <w:iCs w:val="1"/>
          <w:color w:val="auto"/>
        </w:rPr>
        <w:t>(iii) Inventories</w:t>
      </w:r>
    </w:p>
    <w:p>
      <w:pPr>
        <w:spacing w:after="0" w:line="228" w:lineRule="exact"/>
        <w:rPr>
          <w:sz w:val="20"/>
          <w:szCs w:val="20"/>
          <w:color w:val="auto"/>
        </w:rPr>
      </w:pPr>
    </w:p>
    <w:p>
      <w:pPr>
        <w:ind w:left="500" w:right="40"/>
        <w:spacing w:after="0" w:line="244" w:lineRule="auto"/>
        <w:rPr>
          <w:sz w:val="20"/>
          <w:szCs w:val="20"/>
          <w:color w:val="auto"/>
        </w:rPr>
      </w:pPr>
      <w:r>
        <w:rPr>
          <w:rFonts w:ascii="Times New Roman" w:cs="Times New Roman" w:eastAsia="Times New Roman" w:hAnsi="Times New Roman"/>
          <w:sz w:val="20"/>
          <w:szCs w:val="20"/>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58" w:lineRule="exact"/>
        <w:rPr>
          <w:sz w:val="20"/>
          <w:szCs w:val="20"/>
          <w:color w:val="auto"/>
        </w:rPr>
      </w:pPr>
    </w:p>
    <w:p>
      <w:pPr>
        <w:ind w:left="940"/>
        <w:spacing w:after="0"/>
        <w:tabs>
          <w:tab w:leader="none" w:pos="1360" w:val="left"/>
        </w:tabs>
        <w:rPr>
          <w:sz w:val="20"/>
          <w:szCs w:val="20"/>
          <w:color w:val="auto"/>
        </w:rPr>
      </w:pPr>
      <w:r>
        <w:rPr>
          <w:rFonts w:ascii="Times New Roman" w:cs="Times New Roman" w:eastAsia="Times New Roman" w:hAnsi="Times New Roman"/>
          <w:sz w:val="20"/>
          <w:szCs w:val="20"/>
          <w:i w:val="1"/>
          <w:iCs w:val="1"/>
          <w:color w:val="auto"/>
        </w:rPr>
        <w:t>(iv)</w:t>
        <w:tab/>
        <w:t>Investments in Private Holdings</w:t>
      </w:r>
    </w:p>
    <w:p>
      <w:pPr>
        <w:spacing w:after="0" w:line="228" w:lineRule="exact"/>
        <w:rPr>
          <w:sz w:val="20"/>
          <w:szCs w:val="20"/>
          <w:color w:val="auto"/>
        </w:rPr>
      </w:pPr>
    </w:p>
    <w:p>
      <w:pPr>
        <w:jc w:val="both"/>
        <w:ind w:left="500" w:right="100"/>
        <w:spacing w:after="0" w:line="252" w:lineRule="auto"/>
        <w:rPr>
          <w:sz w:val="20"/>
          <w:szCs w:val="20"/>
          <w:color w:val="auto"/>
        </w:rPr>
      </w:pPr>
      <w:r>
        <w:rPr>
          <w:rFonts w:ascii="Times New Roman" w:cs="Times New Roman" w:eastAsia="Times New Roman" w:hAnsi="Times New Roman"/>
          <w:sz w:val="20"/>
          <w:szCs w:val="20"/>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00" w:lineRule="exact"/>
        <w:rPr>
          <w:sz w:val="20"/>
          <w:szCs w:val="20"/>
          <w:color w:val="auto"/>
        </w:rPr>
      </w:pPr>
    </w:p>
    <w:p>
      <w:pPr>
        <w:ind w:left="1380" w:hanging="416"/>
        <w:spacing w:after="0"/>
        <w:tabs>
          <w:tab w:leader="none" w:pos="1380"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Goodwill Impairment</w:t>
      </w:r>
    </w:p>
    <w:p>
      <w:pPr>
        <w:spacing w:after="0" w:line="228" w:lineRule="exact"/>
        <w:rPr>
          <w:sz w:val="20"/>
          <w:szCs w:val="20"/>
          <w:color w:val="auto"/>
        </w:rPr>
      </w:pPr>
    </w:p>
    <w:p>
      <w:pPr>
        <w:ind w:left="500" w:right="20"/>
        <w:spacing w:after="0" w:line="244" w:lineRule="auto"/>
        <w:rPr>
          <w:sz w:val="20"/>
          <w:szCs w:val="20"/>
          <w:color w:val="auto"/>
        </w:rPr>
      </w:pPr>
      <w:r>
        <w:rPr>
          <w:rFonts w:ascii="Times New Roman" w:cs="Times New Roman" w:eastAsia="Times New Roman" w:hAnsi="Times New Roman"/>
          <w:sz w:val="20"/>
          <w:szCs w:val="20"/>
          <w:color w:val="auto"/>
        </w:rPr>
        <w:t xml:space="preserve">Goodwill is tested for impairment annually and whenever events or changes in circumstances indicate that the carrying amount of goodwill has been impaired. As described in Notes 2(l) and 2(m), the Company applies the guidance in </w:t>
      </w:r>
      <w:r>
        <w:rPr>
          <w:rFonts w:ascii="Times New Roman" w:cs="Times New Roman" w:eastAsia="Times New Roman" w:hAnsi="Times New Roman"/>
          <w:sz w:val="20"/>
          <w:szCs w:val="20"/>
          <w:i w:val="1"/>
          <w:iCs w:val="1"/>
          <w:color w:val="auto"/>
        </w:rPr>
        <w:t>ASU 2011-08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Intangibles-Goodwill and Other-Testing Goodwill for Impairment</w:t>
      </w:r>
      <w:r>
        <w:rPr>
          <w:rFonts w:ascii="Times New Roman" w:cs="Times New Roman" w:eastAsia="Times New Roman" w:hAnsi="Times New Roman"/>
          <w:sz w:val="20"/>
          <w:szCs w:val="20"/>
          <w:color w:val="auto"/>
        </w:rPr>
        <w:t>, which provides entities with an option to perform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qualitative assessment (commonly referred to as “Step Zero”) to determine whether further quantitative analysis for impairment of goodwill is necessary. In performing Step Zero for the Company’s goodwill impairment test, the Company is required to make assumptions and judgments including but not limited to the following: the evaluation of macroeconomic conditions as related to the Company’s business, industry and market trends, and the overall future financial performance of its reporting units and future opportunities in the markets in which they operate. If impairment indicators are present after performing Step Zero, the Company would perform a quantitative impairment analysis to estimate the fair value of goodwill.</w:t>
      </w:r>
    </w:p>
    <w:p>
      <w:pPr>
        <w:spacing w:after="0" w:line="196" w:lineRule="exact"/>
        <w:rPr>
          <w:sz w:val="20"/>
          <w:szCs w:val="20"/>
          <w:color w:val="auto"/>
        </w:rPr>
      </w:pPr>
    </w:p>
    <w:p>
      <w:pPr>
        <w:jc w:val="both"/>
        <w:ind w:left="500" w:right="880"/>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2024 and 2023, the Company performed the Step Zero analysis for its goodwill impairment test. As a result of the Company’s Step Zero analysis, no further quantitative impairment test was deemed necessary.</w:t>
      </w:r>
    </w:p>
    <w:p>
      <w:pPr>
        <w:spacing w:after="0" w:line="178" w:lineRule="exact"/>
        <w:rPr>
          <w:sz w:val="20"/>
          <w:szCs w:val="20"/>
          <w:color w:val="auto"/>
        </w:rPr>
      </w:pPr>
    </w:p>
    <w:p>
      <w:pPr>
        <w:ind w:left="500" w:right="20"/>
        <w:spacing w:after="0" w:line="249" w:lineRule="auto"/>
        <w:rPr>
          <w:sz w:val="20"/>
          <w:szCs w:val="20"/>
          <w:color w:val="auto"/>
        </w:rPr>
      </w:pPr>
      <w:r>
        <w:rPr>
          <w:rFonts w:ascii="Times New Roman" w:cs="Times New Roman" w:eastAsia="Times New Roman" w:hAnsi="Times New Roman"/>
          <w:sz w:val="20"/>
          <w:szCs w:val="20"/>
          <w:color w:val="auto"/>
        </w:rPr>
        <w:t xml:space="preserve">During the year ended December 31, 2022, the Company reevaluated its existing reporting units under </w:t>
      </w:r>
      <w:r>
        <w:rPr>
          <w:rFonts w:ascii="Times New Roman" w:cs="Times New Roman" w:eastAsia="Times New Roman" w:hAnsi="Times New Roman"/>
          <w:sz w:val="20"/>
          <w:szCs w:val="20"/>
          <w:i w:val="1"/>
          <w:iCs w:val="1"/>
          <w:color w:val="auto"/>
        </w:rPr>
        <w:t>ASC 280, 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Reporting</w:t>
      </w:r>
      <w:r>
        <w:rPr>
          <w:rFonts w:ascii="Times New Roman" w:cs="Times New Roman" w:eastAsia="Times New Roman" w:hAnsi="Times New Roman"/>
          <w:sz w:val="20"/>
          <w:szCs w:val="20"/>
          <w:color w:val="auto"/>
        </w:rPr>
        <w:t>, and determined that the individual components within each respective segment were economically similar and thus,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aggregation of these components into two reporting units that align with our reportable segments, should be applied. Subsequent to October 1, 2022, the Company aggregated each of the components into two reporting units (Retail and Consumer Packaged Goods).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10800"/>
          </w:cols>
          <w:pgMar w:left="720" w:top="696" w:right="720" w:bottom="175" w:gutter="0" w:footer="0" w:header="0"/>
        </w:sectPr>
      </w:pPr>
    </w:p>
    <w:bookmarkStart w:id="96" w:name="page97"/>
    <w:bookmarkEnd w:id="96"/>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460"/>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20" w:hanging="510"/>
        <w:spacing w:after="0"/>
        <w:tabs>
          <w:tab w:leader="none" w:pos="5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-323215</wp:posOffset>
                </wp:positionH>
                <wp:positionV relativeFrom="paragraph">
                  <wp:posOffset>90170</wp:posOffset>
                </wp:positionV>
                <wp:extent cx="689483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499pt,7.1pt" to="517.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500" w:hanging="491"/>
        <w:spacing w:after="0"/>
        <w:tabs>
          <w:tab w:leader="none" w:pos="5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Judgment, Estimates and Assumptions </w:t>
      </w:r>
      <w:r>
        <w:rPr>
          <w:rFonts w:ascii="Times New Roman" w:cs="Times New Roman" w:eastAsia="Times New Roman" w:hAnsi="Times New Roman"/>
          <w:sz w:val="20"/>
          <w:szCs w:val="20"/>
          <w:color w:val="auto"/>
        </w:rPr>
        <w:t>(Continued)</w:t>
      </w:r>
    </w:p>
    <w:p>
      <w:pPr>
        <w:spacing w:after="0" w:line="280" w:lineRule="exact"/>
        <w:rPr>
          <w:sz w:val="20"/>
          <w:szCs w:val="20"/>
          <w:color w:val="auto"/>
        </w:rPr>
      </w:pPr>
    </w:p>
    <w:p>
      <w:pPr>
        <w:ind w:left="20" w:right="200"/>
        <w:spacing w:after="0" w:line="277" w:lineRule="auto"/>
        <w:rPr>
          <w:sz w:val="20"/>
          <w:szCs w:val="20"/>
          <w:color w:val="auto"/>
        </w:rPr>
      </w:pPr>
      <w:r>
        <w:rPr>
          <w:rFonts w:ascii="Times New Roman" w:cs="Times New Roman" w:eastAsia="Times New Roman" w:hAnsi="Times New Roman"/>
          <w:sz w:val="20"/>
          <w:szCs w:val="20"/>
          <w:color w:val="auto"/>
        </w:rPr>
        <w:t>As part of the Company’s reevaluation of its reporting units, the accounting guidance required the reporting units be tested for impairment through a Step 1 quantitative analysis.</w:t>
      </w:r>
    </w:p>
    <w:p>
      <w:pPr>
        <w:spacing w:after="0" w:line="159" w:lineRule="exact"/>
        <w:rPr>
          <w:sz w:val="20"/>
          <w:szCs w:val="20"/>
          <w:color w:val="auto"/>
        </w:rPr>
      </w:pPr>
    </w:p>
    <w:p>
      <w:pPr>
        <w:ind w:left="20" w:right="20"/>
        <w:spacing w:after="0" w:line="249" w:lineRule="auto"/>
        <w:rPr>
          <w:sz w:val="20"/>
          <w:szCs w:val="20"/>
          <w:color w:val="auto"/>
        </w:rPr>
      </w:pPr>
      <w:r>
        <w:rPr>
          <w:rFonts w:ascii="Times New Roman" w:cs="Times New Roman" w:eastAsia="Times New Roman" w:hAnsi="Times New Roman"/>
          <w:sz w:val="20"/>
          <w:szCs w:val="20"/>
          <w:color w:val="auto"/>
        </w:rPr>
        <w:t>The analysis performed included estimating the fair value of each reporting unit using either an income or market approach. The income approach required management to estimate a number of factors for each reporting unit, including projected future operating results, economic projections, anticipated future cash flows, discount rates, the allocation of shared or corporate costs and the eventual repeal of 280E. The market approach estimated fair value using comparable marketplace fair value data from within a comparable industry grouping.</w:t>
      </w:r>
    </w:p>
    <w:p>
      <w:pPr>
        <w:spacing w:after="0" w:line="187" w:lineRule="exact"/>
        <w:rPr>
          <w:sz w:val="20"/>
          <w:szCs w:val="20"/>
          <w:color w:val="auto"/>
        </w:rPr>
      </w:pPr>
    </w:p>
    <w:p>
      <w:pPr>
        <w:ind w:left="20" w:right="240"/>
        <w:spacing w:after="0" w:line="278" w:lineRule="auto"/>
        <w:rPr>
          <w:sz w:val="20"/>
          <w:szCs w:val="20"/>
          <w:color w:val="auto"/>
        </w:rPr>
      </w:pPr>
      <w:r>
        <w:rPr>
          <w:rFonts w:ascii="Times New Roman" w:cs="Times New Roman" w:eastAsia="Times New Roman" w:hAnsi="Times New Roman"/>
          <w:sz w:val="19"/>
          <w:szCs w:val="19"/>
          <w:color w:val="auto"/>
        </w:rPr>
        <w:t>As a result of the Company’s analysis, an impairment charge of $44,392 thousand associated with its Nevada Consumer Packaged Goods operations and $12,980 thousand associated with its Nevada Retail operations, was recorded during the year ended December 31, 2022, as the carrying value of the reporting units exceeded their estimated fair value by such amounts.</w:t>
      </w:r>
    </w:p>
    <w:p>
      <w:pPr>
        <w:spacing w:after="0" w:line="177"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20"/>
          <w:szCs w:val="20"/>
          <w:i w:val="1"/>
          <w:iCs w:val="1"/>
          <w:color w:val="auto"/>
        </w:rPr>
        <w:t>(vi)</w:t>
      </w:r>
      <w:r>
        <w:rPr>
          <w:sz w:val="20"/>
          <w:szCs w:val="20"/>
          <w:color w:val="auto"/>
        </w:rPr>
        <w:tab/>
      </w:r>
      <w:r>
        <w:rPr>
          <w:rFonts w:ascii="Times New Roman" w:cs="Times New Roman" w:eastAsia="Times New Roman" w:hAnsi="Times New Roman"/>
          <w:sz w:val="19"/>
          <w:szCs w:val="19"/>
          <w:i w:val="1"/>
          <w:iCs w:val="1"/>
          <w:color w:val="auto"/>
        </w:rPr>
        <w:t>Determination of Reporting Units</w:t>
      </w:r>
    </w:p>
    <w:p>
      <w:pPr>
        <w:spacing w:after="0" w:line="228" w:lineRule="exact"/>
        <w:rPr>
          <w:sz w:val="20"/>
          <w:szCs w:val="20"/>
          <w:color w:val="auto"/>
        </w:rPr>
      </w:pPr>
    </w:p>
    <w:p>
      <w:pPr>
        <w:ind w:left="20" w:right="280"/>
        <w:spacing w:after="0" w:line="252" w:lineRule="auto"/>
        <w:rPr>
          <w:sz w:val="20"/>
          <w:szCs w:val="20"/>
          <w:color w:val="auto"/>
        </w:rPr>
      </w:pPr>
      <w:r>
        <w:rPr>
          <w:rFonts w:ascii="Times New Roman" w:cs="Times New Roman" w:eastAsia="Times New Roman" w:hAnsi="Times New Roman"/>
          <w:sz w:val="20"/>
          <w:szCs w:val="20"/>
          <w:color w:val="auto"/>
        </w:rPr>
        <w:t xml:space="preserve">The Company’s assets are aggregated into two reportable segments (Retail and Consumer Packaged Goods). Management evaluated its reporting units under the accounting guidance provided in </w:t>
      </w:r>
      <w:r>
        <w:rPr>
          <w:rFonts w:ascii="Times New Roman" w:cs="Times New Roman" w:eastAsia="Times New Roman" w:hAnsi="Times New Roman"/>
          <w:sz w:val="20"/>
          <w:szCs w:val="20"/>
          <w:i w:val="1"/>
          <w:iCs w:val="1"/>
          <w:color w:val="auto"/>
        </w:rPr>
        <w:t>ASC 280 Segment Reporting</w:t>
      </w:r>
      <w:r>
        <w:rPr>
          <w:rFonts w:ascii="Times New Roman" w:cs="Times New Roman" w:eastAsia="Times New Roman" w:hAnsi="Times New Roman"/>
          <w:sz w:val="20"/>
          <w:szCs w:val="20"/>
          <w:color w:val="auto"/>
        </w:rPr>
        <w:t>, and determined that the individual components within each respective reportable segment were economically similar and thus, aggregation of those components into two reporting units that align with our reportable segments, was applied.</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i w:val="1"/>
          <w:iCs w:val="1"/>
          <w:color w:val="auto"/>
        </w:rPr>
        <w:t>(vii) Consolidation</w:t>
      </w:r>
    </w:p>
    <w:p>
      <w:pPr>
        <w:spacing w:after="0" w:line="228" w:lineRule="exact"/>
        <w:rPr>
          <w:sz w:val="20"/>
          <w:szCs w:val="20"/>
          <w:color w:val="auto"/>
        </w:rPr>
      </w:pPr>
    </w:p>
    <w:p>
      <w:pPr>
        <w:ind w:left="20" w:right="20"/>
        <w:spacing w:after="0" w:line="247" w:lineRule="auto"/>
        <w:rPr>
          <w:sz w:val="20"/>
          <w:szCs w:val="20"/>
          <w:color w:val="auto"/>
        </w:rPr>
      </w:pPr>
      <w:r>
        <w:rPr>
          <w:rFonts w:ascii="Times New Roman" w:cs="Times New Roman" w:eastAsia="Times New Roman" w:hAnsi="Times New Roman"/>
          <w:sz w:val="20"/>
          <w:szCs w:val="20"/>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204" w:lineRule="exact"/>
        <w:rPr>
          <w:sz w:val="20"/>
          <w:szCs w:val="20"/>
          <w:color w:val="auto"/>
        </w:rPr>
      </w:pPr>
    </w:p>
    <w:p>
      <w:pPr>
        <w:ind w:left="920" w:hanging="551"/>
        <w:spacing w:after="0"/>
        <w:tabs>
          <w:tab w:leader="none" w:pos="920" w:val="left"/>
        </w:tabs>
        <w:numPr>
          <w:ilvl w:val="0"/>
          <w:numId w:val="70"/>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color w:val="auto"/>
        </w:rPr>
        <w:t>Allowance for Uncollectible Accounts</w:t>
      </w:r>
    </w:p>
    <w:p>
      <w:pPr>
        <w:spacing w:after="0" w:line="230" w:lineRule="exact"/>
        <w:rPr>
          <w:sz w:val="20"/>
          <w:szCs w:val="20"/>
          <w:color w:val="auto"/>
        </w:rPr>
      </w:pPr>
    </w:p>
    <w:p>
      <w:pPr>
        <w:ind w:left="20" w:right="20"/>
        <w:spacing w:after="0" w:line="270" w:lineRule="auto"/>
        <w:rPr>
          <w:sz w:val="20"/>
          <w:szCs w:val="20"/>
          <w:color w:val="auto"/>
        </w:rPr>
      </w:pPr>
      <w:r>
        <w:rPr>
          <w:rFonts w:ascii="Times New Roman" w:cs="Times New Roman" w:eastAsia="Times New Roman" w:hAnsi="Times New Roman"/>
          <w:sz w:val="19"/>
          <w:szCs w:val="19"/>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183" w:lineRule="exact"/>
        <w:rPr>
          <w:sz w:val="20"/>
          <w:szCs w:val="20"/>
          <w:color w:val="auto"/>
        </w:rPr>
      </w:pPr>
    </w:p>
    <w:p>
      <w:pPr>
        <w:ind w:left="480"/>
        <w:spacing w:after="0"/>
        <w:tabs>
          <w:tab w:leader="none" w:pos="900" w:val="left"/>
        </w:tabs>
        <w:rPr>
          <w:sz w:val="20"/>
          <w:szCs w:val="20"/>
          <w:color w:val="auto"/>
        </w:rPr>
      </w:pPr>
      <w:r>
        <w:rPr>
          <w:rFonts w:ascii="Times New Roman" w:cs="Times New Roman" w:eastAsia="Times New Roman" w:hAnsi="Times New Roman"/>
          <w:sz w:val="20"/>
          <w:szCs w:val="20"/>
          <w:i w:val="1"/>
          <w:iCs w:val="1"/>
          <w:color w:val="auto"/>
        </w:rPr>
        <w:t>(ix)</w:t>
        <w:tab/>
        <w:t>Stock-Based Payments</w:t>
      </w:r>
    </w:p>
    <w:p>
      <w:pPr>
        <w:spacing w:after="0" w:line="228" w:lineRule="exact"/>
        <w:rPr>
          <w:sz w:val="20"/>
          <w:szCs w:val="20"/>
          <w:color w:val="auto"/>
        </w:rPr>
      </w:pPr>
    </w:p>
    <w:p>
      <w:pPr>
        <w:ind w:left="20" w:right="120"/>
        <w:spacing w:after="0" w:line="252" w:lineRule="auto"/>
        <w:rPr>
          <w:sz w:val="20"/>
          <w:szCs w:val="20"/>
          <w:color w:val="auto"/>
        </w:rPr>
      </w:pPr>
      <w:r>
        <w:rPr>
          <w:rFonts w:ascii="Times New Roman" w:cs="Times New Roman" w:eastAsia="Times New Roman" w:hAnsi="Times New Roman"/>
          <w:sz w:val="20"/>
          <w:szCs w:val="20"/>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200" w:lineRule="exact"/>
        <w:rPr>
          <w:sz w:val="20"/>
          <w:szCs w:val="20"/>
          <w:color w:val="auto"/>
        </w:rPr>
      </w:pPr>
    </w:p>
    <w:p>
      <w:pPr>
        <w:ind w:left="920" w:hanging="437"/>
        <w:spacing w:after="0"/>
        <w:tabs>
          <w:tab w:leader="none" w:pos="92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Fair Value of Financial Instruments</w:t>
      </w:r>
    </w:p>
    <w:p>
      <w:pPr>
        <w:spacing w:after="0" w:line="228" w:lineRule="exact"/>
        <w:rPr>
          <w:sz w:val="20"/>
          <w:szCs w:val="20"/>
          <w:color w:val="auto"/>
        </w:rPr>
      </w:pPr>
    </w:p>
    <w:p>
      <w:pPr>
        <w:ind w:left="20"/>
        <w:spacing w:after="0" w:line="245" w:lineRule="auto"/>
        <w:rPr>
          <w:sz w:val="20"/>
          <w:szCs w:val="20"/>
          <w:color w:val="auto"/>
        </w:rPr>
      </w:pPr>
      <w:r>
        <w:rPr>
          <w:rFonts w:ascii="Times New Roman" w:cs="Times New Roman" w:eastAsia="Times New Roman" w:hAnsi="Times New Roman"/>
          <w:sz w:val="20"/>
          <w:szCs w:val="20"/>
          <w:color w:val="auto"/>
        </w:rPr>
        <w:t>The individual fair values attributed to the different components of a financing transaction or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F-18</w:t>
      </w:r>
    </w:p>
    <w:p>
      <w:pPr>
        <w:sectPr>
          <w:pgSz w:w="12240" w:h="15840" w:orient="portrait"/>
          <w:cols w:equalWidth="0" w:num="1">
            <w:col w:w="10300"/>
          </w:cols>
          <w:pgMar w:left="1200" w:top="696" w:right="740" w:bottom="147" w:gutter="0" w:footer="0" w:header="0"/>
        </w:sectPr>
      </w:pPr>
    </w:p>
    <w:bookmarkStart w:id="97" w:name="page98"/>
    <w:bookmarkEnd w:id="9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SIGNIFICANT ACCOUNTING POLICIES </w:t>
      </w:r>
      <w:r>
        <w:rPr>
          <w:rFonts w:ascii="Times New Roman" w:cs="Times New Roman" w:eastAsia="Times New Roman" w:hAnsi="Times New Roman"/>
          <w:sz w:val="20"/>
          <w:szCs w:val="20"/>
          <w:i w:val="1"/>
          <w:iCs w:val="1"/>
          <w:color w:val="auto"/>
        </w:rPr>
        <w:t>(Continued)</w:t>
      </w:r>
    </w:p>
    <w:p>
      <w:pPr>
        <w:spacing w:after="0" w:line="200" w:lineRule="exact"/>
        <w:rPr>
          <w:rFonts w:ascii="Times New Roman" w:cs="Times New Roman" w:eastAsia="Times New Roman" w:hAnsi="Times New Roman"/>
          <w:sz w:val="20"/>
          <w:szCs w:val="20"/>
          <w:b w:val="1"/>
          <w:bCs w:val="1"/>
          <w:color w:val="auto"/>
        </w:rPr>
      </w:pPr>
    </w:p>
    <w:p>
      <w:pPr>
        <w:spacing w:after="0" w:line="276" w:lineRule="exact"/>
        <w:rPr>
          <w:rFonts w:ascii="Times New Roman" w:cs="Times New Roman" w:eastAsia="Times New Roman" w:hAnsi="Times New Roman"/>
          <w:sz w:val="20"/>
          <w:szCs w:val="20"/>
          <w:b w:val="1"/>
          <w:bCs w:val="1"/>
          <w:color w:val="auto"/>
        </w:rPr>
      </w:pPr>
    </w:p>
    <w:p>
      <w:pPr>
        <w:ind w:left="980" w:hanging="491"/>
        <w:spacing w:after="0"/>
        <w:tabs>
          <w:tab w:leader="none" w:pos="980" w:val="left"/>
        </w:tabs>
        <w:numPr>
          <w:ilvl w:val="1"/>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and Revised Standards</w:t>
      </w:r>
    </w:p>
    <w:p>
      <w:pPr>
        <w:spacing w:after="0" w:line="279" w:lineRule="exact"/>
        <w:rPr>
          <w:rFonts w:ascii="Times New Roman" w:cs="Times New Roman" w:eastAsia="Times New Roman" w:hAnsi="Times New Roman"/>
          <w:sz w:val="20"/>
          <w:szCs w:val="20"/>
          <w:b w:val="1"/>
          <w:bCs w:val="1"/>
          <w:color w:val="auto"/>
        </w:rPr>
      </w:pPr>
    </w:p>
    <w:p>
      <w:pPr>
        <w:ind w:left="1360" w:hanging="685"/>
        <w:spacing w:after="0"/>
        <w:tabs>
          <w:tab w:leader="none" w:pos="1360" w:val="left"/>
        </w:tabs>
        <w:numPr>
          <w:ilvl w:val="2"/>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November 2024, the Financial Accounting Standards Board (“FASB”) issued </w:t>
      </w:r>
      <w:r>
        <w:rPr>
          <w:rFonts w:ascii="Times New Roman" w:cs="Times New Roman" w:eastAsia="Times New Roman" w:hAnsi="Times New Roman"/>
          <w:sz w:val="19"/>
          <w:szCs w:val="19"/>
          <w:i w:val="1"/>
          <w:iCs w:val="1"/>
          <w:color w:val="auto"/>
        </w:rPr>
        <w:t>ASU No. 2024-03, Income Statement</w:t>
      </w:r>
    </w:p>
    <w:p>
      <w:pPr>
        <w:spacing w:after="0" w:line="39" w:lineRule="exact"/>
        <w:rPr>
          <w:rFonts w:ascii="Times New Roman" w:cs="Times New Roman" w:eastAsia="Times New Roman" w:hAnsi="Times New Roman"/>
          <w:sz w:val="19"/>
          <w:szCs w:val="19"/>
          <w:color w:val="auto"/>
        </w:rPr>
      </w:pPr>
    </w:p>
    <w:p>
      <w:pPr>
        <w:ind w:left="1360" w:right="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Reporting Comprehensive Income – Expense Disaggregation Disclosures (Subtopic 220-40): Disaggregation of Income Statement Expenses</w:t>
      </w:r>
      <w:r>
        <w:rPr>
          <w:rFonts w:ascii="Times New Roman" w:cs="Times New Roman" w:eastAsia="Times New Roman" w:hAnsi="Times New Roman"/>
          <w:sz w:val="20"/>
          <w:szCs w:val="20"/>
          <w:color w:val="auto"/>
        </w:rPr>
        <w:t>. This ASU requires an entity to disclose the amounts of purchases of inventory,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employee compensation, depreciation, and intangible asset amortization included in each relevant expense caption. It also requires an entity to include certain amounts that are already required to be disclosed under current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The adoption of this standard is not expected to have a material impact on the Company’s consolidated financial statements.</w:t>
      </w:r>
    </w:p>
    <w:p>
      <w:pPr>
        <w:spacing w:after="0" w:line="92" w:lineRule="exact"/>
        <w:rPr>
          <w:rFonts w:ascii="Times New Roman" w:cs="Times New Roman" w:eastAsia="Times New Roman" w:hAnsi="Times New Roman"/>
          <w:sz w:val="19"/>
          <w:szCs w:val="19"/>
          <w:color w:val="auto"/>
        </w:rPr>
      </w:pPr>
    </w:p>
    <w:p>
      <w:pPr>
        <w:ind w:left="1360" w:right="60" w:hanging="740"/>
        <w:spacing w:after="0" w:line="249" w:lineRule="auto"/>
        <w:tabs>
          <w:tab w:leader="none" w:pos="136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2023, the FASB issued ASU No. 2023-09, Income Taxes (Topic 740): Improvements to Income Tax Disclosures, which is intended to provide enhancements to annual income tax disclosures. The standard will require more detailed information in the rate reconciliation table and for income taxes paid, among other enhancements. The standard is effective for years beginning after December 15, 2024 and early adoption is permitted. The adoption of this standard is not expected to have a material impact on the Company’s consolidated financial statements.</w:t>
      </w:r>
    </w:p>
    <w:p>
      <w:pPr>
        <w:spacing w:after="0" w:line="76" w:lineRule="exact"/>
        <w:rPr>
          <w:rFonts w:ascii="Times New Roman" w:cs="Times New Roman" w:eastAsia="Times New Roman" w:hAnsi="Times New Roman"/>
          <w:sz w:val="20"/>
          <w:szCs w:val="20"/>
          <w:color w:val="auto"/>
        </w:rPr>
      </w:pPr>
    </w:p>
    <w:p>
      <w:pPr>
        <w:ind w:left="1360" w:right="160" w:hanging="796"/>
        <w:spacing w:after="0" w:line="249" w:lineRule="auto"/>
        <w:tabs>
          <w:tab w:leader="none" w:pos="1360"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2023, the FASB issued ASU No.2023-07, Segment Reporting (Topic 280) - Improvements to Reportable Segment Disclosures, to provide enhanced segment disclosures. The standard requires disclosures about significant segment expense categories and amounts for each reportable segment, for all periods</w:t>
      </w:r>
    </w:p>
    <w:p>
      <w:pPr>
        <w:spacing w:after="0" w:line="2" w:lineRule="exact"/>
        <w:rPr>
          <w:rFonts w:ascii="Times New Roman" w:cs="Times New Roman" w:eastAsia="Times New Roman" w:hAnsi="Times New Roman"/>
          <w:sz w:val="20"/>
          <w:szCs w:val="20"/>
          <w:color w:val="auto"/>
        </w:rPr>
      </w:pPr>
    </w:p>
    <w:p>
      <w:pPr>
        <w:ind w:left="1360" w:right="10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-4509135</wp:posOffset>
                </wp:positionV>
                <wp:extent cx="689483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55.0499pt" to="541.45pt,-355.0499pt" o:allowincell="f" strokecolor="#000000" strokeweight="0.75pt"/>
            </w:pict>
          </mc:Fallback>
        </mc:AlternateContent>
      </w:r>
    </w:p>
    <w:p>
      <w:pPr>
        <w:sectPr>
          <w:pgSz w:w="12240" w:h="15840" w:orient="portrait"/>
          <w:cols w:equalWidth="0" w:num="1">
            <w:col w:w="10760"/>
          </w:cols>
          <w:pgMar w:left="720" w:top="69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760"/>
          </w:cols>
          <w:pgMar w:left="720" w:top="696" w:right="760" w:bottom="186"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2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Company’s inventories include the following at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9"/>
                <w:szCs w:val="19"/>
                <w:color w:val="auto"/>
              </w:rPr>
            </w:pPr>
          </w:p>
        </w:tc>
        <w:tc>
          <w:tcPr>
            <w:tcW w:w="2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7"/>
        </w:trPr>
        <w:tc>
          <w:tcPr>
            <w:tcW w:w="4120" w:type="dxa"/>
            <w:vAlign w:val="bottom"/>
            <w:tcBorders>
              <w:bottom w:val="single" w:sz="8" w:color="E6E6E6"/>
            </w:tcBorders>
          </w:tcPr>
          <w:p>
            <w:pPr>
              <w:spacing w:after="0"/>
              <w:rPr>
                <w:sz w:val="17"/>
                <w:szCs w:val="17"/>
                <w:color w:val="auto"/>
              </w:rPr>
            </w:pPr>
          </w:p>
        </w:tc>
        <w:tc>
          <w:tcPr>
            <w:tcW w:w="1980" w:type="dxa"/>
            <w:vAlign w:val="bottom"/>
            <w:tcBorders>
              <w:bottom w:val="single" w:sz="8" w:color="E6E6E6"/>
            </w:tcBorders>
          </w:tcPr>
          <w:p>
            <w:pPr>
              <w:spacing w:after="0"/>
              <w:rPr>
                <w:sz w:val="17"/>
                <w:szCs w:val="17"/>
                <w:color w:val="auto"/>
              </w:rPr>
            </w:pPr>
          </w:p>
        </w:tc>
        <w:tc>
          <w:tcPr>
            <w:tcW w:w="4700" w:type="dxa"/>
            <w:vAlign w:val="bottom"/>
            <w:tcBorders>
              <w:bottom w:val="single" w:sz="8" w:color="auto"/>
            </w:tcBorders>
            <w:gridSpan w:val="3"/>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97"/>
        </w:trPr>
        <w:tc>
          <w:tcPr>
            <w:tcW w:w="4120" w:type="dxa"/>
            <w:vAlign w:val="bottom"/>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Raw Material</w:t>
            </w:r>
          </w:p>
        </w:tc>
        <w:tc>
          <w:tcPr>
            <w:tcW w:w="19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2,501</w:t>
            </w:r>
          </w:p>
        </w:tc>
        <w:tc>
          <w:tcPr>
            <w:tcW w:w="160" w:type="dxa"/>
            <w:vAlign w:val="bottom"/>
            <w:shd w:val="clear" w:color="auto" w:fill="E6E6E6"/>
          </w:tcPr>
          <w:p>
            <w:pPr>
              <w:jc w:val="cente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1,547</w:t>
            </w: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Packaging and Miscellaneous</w:t>
            </w:r>
          </w:p>
        </w:tc>
        <w:tc>
          <w:tcPr>
            <w:tcW w:w="19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07"/>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980" w:type="dxa"/>
            <w:vAlign w:val="bottom"/>
            <w:shd w:val="clear" w:color="auto" w:fill="E6E6E6"/>
          </w:tcPr>
          <w:p>
            <w:pPr>
              <w:spacing w:after="0"/>
              <w:rPr>
                <w:sz w:val="17"/>
                <w:szCs w:val="17"/>
                <w:color w:val="auto"/>
              </w:rPr>
            </w:pPr>
          </w:p>
        </w:tc>
        <w:tc>
          <w:tcPr>
            <w:tcW w:w="2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57,893</w:t>
            </w:r>
          </w:p>
        </w:tc>
        <w:tc>
          <w:tcPr>
            <w:tcW w:w="160" w:type="dxa"/>
            <w:vAlign w:val="bottom"/>
            <w:shd w:val="clear" w:color="auto" w:fill="E6E6E6"/>
          </w:tcPr>
          <w:p>
            <w:pPr>
              <w:spacing w:after="0"/>
              <w:rPr>
                <w:sz w:val="17"/>
                <w:szCs w:val="17"/>
                <w:color w:val="auto"/>
              </w:rPr>
            </w:pPr>
          </w:p>
        </w:tc>
        <w:tc>
          <w:tcPr>
            <w:tcW w:w="2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47,029</w:t>
            </w:r>
          </w:p>
        </w:tc>
      </w:tr>
      <w:tr>
        <w:trPr>
          <w:trHeight w:val="20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76,626</w:t>
            </w:r>
          </w:p>
        </w:tc>
        <w:tc>
          <w:tcPr>
            <w:tcW w:w="1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57,631</w:t>
            </w:r>
          </w:p>
        </w:tc>
      </w:tr>
      <w:tr>
        <w:trPr>
          <w:trHeight w:val="207"/>
        </w:trPr>
        <w:tc>
          <w:tcPr>
            <w:tcW w:w="41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Reserve for Obsolete Inventory</w:t>
            </w:r>
          </w:p>
        </w:tc>
        <w:tc>
          <w:tcPr>
            <w:tcW w:w="1980" w:type="dxa"/>
            <w:vAlign w:val="bottom"/>
            <w:shd w:val="clear" w:color="auto" w:fill="E6E6E6"/>
          </w:tcPr>
          <w:p>
            <w:pPr>
              <w:spacing w:after="0"/>
              <w:rPr>
                <w:sz w:val="17"/>
                <w:szCs w:val="17"/>
                <w:color w:val="auto"/>
              </w:rPr>
            </w:pPr>
          </w:p>
        </w:tc>
        <w:tc>
          <w:tcPr>
            <w:tcW w:w="22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60" w:type="dxa"/>
            <w:vAlign w:val="bottom"/>
            <w:shd w:val="clear" w:color="auto" w:fill="E6E6E6"/>
          </w:tcPr>
          <w:p>
            <w:pPr>
              <w:spacing w:after="0"/>
              <w:rPr>
                <w:sz w:val="17"/>
                <w:szCs w:val="17"/>
                <w:color w:val="auto"/>
              </w:rPr>
            </w:pPr>
          </w:p>
        </w:tc>
        <w:tc>
          <w:tcPr>
            <w:tcW w:w="22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(3,898)</w:t>
            </w:r>
          </w:p>
        </w:tc>
      </w:tr>
      <w:tr>
        <w:trPr>
          <w:trHeight w:val="197"/>
        </w:trPr>
        <w:tc>
          <w:tcPr>
            <w:tcW w:w="412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Total Inventories, Net</w:t>
            </w:r>
          </w:p>
        </w:tc>
        <w:tc>
          <w:tcPr>
            <w:tcW w:w="19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147,162</w:t>
            </w:r>
          </w:p>
        </w:tc>
        <w:tc>
          <w:tcPr>
            <w:tcW w:w="16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26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112,970</w:t>
            </w:r>
          </w:p>
        </w:tc>
      </w:tr>
      <w:tr>
        <w:trPr>
          <w:trHeight w:val="20"/>
        </w:trPr>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00" w:hanging="600"/>
        <w:spacing w:after="0"/>
        <w:tabs>
          <w:tab w:leader="none" w:pos="6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79375</wp:posOffset>
                </wp:positionV>
                <wp:extent cx="689483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25pt" to="541.45pt,6.25pt" o:allowincell="f" strokecolor="#000000" strokeweight="1pt"/>
            </w:pict>
          </mc:Fallback>
        </mc:AlternateConten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At December 31, 2024 and 2023, property and equipment consisted of the following:</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7"/>
        </w:trPr>
        <w:tc>
          <w:tcPr>
            <w:tcW w:w="5040" w:type="dxa"/>
            <w:vAlign w:val="bottom"/>
            <w:tcBorders>
              <w:bottom w:val="single" w:sz="8" w:color="E6E6E6"/>
            </w:tcBorders>
          </w:tcPr>
          <w:p>
            <w:pPr>
              <w:spacing w:after="0"/>
              <w:rPr>
                <w:sz w:val="22"/>
                <w:szCs w:val="22"/>
                <w:color w:val="auto"/>
              </w:rPr>
            </w:pPr>
          </w:p>
        </w:tc>
        <w:tc>
          <w:tcPr>
            <w:tcW w:w="320" w:type="dxa"/>
            <w:vAlign w:val="bottom"/>
            <w:tcBorders>
              <w:bottom w:val="single" w:sz="8" w:color="E6E6E6"/>
            </w:tcBorders>
          </w:tcPr>
          <w:p>
            <w:pPr>
              <w:spacing w:after="0"/>
              <w:rPr>
                <w:sz w:val="22"/>
                <w:szCs w:val="22"/>
                <w:color w:val="auto"/>
              </w:rPr>
            </w:pPr>
          </w:p>
        </w:tc>
        <w:tc>
          <w:tcPr>
            <w:tcW w:w="3380" w:type="dxa"/>
            <w:vAlign w:val="bottom"/>
            <w:tcBorders>
              <w:bottom w:val="single" w:sz="8" w:color="auto"/>
            </w:tcBorders>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60" w:type="dxa"/>
            <w:vAlign w:val="bottom"/>
            <w:tcBorders>
              <w:bottom w:val="single" w:sz="8" w:color="auto"/>
            </w:tcBorders>
          </w:tcPr>
          <w:p>
            <w:pPr>
              <w:spacing w:after="0"/>
              <w:rPr>
                <w:sz w:val="22"/>
                <w:szCs w:val="22"/>
                <w:color w:val="auto"/>
              </w:rPr>
            </w:pPr>
          </w:p>
        </w:tc>
      </w:tr>
      <w:tr>
        <w:trPr>
          <w:trHeight w:val="217"/>
        </w:trPr>
        <w:tc>
          <w:tcPr>
            <w:tcW w:w="5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356,612</w:t>
            </w:r>
          </w:p>
        </w:tc>
        <w:tc>
          <w:tcPr>
            <w:tcW w:w="34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6E6E6"/>
          </w:tcPr>
          <w:p>
            <w:pPr>
              <w:spacing w:after="0"/>
              <w:rPr>
                <w:sz w:val="18"/>
                <w:szCs w:val="18"/>
                <w:color w:val="auto"/>
              </w:rPr>
            </w:pPr>
          </w:p>
        </w:tc>
        <w:tc>
          <w:tcPr>
            <w:tcW w:w="2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353,912</w:t>
            </w:r>
          </w:p>
        </w:tc>
      </w:tr>
      <w:tr>
        <w:trPr>
          <w:trHeight w:val="22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Equipment, Computers and Furniture</w:t>
            </w:r>
          </w:p>
        </w:tc>
        <w:tc>
          <w:tcPr>
            <w:tcW w:w="3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171,522</w:t>
            </w:r>
          </w:p>
        </w:tc>
      </w:tr>
      <w:tr>
        <w:trPr>
          <w:trHeight w:val="221"/>
        </w:trPr>
        <w:tc>
          <w:tcPr>
            <w:tcW w:w="5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shd w:val="clear" w:color="auto" w:fill="E6E6E6"/>
          </w:tcPr>
          <w:p>
            <w:pPr>
              <w:spacing w:after="0"/>
              <w:rPr>
                <w:sz w:val="19"/>
                <w:szCs w:val="19"/>
                <w:color w:val="auto"/>
              </w:rPr>
            </w:pPr>
          </w:p>
        </w:tc>
        <w:tc>
          <w:tcPr>
            <w:tcW w:w="2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241,544</w:t>
            </w:r>
          </w:p>
        </w:tc>
        <w:tc>
          <w:tcPr>
            <w:tcW w:w="3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2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200,232</w:t>
            </w:r>
          </w:p>
        </w:tc>
      </w:tr>
      <w:tr>
        <w:trPr>
          <w:trHeight w:val="22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33,725</w:t>
            </w:r>
          </w:p>
        </w:tc>
      </w:tr>
      <w:tr>
        <w:trPr>
          <w:trHeight w:val="221"/>
        </w:trPr>
        <w:tc>
          <w:tcPr>
            <w:tcW w:w="5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20" w:type="dxa"/>
            <w:vAlign w:val="bottom"/>
            <w:shd w:val="clear" w:color="auto" w:fill="E6E6E6"/>
          </w:tcPr>
          <w:p>
            <w:pPr>
              <w:spacing w:after="0"/>
              <w:rPr>
                <w:sz w:val="19"/>
                <w:szCs w:val="19"/>
                <w:color w:val="auto"/>
              </w:rPr>
            </w:pPr>
          </w:p>
        </w:tc>
        <w:tc>
          <w:tcPr>
            <w:tcW w:w="2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40" w:type="dxa"/>
            <w:vAlign w:val="bottom"/>
            <w:shd w:val="clear" w:color="auto" w:fill="E6E6E6"/>
          </w:tcPr>
          <w:p>
            <w:pPr>
              <w:spacing w:after="0"/>
              <w:rPr>
                <w:sz w:val="19"/>
                <w:szCs w:val="19"/>
                <w:color w:val="auto"/>
              </w:rPr>
            </w:pPr>
          </w:p>
        </w:tc>
        <w:tc>
          <w:tcPr>
            <w:tcW w:w="340" w:type="dxa"/>
            <w:vAlign w:val="bottom"/>
            <w:shd w:val="clear" w:color="auto" w:fill="E6E6E6"/>
          </w:tcPr>
          <w:p>
            <w:pPr>
              <w:spacing w:after="0"/>
              <w:rPr>
                <w:sz w:val="19"/>
                <w:szCs w:val="19"/>
                <w:color w:val="auto"/>
              </w:rPr>
            </w:pPr>
          </w:p>
        </w:tc>
        <w:tc>
          <w:tcPr>
            <w:tcW w:w="2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1"/>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32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23,142</w:t>
            </w:r>
          </w:p>
        </w:tc>
      </w:tr>
      <w:tr>
        <w:trPr>
          <w:trHeight w:val="221"/>
        </w:trPr>
        <w:tc>
          <w:tcPr>
            <w:tcW w:w="5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320" w:type="dxa"/>
            <w:vAlign w:val="bottom"/>
            <w:shd w:val="clear" w:color="auto" w:fill="E6E6E6"/>
          </w:tcPr>
          <w:p>
            <w:pPr>
              <w:spacing w:after="0"/>
              <w:rPr>
                <w:sz w:val="19"/>
                <w:szCs w:val="19"/>
                <w:color w:val="auto"/>
              </w:rPr>
            </w:pPr>
          </w:p>
        </w:tc>
        <w:tc>
          <w:tcPr>
            <w:tcW w:w="2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340" w:type="dxa"/>
            <w:vAlign w:val="bottom"/>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30,817</w:t>
            </w: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32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903,375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814,396</w:t>
            </w:r>
          </w:p>
        </w:tc>
      </w:tr>
      <w:tr>
        <w:trPr>
          <w:trHeight w:val="221"/>
        </w:trPr>
        <w:tc>
          <w:tcPr>
            <w:tcW w:w="50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E6E6E6"/>
          </w:tcPr>
          <w:p>
            <w:pPr>
              <w:spacing w:after="0"/>
              <w:rPr>
                <w:sz w:val="19"/>
                <w:szCs w:val="19"/>
                <w:color w:val="auto"/>
              </w:rPr>
            </w:pPr>
          </w:p>
        </w:tc>
        <w:tc>
          <w:tcPr>
            <w:tcW w:w="2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(187,361)</w:t>
            </w:r>
          </w:p>
        </w:tc>
        <w:tc>
          <w:tcPr>
            <w:tcW w:w="340" w:type="dxa"/>
            <w:vAlign w:val="bottom"/>
            <w:shd w:val="clear" w:color="auto" w:fill="E6E6E6"/>
          </w:tcPr>
          <w:p>
            <w:pPr>
              <w:spacing w:after="0"/>
              <w:rPr>
                <w:sz w:val="19"/>
                <w:szCs w:val="19"/>
                <w:color w:val="auto"/>
              </w:rPr>
            </w:pPr>
          </w:p>
        </w:tc>
        <w:tc>
          <w:tcPr>
            <w:tcW w:w="340" w:type="dxa"/>
            <w:vAlign w:val="bottom"/>
            <w:tcBorders>
              <w:bottom w:val="single" w:sz="8" w:color="auto"/>
            </w:tcBorders>
            <w:shd w:val="clear" w:color="auto" w:fill="E6E6E6"/>
          </w:tcPr>
          <w:p>
            <w:pPr>
              <w:spacing w:after="0"/>
              <w:rPr>
                <w:sz w:val="19"/>
                <w:szCs w:val="19"/>
                <w:color w:val="auto"/>
              </w:rPr>
            </w:pPr>
          </w:p>
        </w:tc>
        <w:tc>
          <w:tcPr>
            <w:tcW w:w="2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(127,290)</w:t>
            </w:r>
          </w:p>
        </w:tc>
      </w:tr>
      <w:tr>
        <w:trPr>
          <w:trHeight w:val="211"/>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716,014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687,106</w:t>
            </w: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320"/>
        <w:spacing w:after="0" w:line="277" w:lineRule="auto"/>
        <w:rPr>
          <w:sz w:val="20"/>
          <w:szCs w:val="20"/>
          <w:color w:val="auto"/>
        </w:rPr>
      </w:pPr>
      <w:r>
        <w:rPr>
          <w:rFonts w:ascii="Times New Roman" w:cs="Times New Roman" w:eastAsia="Times New Roman" w:hAnsi="Times New Roman"/>
          <w:sz w:val="20"/>
          <w:szCs w:val="20"/>
          <w:color w:val="auto"/>
        </w:rPr>
        <w:t>Assets under construction represent costs associated with construction projects related to cultivation and production facilities and retail stores.</w:t>
      </w:r>
    </w:p>
    <w:p>
      <w:pPr>
        <w:spacing w:after="0" w:line="169" w:lineRule="exact"/>
        <w:rPr>
          <w:sz w:val="20"/>
          <w:szCs w:val="20"/>
          <w:color w:val="auto"/>
        </w:rPr>
      </w:pPr>
    </w:p>
    <w:p>
      <w:pPr>
        <w:jc w:val="both"/>
        <w:ind w:left="500" w:right="160"/>
        <w:spacing w:after="0" w:line="258" w:lineRule="auto"/>
        <w:rPr>
          <w:sz w:val="20"/>
          <w:szCs w:val="20"/>
          <w:color w:val="auto"/>
        </w:rPr>
      </w:pPr>
      <w:r>
        <w:rPr>
          <w:rFonts w:ascii="Times New Roman" w:cs="Times New Roman" w:eastAsia="Times New Roman" w:hAnsi="Times New Roman"/>
          <w:sz w:val="20"/>
          <w:szCs w:val="20"/>
          <w:color w:val="auto"/>
        </w:rPr>
        <w:t>Depreciation expense for the years ended December 31, 2024, 2023 and 2022 totaled $62,819 thousand, $49,949 thousand and $37,006 thousand, respectively, of which $40,563 thousand, $32,936 thousand and $24,117 thousand, respectively, is included in cost of goods sold.</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800"/>
          </w:cols>
          <w:pgMar w:left="720" w:top="696" w:right="720" w:bottom="186" w:gutter="0" w:footer="0" w:header="0"/>
          <w:type w:val="continuous"/>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INTANGIBLE ASSETS AND GOODWILL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254" w:lineRule="exact"/>
        <w:rPr>
          <w:sz w:val="20"/>
          <w:szCs w:val="20"/>
          <w:color w:val="auto"/>
        </w:rPr>
      </w:pPr>
    </w:p>
    <w:p>
      <w:pPr>
        <w:ind w:left="920" w:hanging="430"/>
        <w:spacing w:after="0"/>
        <w:tabs>
          <w:tab w:leader="none" w:pos="920" w:val="left"/>
        </w:tabs>
        <w:numPr>
          <w:ilvl w:val="0"/>
          <w:numId w:val="7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Intangible Assets</w:t>
      </w:r>
    </w:p>
    <w:p>
      <w:pPr>
        <w:spacing w:after="0" w:line="120" w:lineRule="exact"/>
        <w:rPr>
          <w:sz w:val="20"/>
          <w:szCs w:val="20"/>
          <w:color w:val="auto"/>
        </w:rPr>
      </w:pPr>
    </w:p>
    <w:p>
      <w:pPr>
        <w:ind w:left="500" w:right="40"/>
        <w:spacing w:after="0" w:line="252" w:lineRule="auto"/>
        <w:rPr>
          <w:sz w:val="20"/>
          <w:szCs w:val="20"/>
          <w:color w:val="auto"/>
        </w:rPr>
      </w:pPr>
      <w:r>
        <w:rPr>
          <w:rFonts w:ascii="Times New Roman" w:cs="Times New Roman" w:eastAsia="Times New Roman" w:hAnsi="Times New Roman"/>
          <w:sz w:val="20"/>
          <w:szCs w:val="20"/>
          <w:color w:val="auto"/>
        </w:rPr>
        <w:t>Intangible assets are recorded at cost less accumulated amortization and impairment losses.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At December 31, 2024 and 2023, intangible assets consisted of the following:</w:t>
      </w: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1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300" w:type="dxa"/>
            <w:vAlign w:val="bottom"/>
          </w:tcPr>
          <w:p>
            <w:pPr>
              <w:spacing w:after="0"/>
              <w:rPr>
                <w:sz w:val="13"/>
                <w:szCs w:val="13"/>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 Book Value</w:t>
            </w:r>
          </w:p>
        </w:tc>
        <w:tc>
          <w:tcPr>
            <w:tcW w:w="3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7"/>
                <w:szCs w:val="17"/>
                <w:color w:val="auto"/>
              </w:rPr>
            </w:pPr>
          </w:p>
        </w:tc>
        <w:tc>
          <w:tcPr>
            <w:tcW w:w="102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40" w:type="dxa"/>
            <w:vAlign w:val="bottom"/>
            <w:tcBorders>
              <w:bottom w:val="single" w:sz="8" w:color="E6E6E6"/>
            </w:tcBorders>
          </w:tcPr>
          <w:p>
            <w:pPr>
              <w:spacing w:after="0"/>
              <w:rPr>
                <w:sz w:val="15"/>
                <w:szCs w:val="15"/>
                <w:color w:val="auto"/>
              </w:rPr>
            </w:pPr>
          </w:p>
        </w:tc>
        <w:tc>
          <w:tcPr>
            <w:tcW w:w="520" w:type="dxa"/>
            <w:vAlign w:val="bottom"/>
            <w:tcBorders>
              <w:bottom w:val="single" w:sz="8" w:color="E6E6E6"/>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ind w:left="60"/>
              <w:spacing w:after="0" w:line="174" w:lineRule="exact"/>
              <w:rPr>
                <w:sz w:val="20"/>
                <w:szCs w:val="20"/>
                <w:color w:val="auto"/>
              </w:rPr>
            </w:pPr>
            <w:r>
              <w:rPr>
                <w:rFonts w:ascii="Times New Roman" w:cs="Times New Roman" w:eastAsia="Times New Roman" w:hAnsi="Times New Roman"/>
                <w:sz w:val="16"/>
                <w:szCs w:val="16"/>
                <w:b w:val="1"/>
                <w:bCs w:val="1"/>
                <w:color w:val="auto"/>
                <w:w w:val="96"/>
              </w:rPr>
              <w:t>(in thousands)</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300" w:type="dxa"/>
            <w:vAlign w:val="bottom"/>
            <w:tcBorders>
              <w:bottom w:val="single" w:sz="8" w:color="E6E6E6"/>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4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color w:val="auto"/>
              </w:rPr>
              <w:t>Licenses and Permits</w:t>
            </w:r>
          </w:p>
        </w:tc>
        <w:tc>
          <w:tcPr>
            <w:tcW w:w="5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660,716</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201,862</w:t>
            </w:r>
          </w:p>
        </w:tc>
        <w:tc>
          <w:tcPr>
            <w:tcW w:w="100" w:type="dxa"/>
            <w:vAlign w:val="bottom"/>
            <w:shd w:val="clear" w:color="auto" w:fill="E6E6E6"/>
          </w:tcPr>
          <w:p>
            <w:pPr>
              <w:spacing w:after="0"/>
              <w:rPr>
                <w:sz w:val="15"/>
                <w:szCs w:val="15"/>
                <w:color w:val="auto"/>
              </w:rPr>
            </w:pPr>
          </w:p>
        </w:tc>
        <w:tc>
          <w:tcPr>
            <w:tcW w:w="18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458,854</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660,716</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157,764</w:t>
            </w:r>
          </w:p>
        </w:tc>
        <w:tc>
          <w:tcPr>
            <w:tcW w:w="140" w:type="dxa"/>
            <w:vAlign w:val="bottom"/>
            <w:shd w:val="clear" w:color="auto" w:fill="E6E6E6"/>
          </w:tcPr>
          <w:p>
            <w:pPr>
              <w:spacing w:after="0"/>
              <w:rPr>
                <w:sz w:val="15"/>
                <w:szCs w:val="15"/>
                <w:color w:val="auto"/>
              </w:rPr>
            </w:pPr>
          </w:p>
        </w:tc>
        <w:tc>
          <w:tcPr>
            <w:tcW w:w="16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502,952</w:t>
            </w:r>
          </w:p>
        </w:tc>
        <w:tc>
          <w:tcPr>
            <w:tcW w:w="1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41,511</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25,413</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41,511</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520" w:type="dxa"/>
            <w:vAlign w:val="bottom"/>
            <w:shd w:val="clear" w:color="auto" w:fill="E6E6E6"/>
          </w:tcPr>
          <w:p>
            <w:pPr>
              <w:spacing w:after="0"/>
              <w:rPr>
                <w:sz w:val="15"/>
                <w:szCs w:val="15"/>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24,438</w:t>
            </w:r>
          </w:p>
        </w:tc>
        <w:tc>
          <w:tcPr>
            <w:tcW w:w="300" w:type="dxa"/>
            <w:vAlign w:val="bottom"/>
            <w:shd w:val="clear" w:color="auto" w:fill="E6E6E6"/>
          </w:tcPr>
          <w:p>
            <w:pPr>
              <w:spacing w:after="0"/>
              <w:rPr>
                <w:sz w:val="15"/>
                <w:szCs w:val="15"/>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100" w:type="dxa"/>
            <w:vAlign w:val="bottom"/>
            <w:shd w:val="clear" w:color="auto" w:fill="E6E6E6"/>
          </w:tcPr>
          <w:p>
            <w:pPr>
              <w:spacing w:after="0"/>
              <w:rPr>
                <w:sz w:val="15"/>
                <w:szCs w:val="15"/>
                <w:color w:val="auto"/>
              </w:rPr>
            </w:pPr>
          </w:p>
        </w:tc>
        <w:tc>
          <w:tcPr>
            <w:tcW w:w="18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300" w:type="dxa"/>
            <w:vAlign w:val="bottom"/>
            <w:shd w:val="clear" w:color="auto" w:fill="E6E6E6"/>
          </w:tcPr>
          <w:p>
            <w:pPr>
              <w:spacing w:after="0"/>
              <w:rPr>
                <w:sz w:val="15"/>
                <w:szCs w:val="15"/>
                <w:color w:val="auto"/>
              </w:rPr>
            </w:pPr>
          </w:p>
        </w:tc>
        <w:tc>
          <w:tcPr>
            <w:tcW w:w="1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24,438</w:t>
            </w:r>
          </w:p>
        </w:tc>
        <w:tc>
          <w:tcPr>
            <w:tcW w:w="300" w:type="dxa"/>
            <w:vAlign w:val="bottom"/>
            <w:shd w:val="clear" w:color="auto" w:fill="E6E6E6"/>
          </w:tcPr>
          <w:p>
            <w:pPr>
              <w:spacing w:after="0"/>
              <w:rPr>
                <w:sz w:val="15"/>
                <w:szCs w:val="15"/>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140" w:type="dxa"/>
            <w:vAlign w:val="bottom"/>
            <w:shd w:val="clear" w:color="auto" w:fill="E6E6E6"/>
          </w:tcPr>
          <w:p>
            <w:pPr>
              <w:spacing w:after="0"/>
              <w:rPr>
                <w:sz w:val="15"/>
                <w:szCs w:val="15"/>
                <w:color w:val="auto"/>
              </w:rPr>
            </w:pPr>
          </w:p>
        </w:tc>
        <w:tc>
          <w:tcPr>
            <w:tcW w:w="160" w:type="dxa"/>
            <w:vAlign w:val="bottom"/>
            <w:shd w:val="clear" w:color="auto" w:fill="E6E6E6"/>
          </w:tcPr>
          <w:p>
            <w:pPr>
              <w:spacing w:after="0"/>
              <w:rPr>
                <w:sz w:val="15"/>
                <w:szCs w:val="15"/>
                <w:color w:val="auto"/>
              </w:rPr>
            </w:pP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7,511</w:t>
            </w:r>
          </w:p>
        </w:tc>
        <w:tc>
          <w:tcPr>
            <w:tcW w:w="1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Non-Competition Agreements</w:t>
            </w:r>
          </w:p>
        </w:tc>
        <w:tc>
          <w:tcPr>
            <w:tcW w:w="520" w:type="dxa"/>
            <w:vAlign w:val="bottom"/>
            <w:tcBorders>
              <w:bottom w:val="single" w:sz="8" w:color="E6E6E6"/>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300" w:type="dxa"/>
            <w:vAlign w:val="bottom"/>
            <w:tcBorders>
              <w:bottom w:val="single" w:sz="8" w:color="E6E6E6"/>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00" w:type="dxa"/>
            <w:vAlign w:val="bottom"/>
            <w:tcBorders>
              <w:bottom w:val="single" w:sz="8" w:color="E6E6E6"/>
            </w:tcBorders>
          </w:tcPr>
          <w:p>
            <w:pPr>
              <w:spacing w:after="0"/>
              <w:rPr>
                <w:sz w:val="15"/>
                <w:szCs w:val="15"/>
                <w:color w:val="auto"/>
              </w:rPr>
            </w:pPr>
          </w:p>
        </w:tc>
        <w:tc>
          <w:tcPr>
            <w:tcW w:w="180" w:type="dxa"/>
            <w:vAlign w:val="bottom"/>
            <w:tcBorders>
              <w:bottom w:val="single" w:sz="8" w:color="E6E6E6"/>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E6E6E6"/>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300" w:type="dxa"/>
            <w:vAlign w:val="bottom"/>
            <w:tcBorders>
              <w:bottom w:val="single" w:sz="8" w:color="E6E6E6"/>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40" w:type="dxa"/>
            <w:vAlign w:val="bottom"/>
            <w:tcBorders>
              <w:bottom w:val="single" w:sz="8" w:color="E6E6E6"/>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E6E6E6"/>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4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Total Intangible Assets</w:t>
            </w:r>
          </w:p>
        </w:tc>
        <w:tc>
          <w:tcPr>
            <w:tcW w:w="5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729,230</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240,943</w:t>
            </w:r>
          </w:p>
        </w:tc>
        <w:tc>
          <w:tcPr>
            <w:tcW w:w="100" w:type="dxa"/>
            <w:vAlign w:val="bottom"/>
            <w:shd w:val="clear" w:color="auto" w:fill="E6E6E6"/>
          </w:tcPr>
          <w:p>
            <w:pPr>
              <w:spacing w:after="0"/>
              <w:rPr>
                <w:sz w:val="15"/>
                <w:szCs w:val="15"/>
                <w:color w:val="auto"/>
              </w:rPr>
            </w:pPr>
          </w:p>
        </w:tc>
        <w:tc>
          <w:tcPr>
            <w:tcW w:w="18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488,287</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729,230</w:t>
            </w:r>
          </w:p>
        </w:tc>
        <w:tc>
          <w:tcPr>
            <w:tcW w:w="3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190,552</w:t>
            </w:r>
          </w:p>
        </w:tc>
        <w:tc>
          <w:tcPr>
            <w:tcW w:w="140" w:type="dxa"/>
            <w:vAlign w:val="bottom"/>
            <w:shd w:val="clear" w:color="auto" w:fill="E6E6E6"/>
          </w:tcPr>
          <w:p>
            <w:pPr>
              <w:spacing w:after="0"/>
              <w:rPr>
                <w:sz w:val="15"/>
                <w:szCs w:val="15"/>
                <w:color w:val="auto"/>
              </w:rPr>
            </w:pPr>
          </w:p>
        </w:tc>
        <w:tc>
          <w:tcPr>
            <w:tcW w:w="16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538,678</w:t>
            </w:r>
          </w:p>
        </w:tc>
        <w:tc>
          <w:tcPr>
            <w:tcW w:w="100" w:type="dxa"/>
            <w:vAlign w:val="bottom"/>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right="440"/>
        <w:spacing w:after="0" w:line="277" w:lineRule="auto"/>
        <w:rPr>
          <w:sz w:val="20"/>
          <w:szCs w:val="20"/>
          <w:color w:val="auto"/>
        </w:rPr>
      </w:pPr>
      <w:r>
        <w:rPr>
          <w:rFonts w:ascii="Times New Roman" w:cs="Times New Roman" w:eastAsia="Times New Roman" w:hAnsi="Times New Roman"/>
          <w:sz w:val="20"/>
          <w:szCs w:val="20"/>
          <w:color w:val="auto"/>
        </w:rPr>
        <w:t>The Company recorded amortization expense for the years ended December 31, 2024, 2023 and 2022 of $50,391 thousand, $50,841 thousand and $59,658 thousand, respectively.</w:t>
      </w:r>
    </w:p>
    <w:p>
      <w:pPr>
        <w:spacing w:after="0" w:line="159" w:lineRule="exact"/>
        <w:rPr>
          <w:sz w:val="20"/>
          <w:szCs w:val="20"/>
          <w:color w:val="auto"/>
        </w:rPr>
      </w:pPr>
    </w:p>
    <w:p>
      <w:pPr>
        <w:ind w:left="500" w:right="340"/>
        <w:spacing w:after="0" w:line="268" w:lineRule="auto"/>
        <w:rPr>
          <w:sz w:val="20"/>
          <w:szCs w:val="20"/>
          <w:color w:val="auto"/>
        </w:rPr>
      </w:pPr>
      <w:r>
        <w:rPr>
          <w:rFonts w:ascii="Times New Roman" w:cs="Times New Roman" w:eastAsia="Times New Roman" w:hAnsi="Times New Roman"/>
          <w:sz w:val="19"/>
          <w:szCs w:val="19"/>
          <w:color w:val="auto"/>
        </w:rPr>
        <w:t>On an annual basis, the Company reviews the estimated useful lives, residual values and amortization methods used for each identifiable intangible asset acquired. During the 2022 annual review, management determined that certain trade names</w:t>
      </w:r>
    </w:p>
    <w:p>
      <w:pPr>
        <w:spacing w:after="0" w:line="2" w:lineRule="exact"/>
        <w:rPr>
          <w:sz w:val="20"/>
          <w:szCs w:val="20"/>
          <w:color w:val="auto"/>
        </w:rPr>
      </w:pPr>
    </w:p>
    <w:p>
      <w:pPr>
        <w:ind w:left="500" w:right="200"/>
        <w:spacing w:after="0" w:line="242" w:lineRule="auto"/>
        <w:rPr>
          <w:sz w:val="20"/>
          <w:szCs w:val="20"/>
          <w:color w:val="auto"/>
        </w:rPr>
      </w:pPr>
      <w:r>
        <w:rPr>
          <w:rFonts w:ascii="Times New Roman" w:cs="Times New Roman" w:eastAsia="Times New Roman" w:hAnsi="Times New Roman"/>
          <w:sz w:val="20"/>
          <w:szCs w:val="20"/>
          <w:color w:val="auto"/>
        </w:rPr>
        <w:t>associated with the 2019 acquisition of Integral Associates, LLC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Integral</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should be written-off. The Company’s decisions to re-brand Essence retail stores into RISE retail locations and, discontinue production of the Desert Grown Farms brand, both acquired as part of the Integral acquisition, resulted in an impairment charge of $31,131 thousand as of the year ended December 31, 2022.</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 such impairment charges were recorded during the years ended December 31, 2024 or 2023.</w:t>
      </w:r>
    </w:p>
    <w:p>
      <w:pPr>
        <w:spacing w:after="0" w:line="2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outlines the estimated annual amortization expense related to intangible assets as of December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03"/>
        </w:trPr>
        <w:tc>
          <w:tcPr>
            <w:tcW w:w="8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20" w:type="dxa"/>
            <w:vAlign w:val="bottom"/>
          </w:tcPr>
          <w:p>
            <w:pPr>
              <w:spacing w:after="0"/>
              <w:rPr>
                <w:sz w:val="17"/>
                <w:szCs w:val="17"/>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0" w:type="dxa"/>
            <w:vAlign w:val="bottom"/>
          </w:tcPr>
          <w:p>
            <w:pPr>
              <w:spacing w:after="0"/>
              <w:rPr>
                <w:sz w:val="1"/>
                <w:szCs w:val="1"/>
                <w:color w:val="auto"/>
              </w:rPr>
            </w:pPr>
          </w:p>
        </w:tc>
      </w:tr>
      <w:tr>
        <w:trPr>
          <w:trHeight w:val="174"/>
        </w:trPr>
        <w:tc>
          <w:tcPr>
            <w:tcW w:w="82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E6E6E6"/>
            </w:tcBorders>
          </w:tcPr>
          <w:p>
            <w:pPr>
              <w:spacing w:after="0"/>
              <w:rPr>
                <w:sz w:val="15"/>
                <w:szCs w:val="15"/>
                <w:color w:val="auto"/>
              </w:rPr>
            </w:pPr>
          </w:p>
        </w:tc>
        <w:tc>
          <w:tcPr>
            <w:tcW w:w="238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197"/>
        </w:trPr>
        <w:tc>
          <w:tcPr>
            <w:tcW w:w="8200" w:type="dxa"/>
            <w:vAlign w:val="bottom"/>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380" w:type="dxa"/>
            <w:vAlign w:val="bottom"/>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50,294</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47,332</w:t>
            </w:r>
          </w:p>
        </w:tc>
        <w:tc>
          <w:tcPr>
            <w:tcW w:w="0" w:type="dxa"/>
            <w:vAlign w:val="bottom"/>
          </w:tcPr>
          <w:p>
            <w:pPr>
              <w:spacing w:after="0"/>
              <w:rPr>
                <w:sz w:val="1"/>
                <w:szCs w:val="1"/>
                <w:color w:val="auto"/>
              </w:rPr>
            </w:pPr>
          </w:p>
        </w:tc>
      </w:tr>
      <w:tr>
        <w:trPr>
          <w:trHeight w:val="207"/>
        </w:trPr>
        <w:tc>
          <w:tcPr>
            <w:tcW w:w="82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E6E6E6"/>
          </w:tcPr>
          <w:p>
            <w:pPr>
              <w:spacing w:after="0"/>
              <w:rPr>
                <w:sz w:val="17"/>
                <w:szCs w:val="17"/>
                <w:color w:val="auto"/>
              </w:rPr>
            </w:pPr>
          </w:p>
        </w:tc>
        <w:tc>
          <w:tcPr>
            <w:tcW w:w="2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0" w:type="dxa"/>
            <w:vAlign w:val="bottom"/>
          </w:tcPr>
          <w:p>
            <w:pPr>
              <w:spacing w:after="0"/>
              <w:rPr>
                <w:sz w:val="1"/>
                <w:szCs w:val="1"/>
                <w:color w:val="auto"/>
              </w:rPr>
            </w:pPr>
          </w:p>
        </w:tc>
      </w:tr>
      <w:tr>
        <w:trPr>
          <w:trHeight w:val="207"/>
        </w:trPr>
        <w:tc>
          <w:tcPr>
            <w:tcW w:w="82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E6E6E6"/>
          </w:tcPr>
          <w:p>
            <w:pPr>
              <w:spacing w:after="0"/>
              <w:rPr>
                <w:sz w:val="17"/>
                <w:szCs w:val="17"/>
                <w:color w:val="auto"/>
              </w:rPr>
            </w:pPr>
          </w:p>
        </w:tc>
        <w:tc>
          <w:tcPr>
            <w:tcW w:w="2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46,803</w:t>
            </w:r>
          </w:p>
        </w:tc>
        <w:tc>
          <w:tcPr>
            <w:tcW w:w="0" w:type="dxa"/>
            <w:vAlign w:val="bottom"/>
          </w:tcPr>
          <w:p>
            <w:pPr>
              <w:spacing w:after="0"/>
              <w:rPr>
                <w:sz w:val="1"/>
                <w:szCs w:val="1"/>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250,252</w:t>
            </w:r>
          </w:p>
        </w:tc>
        <w:tc>
          <w:tcPr>
            <w:tcW w:w="0" w:type="dxa"/>
            <w:vAlign w:val="bottom"/>
          </w:tcPr>
          <w:p>
            <w:pPr>
              <w:spacing w:after="0"/>
              <w:rPr>
                <w:sz w:val="1"/>
                <w:szCs w:val="1"/>
                <w:color w:val="auto"/>
              </w:rPr>
            </w:pPr>
          </w:p>
        </w:tc>
      </w:tr>
      <w:tr>
        <w:trPr>
          <w:trHeight w:val="197"/>
        </w:trPr>
        <w:tc>
          <w:tcPr>
            <w:tcW w:w="82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380" w:type="dxa"/>
            <w:vAlign w:val="bottom"/>
            <w:tcBorders>
              <w:bottom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488,287</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2024, the weighted average amortization period remaining for intangible assets was 10.44 years.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800"/>
          </w:cols>
          <w:pgMar w:left="720" w:top="696" w:right="720" w:bottom="186" w:gutter="0" w:footer="0" w:header="0"/>
          <w:type w:val="continuous"/>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INTANGIBLE ASSETS AND GOODWILL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  Goodwill</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At December 31, 2024 the balances of goodwill, by segment, consisted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7"/>
        </w:trPr>
        <w:tc>
          <w:tcPr>
            <w:tcW w:w="4820" w:type="dxa"/>
            <w:vAlign w:val="bottom"/>
            <w:tcBorders>
              <w:bottom w:val="single" w:sz="8" w:color="E6E6E6"/>
            </w:tcBorders>
          </w:tcPr>
          <w:p>
            <w:pPr>
              <w:spacing w:after="0"/>
              <w:rPr>
                <w:sz w:val="21"/>
                <w:szCs w:val="21"/>
                <w:color w:val="auto"/>
              </w:rPr>
            </w:pPr>
          </w:p>
        </w:tc>
        <w:tc>
          <w:tcPr>
            <w:tcW w:w="420" w:type="dxa"/>
            <w:vAlign w:val="bottom"/>
            <w:tcBorders>
              <w:bottom w:val="single" w:sz="8" w:color="E6E6E6"/>
            </w:tcBorders>
          </w:tcPr>
          <w:p>
            <w:pPr>
              <w:spacing w:after="0"/>
              <w:rPr>
                <w:sz w:val="21"/>
                <w:szCs w:val="21"/>
                <w:color w:val="auto"/>
              </w:rPr>
            </w:pPr>
          </w:p>
        </w:tc>
        <w:tc>
          <w:tcPr>
            <w:tcW w:w="3240" w:type="dxa"/>
            <w:vAlign w:val="bottom"/>
            <w:tcBorders>
              <w:bottom w:val="single" w:sz="8" w:color="auto"/>
            </w:tcBorders>
            <w:gridSpan w:val="3"/>
          </w:tcPr>
          <w:p>
            <w:pPr>
              <w:ind w:left="21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0" w:type="dxa"/>
            <w:vAlign w:val="bottom"/>
            <w:tcBorders>
              <w:bottom w:val="single" w:sz="8" w:color="auto"/>
            </w:tcBorders>
          </w:tcPr>
          <w:p>
            <w:pPr>
              <w:spacing w:after="0"/>
              <w:rPr>
                <w:sz w:val="21"/>
                <w:szCs w:val="21"/>
                <w:color w:val="auto"/>
              </w:rPr>
            </w:pPr>
          </w:p>
        </w:tc>
      </w:tr>
      <w:tr>
        <w:trPr>
          <w:trHeight w:val="211"/>
        </w:trPr>
        <w:tc>
          <w:tcPr>
            <w:tcW w:w="48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Retail</w:t>
            </w:r>
          </w:p>
        </w:tc>
        <w:tc>
          <w:tcPr>
            <w:tcW w:w="420" w:type="dxa"/>
            <w:vAlign w:val="bottom"/>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273,802</w:t>
            </w:r>
          </w:p>
        </w:tc>
        <w:tc>
          <w:tcPr>
            <w:tcW w:w="520" w:type="dxa"/>
            <w:vAlign w:val="bottom"/>
            <w:shd w:val="clear" w:color="auto" w:fill="E6E6E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E6E6E6"/>
          </w:tcPr>
          <w:p>
            <w:pPr>
              <w:spacing w:after="0"/>
              <w:rPr>
                <w:sz w:val="18"/>
                <w:szCs w:val="18"/>
                <w:color w:val="auto"/>
              </w:rPr>
            </w:pPr>
          </w:p>
        </w:tc>
        <w:tc>
          <w:tcPr>
            <w:tcW w:w="20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273,802</w:t>
            </w:r>
          </w:p>
        </w:tc>
      </w:tr>
      <w:tr>
        <w:trPr>
          <w:trHeight w:val="221"/>
        </w:trPr>
        <w:tc>
          <w:tcPr>
            <w:tcW w:w="48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Consumer Packaged Goods</w:t>
            </w:r>
          </w:p>
        </w:tc>
        <w:tc>
          <w:tcPr>
            <w:tcW w:w="420" w:type="dxa"/>
            <w:vAlign w:val="bottom"/>
            <w:tcBorders>
              <w:bottom w:val="single" w:sz="8" w:color="E6E6E6"/>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315,889</w:t>
            </w:r>
          </w:p>
        </w:tc>
        <w:tc>
          <w:tcPr>
            <w:tcW w:w="520" w:type="dxa"/>
            <w:vAlign w:val="bottom"/>
            <w:tcBorders>
              <w:bottom w:val="single" w:sz="8" w:color="E6E6E6"/>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315,889</w:t>
            </w:r>
          </w:p>
        </w:tc>
      </w:tr>
      <w:tr>
        <w:trPr>
          <w:trHeight w:val="211"/>
        </w:trPr>
        <w:tc>
          <w:tcPr>
            <w:tcW w:w="48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shd w:val="clear" w:color="auto" w:fill="E6E6E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3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589,691</w:t>
            </w:r>
          </w:p>
        </w:tc>
        <w:tc>
          <w:tcPr>
            <w:tcW w:w="520" w:type="dxa"/>
            <w:vAlign w:val="bottom"/>
            <w:shd w:val="clear" w:color="auto" w:fill="E6E6E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E6E6E6"/>
          </w:tcPr>
          <w:p>
            <w:pPr>
              <w:spacing w:after="0"/>
              <w:rPr>
                <w:sz w:val="18"/>
                <w:szCs w:val="18"/>
                <w:color w:val="auto"/>
              </w:rPr>
            </w:pPr>
          </w:p>
        </w:tc>
        <w:tc>
          <w:tcPr>
            <w:tcW w:w="20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589,691</w:t>
            </w:r>
          </w:p>
        </w:tc>
      </w:tr>
      <w:tr>
        <w:trPr>
          <w:trHeight w:val="20"/>
        </w:trPr>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0"/>
          <w:szCs w:val="20"/>
          <w:color w:val="auto"/>
        </w:rPr>
        <w:t>Goodwill is recognized net of accumulated impairment losses of $57,372 thousand as of December 31, 2024 and 2023 respectively. No goodwill impairment charges were recognized by the Company during the years ended December 31, 2024 and 2023, respectively.</w:t>
      </w:r>
    </w:p>
    <w:p>
      <w:pPr>
        <w:sectPr>
          <w:pgSz w:w="12240" w:h="15840" w:orient="portrait"/>
          <w:cols w:equalWidth="0" w:num="1">
            <w:col w:w="10760"/>
          </w:cols>
          <w:pgMar w:left="720" w:top="69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760"/>
          </w:cols>
          <w:pgMar w:left="720" w:top="696" w:right="760" w:bottom="186"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25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As of December 31, 2024 and 2023, the Company held various equity interests in cannabis-related companies as well as investments in note(s) receivable instruments that had a combined fair value of $43,578 thousand and $64,361 thousand,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 in the Company’s investments during the years ended December 31, 2024 and 2023:</w:t>
      </w:r>
    </w:p>
    <w:p>
      <w:pPr>
        <w:spacing w:after="0" w:line="27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4"/>
        </w:trPr>
        <w:tc>
          <w:tcPr>
            <w:tcW w:w="2660" w:type="dxa"/>
            <w:vAlign w:val="bottom"/>
            <w:tcBorders>
              <w:bottom w:val="single" w:sz="8" w:color="E6E6E6"/>
            </w:tcBorders>
          </w:tcPr>
          <w:p>
            <w:pPr>
              <w:spacing w:after="0"/>
              <w:rPr>
                <w:sz w:val="15"/>
                <w:szCs w:val="15"/>
                <w:color w:val="auto"/>
              </w:rPr>
            </w:pPr>
          </w:p>
        </w:tc>
        <w:tc>
          <w:tcPr>
            <w:tcW w:w="1440" w:type="dxa"/>
            <w:vAlign w:val="bottom"/>
            <w:tcBorders>
              <w:bottom w:val="single" w:sz="8" w:color="E6E6E6"/>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20"/>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4"/>
        </w:trPr>
        <w:tc>
          <w:tcPr>
            <w:tcW w:w="266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color w:val="auto"/>
              </w:rPr>
              <w:t>Beginning</w:t>
            </w:r>
          </w:p>
        </w:tc>
        <w:tc>
          <w:tcPr>
            <w:tcW w:w="144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300" w:type="dxa"/>
            <w:vAlign w:val="bottom"/>
            <w:shd w:val="clear" w:color="auto" w:fill="E6E6E6"/>
          </w:tcPr>
          <w:p>
            <w:pPr>
              <w:spacing w:after="0"/>
              <w:rPr>
                <w:sz w:val="15"/>
                <w:szCs w:val="15"/>
                <w:color w:val="auto"/>
              </w:rPr>
            </w:pPr>
          </w:p>
        </w:tc>
        <w:tc>
          <w:tcPr>
            <w:tcW w:w="7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64,361</w:t>
            </w:r>
          </w:p>
        </w:tc>
        <w:tc>
          <w:tcPr>
            <w:tcW w:w="220" w:type="dxa"/>
            <w:vAlign w:val="bottom"/>
            <w:shd w:val="clear" w:color="auto" w:fill="E6E6E6"/>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E6E6E6"/>
          </w:tcPr>
          <w:p>
            <w:pPr>
              <w:spacing w:after="0"/>
              <w:rPr>
                <w:sz w:val="15"/>
                <w:szCs w:val="15"/>
                <w:color w:val="auto"/>
              </w:rPr>
            </w:pPr>
          </w:p>
        </w:tc>
        <w:tc>
          <w:tcPr>
            <w:tcW w:w="24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74,169</w:t>
            </w:r>
          </w:p>
        </w:tc>
        <w:tc>
          <w:tcPr>
            <w:tcW w:w="20" w:type="dxa"/>
            <w:vAlign w:val="bottom"/>
            <w:shd w:val="clear" w:color="auto" w:fill="E6E6E6"/>
          </w:tcPr>
          <w:p>
            <w:pPr>
              <w:spacing w:after="0"/>
              <w:rPr>
                <w:sz w:val="15"/>
                <w:szCs w:val="15"/>
                <w:color w:val="auto"/>
              </w:rPr>
            </w:pPr>
          </w:p>
        </w:tc>
      </w:tr>
      <w:tr>
        <w:trPr>
          <w:trHeight w:val="184"/>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1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12,029</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w:t>
            </w:r>
          </w:p>
        </w:tc>
        <w:tc>
          <w:tcPr>
            <w:tcW w:w="20" w:type="dxa"/>
            <w:vAlign w:val="bottom"/>
          </w:tcPr>
          <w:p>
            <w:pPr>
              <w:spacing w:after="0"/>
              <w:rPr>
                <w:sz w:val="16"/>
                <w:szCs w:val="16"/>
                <w:color w:val="auto"/>
              </w:rPr>
            </w:pPr>
          </w:p>
        </w:tc>
      </w:tr>
      <w:tr>
        <w:trPr>
          <w:trHeight w:val="184"/>
        </w:trPr>
        <w:tc>
          <w:tcPr>
            <w:tcW w:w="26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Proceeds</w:t>
            </w:r>
          </w:p>
        </w:tc>
        <w:tc>
          <w:tcPr>
            <w:tcW w:w="1440" w:type="dxa"/>
            <w:vAlign w:val="bottom"/>
            <w:shd w:val="clear" w:color="auto" w:fill="E6E6E6"/>
          </w:tcPr>
          <w:p>
            <w:pPr>
              <w:spacing w:after="0"/>
              <w:rPr>
                <w:sz w:val="15"/>
                <w:szCs w:val="15"/>
                <w:color w:val="auto"/>
              </w:rPr>
            </w:pPr>
          </w:p>
        </w:tc>
        <w:tc>
          <w:tcPr>
            <w:tcW w:w="2300" w:type="dxa"/>
            <w:vAlign w:val="bottom"/>
            <w:shd w:val="clear" w:color="auto" w:fill="E6E6E6"/>
          </w:tcPr>
          <w:p>
            <w:pPr>
              <w:spacing w:after="0"/>
              <w:rPr>
                <w:sz w:val="15"/>
                <w:szCs w:val="15"/>
                <w:color w:val="auto"/>
              </w:rPr>
            </w:pPr>
          </w:p>
        </w:tc>
        <w:tc>
          <w:tcPr>
            <w:tcW w:w="7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(29,824)</w:t>
            </w:r>
          </w:p>
        </w:tc>
        <w:tc>
          <w:tcPr>
            <w:tcW w:w="220" w:type="dxa"/>
            <w:vAlign w:val="bottom"/>
            <w:shd w:val="clear" w:color="auto" w:fill="E6E6E6"/>
          </w:tcPr>
          <w:p>
            <w:pPr>
              <w:spacing w:after="0"/>
              <w:rPr>
                <w:sz w:val="15"/>
                <w:szCs w:val="15"/>
                <w:color w:val="auto"/>
              </w:rPr>
            </w:pPr>
          </w:p>
        </w:tc>
        <w:tc>
          <w:tcPr>
            <w:tcW w:w="640" w:type="dxa"/>
            <w:vAlign w:val="bottom"/>
            <w:shd w:val="clear" w:color="auto" w:fill="E6E6E6"/>
          </w:tcPr>
          <w:p>
            <w:pPr>
              <w:spacing w:after="0"/>
              <w:rPr>
                <w:sz w:val="15"/>
                <w:szCs w:val="15"/>
                <w:color w:val="auto"/>
              </w:rPr>
            </w:pPr>
          </w:p>
        </w:tc>
        <w:tc>
          <w:tcPr>
            <w:tcW w:w="2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0" w:type="dxa"/>
            <w:vAlign w:val="bottom"/>
            <w:shd w:val="clear" w:color="auto" w:fill="E6E6E6"/>
          </w:tcPr>
          <w:p>
            <w:pPr>
              <w:spacing w:after="0"/>
              <w:rPr>
                <w:sz w:val="15"/>
                <w:szCs w:val="15"/>
                <w:color w:val="auto"/>
              </w:rPr>
            </w:pPr>
          </w:p>
        </w:tc>
      </w:tr>
      <w:tr>
        <w:trPr>
          <w:trHeight w:val="184"/>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1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(17,460)</w:t>
            </w:r>
          </w:p>
        </w:tc>
        <w:tc>
          <w:tcPr>
            <w:tcW w:w="20" w:type="dxa"/>
            <w:vAlign w:val="bottom"/>
          </w:tcPr>
          <w:p>
            <w:pPr>
              <w:spacing w:after="0"/>
              <w:rPr>
                <w:sz w:val="15"/>
                <w:szCs w:val="15"/>
                <w:color w:val="auto"/>
              </w:rPr>
            </w:pPr>
          </w:p>
        </w:tc>
      </w:tr>
      <w:tr>
        <w:trPr>
          <w:trHeight w:val="204"/>
        </w:trPr>
        <w:tc>
          <w:tcPr>
            <w:tcW w:w="2660" w:type="dxa"/>
            <w:vAlign w:val="bottom"/>
            <w:tcBorders>
              <w:bottom w:val="single" w:sz="8" w:color="E6E6E6"/>
            </w:tcBorders>
            <w:shd w:val="clear" w:color="auto" w:fill="E6E6E6"/>
          </w:tcPr>
          <w:p>
            <w:pPr>
              <w:spacing w:after="0"/>
              <w:rPr>
                <w:sz w:val="20"/>
                <w:szCs w:val="20"/>
                <w:color w:val="auto"/>
              </w:rPr>
            </w:pPr>
            <w:r>
              <w:rPr>
                <w:rFonts w:ascii="Times New Roman" w:cs="Times New Roman" w:eastAsia="Times New Roman" w:hAnsi="Times New Roman"/>
                <w:sz w:val="16"/>
                <w:szCs w:val="16"/>
                <w:color w:val="auto"/>
              </w:rPr>
              <w:t>Transfers and other</w:t>
            </w:r>
          </w:p>
        </w:tc>
        <w:tc>
          <w:tcPr>
            <w:tcW w:w="1440" w:type="dxa"/>
            <w:vAlign w:val="bottom"/>
            <w:tcBorders>
              <w:bottom w:val="single" w:sz="8" w:color="E6E6E6"/>
            </w:tcBorders>
            <w:shd w:val="clear" w:color="auto" w:fill="E6E6E6"/>
          </w:tcPr>
          <w:p>
            <w:pPr>
              <w:spacing w:after="0"/>
              <w:rPr>
                <w:sz w:val="17"/>
                <w:szCs w:val="17"/>
                <w:color w:val="auto"/>
              </w:rPr>
            </w:pPr>
          </w:p>
        </w:tc>
        <w:tc>
          <w:tcPr>
            <w:tcW w:w="2300" w:type="dxa"/>
            <w:vAlign w:val="bottom"/>
            <w:tcBorders>
              <w:bottom w:val="single" w:sz="8" w:color="auto"/>
            </w:tcBorders>
            <w:shd w:val="clear" w:color="auto" w:fill="E6E6E6"/>
          </w:tcPr>
          <w:p>
            <w:pPr>
              <w:spacing w:after="0"/>
              <w:rPr>
                <w:sz w:val="17"/>
                <w:szCs w:val="17"/>
                <w:color w:val="auto"/>
              </w:rPr>
            </w:pPr>
          </w:p>
        </w:tc>
        <w:tc>
          <w:tcPr>
            <w:tcW w:w="7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E6E6E6"/>
            </w:tcBorders>
            <w:shd w:val="clear" w:color="auto" w:fill="E6E6E6"/>
          </w:tcPr>
          <w:p>
            <w:pPr>
              <w:spacing w:after="0"/>
              <w:rPr>
                <w:sz w:val="17"/>
                <w:szCs w:val="17"/>
                <w:color w:val="auto"/>
              </w:rPr>
            </w:pPr>
          </w:p>
        </w:tc>
        <w:tc>
          <w:tcPr>
            <w:tcW w:w="640" w:type="dxa"/>
            <w:vAlign w:val="bottom"/>
            <w:tcBorders>
              <w:bottom w:val="single" w:sz="8" w:color="auto"/>
            </w:tcBorders>
            <w:shd w:val="clear" w:color="auto" w:fill="E6E6E6"/>
          </w:tcPr>
          <w:p>
            <w:pPr>
              <w:spacing w:after="0"/>
              <w:rPr>
                <w:sz w:val="17"/>
                <w:szCs w:val="17"/>
                <w:color w:val="auto"/>
              </w:rPr>
            </w:pPr>
          </w:p>
        </w:tc>
        <w:tc>
          <w:tcPr>
            <w:tcW w:w="2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bottom w:val="single" w:sz="8" w:color="E6E6E6"/>
            </w:tcBorders>
            <w:shd w:val="clear" w:color="auto" w:fill="E6E6E6"/>
          </w:tcPr>
          <w:p>
            <w:pPr>
              <w:spacing w:after="0"/>
              <w:rPr>
                <w:sz w:val="17"/>
                <w:szCs w:val="17"/>
                <w:color w:val="auto"/>
              </w:rPr>
            </w:pPr>
          </w:p>
        </w:tc>
      </w:tr>
      <w:tr>
        <w:trPr>
          <w:trHeight w:val="154"/>
        </w:trPr>
        <w:tc>
          <w:tcPr>
            <w:tcW w:w="266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Ending</w:t>
            </w:r>
          </w:p>
        </w:tc>
        <w:tc>
          <w:tcPr>
            <w:tcW w:w="1440" w:type="dxa"/>
            <w:vAlign w:val="bottom"/>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w:t>
            </w:r>
          </w:p>
        </w:tc>
        <w:tc>
          <w:tcPr>
            <w:tcW w:w="2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43,578</w:t>
            </w:r>
          </w:p>
        </w:tc>
        <w:tc>
          <w:tcPr>
            <w:tcW w:w="220" w:type="dxa"/>
            <w:vAlign w:val="bottom"/>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uto"/>
              </w:rPr>
              <w:t>64,361</w:t>
            </w:r>
          </w:p>
        </w:tc>
        <w:tc>
          <w:tcPr>
            <w:tcW w:w="20" w:type="dxa"/>
            <w:vAlign w:val="bottom"/>
          </w:tcPr>
          <w:p>
            <w:pPr>
              <w:spacing w:after="0"/>
              <w:rPr>
                <w:sz w:val="13"/>
                <w:szCs w:val="13"/>
                <w:color w:val="auto"/>
              </w:rPr>
            </w:pPr>
          </w:p>
        </w:tc>
      </w:tr>
      <w:tr>
        <w:trPr>
          <w:trHeight w:val="20"/>
        </w:trPr>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fair value change in the Company’s investments recorded during the years ended December 31, 2024, 2023 and 2022.</w:t>
      </w:r>
    </w:p>
    <w:p>
      <w:pPr>
        <w:spacing w:after="0" w:line="17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8"/>
        </w:trPr>
        <w:tc>
          <w:tcPr>
            <w:tcW w:w="4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Equity Investments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860" w:type="dxa"/>
            <w:vAlign w:val="bottom"/>
            <w:vMerge w:val="continue"/>
          </w:tcPr>
          <w:p>
            <w:pPr>
              <w:spacing w:after="0"/>
              <w:rPr>
                <w:sz w:val="16"/>
                <w:szCs w:val="16"/>
                <w:color w:val="auto"/>
              </w:rPr>
            </w:pP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(20,713)</w:t>
            </w:r>
          </w:p>
        </w:tc>
        <w:tc>
          <w:tcPr>
            <w:tcW w:w="80" w:type="dxa"/>
            <w:vAlign w:val="bottom"/>
          </w:tcPr>
          <w:p>
            <w:pPr>
              <w:spacing w:after="0"/>
              <w:rPr>
                <w:sz w:val="16"/>
                <w:szCs w:val="16"/>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(17,078)</w:t>
            </w:r>
          </w:p>
        </w:tc>
        <w:tc>
          <w:tcPr>
            <w:tcW w:w="0" w:type="dxa"/>
            <w:vAlign w:val="bottom"/>
          </w:tcPr>
          <w:p>
            <w:pPr>
              <w:spacing w:after="0"/>
              <w:rPr>
                <w:sz w:val="1"/>
                <w:szCs w:val="1"/>
                <w:color w:val="auto"/>
              </w:rPr>
            </w:pPr>
          </w:p>
        </w:tc>
      </w:tr>
      <w:tr>
        <w:trPr>
          <w:trHeight w:val="19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Notes Receivable Instruments</w:t>
            </w:r>
          </w:p>
        </w:tc>
        <w:tc>
          <w:tcPr>
            <w:tcW w:w="28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20" w:type="dxa"/>
            <w:vAlign w:val="bottom"/>
            <w:shd w:val="clear" w:color="auto" w:fill="E6E6E6"/>
          </w:tcPr>
          <w:p>
            <w:pPr>
              <w:spacing w:after="0"/>
              <w:rPr>
                <w:sz w:val="17"/>
                <w:szCs w:val="17"/>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8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0" w:type="dxa"/>
            <w:vAlign w:val="bottom"/>
          </w:tcPr>
          <w:p>
            <w:pPr>
              <w:spacing w:after="0"/>
              <w:rPr>
                <w:sz w:val="1"/>
                <w:szCs w:val="1"/>
                <w:color w:val="auto"/>
              </w:rPr>
            </w:pPr>
          </w:p>
        </w:tc>
      </w:tr>
      <w:tr>
        <w:trPr>
          <w:trHeight w:val="198"/>
        </w:trPr>
        <w:tc>
          <w:tcPr>
            <w:tcW w:w="48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Accrued Interest on Notes Receivable Instruments</w:t>
            </w:r>
          </w:p>
        </w:tc>
        <w:tc>
          <w:tcPr>
            <w:tcW w:w="280" w:type="dxa"/>
            <w:vAlign w:val="bottom"/>
            <w:tcBorders>
              <w:bottom w:val="single" w:sz="8" w:color="E6E6E6"/>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tcBorders>
              <w:bottom w:val="single" w:sz="8" w:color="E6E6E6"/>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Borders>
              <w:bottom w:val="single" w:sz="8" w:color="E6E6E6"/>
            </w:tcBorders>
          </w:tcPr>
          <w:p>
            <w:pPr>
              <w:spacing w:after="0"/>
              <w:rPr>
                <w:sz w:val="17"/>
                <w:szCs w:val="17"/>
                <w:color w:val="auto"/>
              </w:rPr>
            </w:pPr>
          </w:p>
        </w:tc>
        <w:tc>
          <w:tcPr>
            <w:tcW w:w="240" w:type="dxa"/>
            <w:vAlign w:val="bottom"/>
            <w:tcBorders>
              <w:bottom w:val="single" w:sz="8" w:color="E6E6E6"/>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0" w:type="dxa"/>
            <w:vAlign w:val="bottom"/>
          </w:tcPr>
          <w:p>
            <w:pPr>
              <w:spacing w:after="0"/>
              <w:rPr>
                <w:sz w:val="1"/>
                <w:szCs w:val="1"/>
                <w:color w:val="auto"/>
              </w:rPr>
            </w:pPr>
          </w:p>
        </w:tc>
      </w:tr>
      <w:tr>
        <w:trPr>
          <w:trHeight w:val="18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Net fair value gains (losses)</w:t>
            </w:r>
          </w:p>
        </w:tc>
        <w:tc>
          <w:tcPr>
            <w:tcW w:w="28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shd w:val="clear" w:color="auto" w:fill="E6E6E6"/>
          </w:tcPr>
          <w:p>
            <w:pPr>
              <w:spacing w:after="0"/>
              <w:rPr>
                <w:sz w:val="16"/>
                <w:szCs w:val="16"/>
                <w:color w:val="auto"/>
              </w:rPr>
            </w:pPr>
          </w:p>
        </w:tc>
        <w:tc>
          <w:tcPr>
            <w:tcW w:w="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(2,988)</w:t>
            </w:r>
          </w:p>
        </w:tc>
        <w:tc>
          <w:tcPr>
            <w:tcW w:w="32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(17,460)</w:t>
            </w:r>
          </w:p>
        </w:tc>
        <w:tc>
          <w:tcPr>
            <w:tcW w:w="80" w:type="dxa"/>
            <w:vAlign w:val="bottom"/>
            <w:shd w:val="clear" w:color="auto" w:fill="E6E6E6"/>
          </w:tcPr>
          <w:p>
            <w:pPr>
              <w:spacing w:after="0"/>
              <w:rPr>
                <w:sz w:val="16"/>
                <w:szCs w:val="16"/>
                <w:color w:val="auto"/>
              </w:rPr>
            </w:pPr>
          </w:p>
        </w:tc>
        <w:tc>
          <w:tcPr>
            <w:tcW w:w="24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(22,606)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Company recorded fair value gains (losses) related to equity and note receivable investments within other income (expense) and accrued interest to interest income on the consolidated statements of operations.</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(a) Equity Investments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held equity investments in both publicly and privately traded entities during the twelve months ended</w:t>
      </w:r>
    </w:p>
    <w:p>
      <w:pPr>
        <w:spacing w:after="0" w:line="28" w:lineRule="exact"/>
        <w:rPr>
          <w:sz w:val="20"/>
          <w:szCs w:val="20"/>
          <w:color w:val="auto"/>
        </w:rPr>
      </w:pPr>
    </w:p>
    <w:p>
      <w:pPr>
        <w:ind w:left="500"/>
        <w:spacing w:after="0" w:line="242" w:lineRule="auto"/>
        <w:rPr>
          <w:sz w:val="20"/>
          <w:szCs w:val="20"/>
          <w:color w:val="auto"/>
        </w:rPr>
      </w:pPr>
      <w:r>
        <w:rPr>
          <w:rFonts w:ascii="Times New Roman" w:cs="Times New Roman" w:eastAsia="Times New Roman" w:hAnsi="Times New Roman"/>
          <w:sz w:val="20"/>
          <w:szCs w:val="20"/>
          <w:color w:val="auto"/>
        </w:rPr>
        <w:t>December 31, 2024, 2023 and 2022. Publicly traded entities generally have readily determinable fair values and are classified as Level 1 investments. Meanwhile, non-publicly traded entities generally do no have readily determinable fair values and are classified as Level 3 investments. The Company has classified all of its holdings as trading securities and recorded such amounts within investments on the Company’s consolidated balance sheets.</w:t>
      </w:r>
    </w:p>
    <w:p>
      <w:pPr>
        <w:spacing w:after="0" w:line="194" w:lineRule="exact"/>
        <w:rPr>
          <w:sz w:val="20"/>
          <w:szCs w:val="20"/>
          <w:color w:val="auto"/>
        </w:rPr>
      </w:pPr>
    </w:p>
    <w:p>
      <w:pPr>
        <w:ind w:left="500" w:right="52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1 equity investments during the twelve months ended December 31, 2024,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3263265</wp:posOffset>
                </wp:positionH>
                <wp:positionV relativeFrom="paragraph">
                  <wp:posOffset>116205</wp:posOffset>
                </wp:positionV>
                <wp:extent cx="349186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18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95pt,9.15pt" to="531.9pt,9.15pt" o:allowincell="f" strokecolor="#000000" strokeweight="0.5pt"/>
            </w:pict>
          </mc:Fallback>
        </mc:AlternateContent>
      </w:r>
    </w:p>
    <w:p>
      <w:pPr>
        <w:spacing w:after="0" w:line="163"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88"/>
        </w:trPr>
        <w:tc>
          <w:tcPr>
            <w:tcW w:w="4980" w:type="dxa"/>
            <w:vAlign w:val="bottom"/>
          </w:tcPr>
          <w:p>
            <w:pPr>
              <w:spacing w:after="0"/>
              <w:rPr>
                <w:sz w:val="16"/>
                <w:szCs w:val="16"/>
                <w:color w:val="auto"/>
              </w:rPr>
            </w:pPr>
          </w:p>
        </w:tc>
        <w:tc>
          <w:tcPr>
            <w:tcW w:w="15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8"/>
        </w:trPr>
        <w:tc>
          <w:tcPr>
            <w:tcW w:w="498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center"/>
              <w:ind w:right="420"/>
              <w:spacing w:after="0" w:line="178"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88"/>
        </w:trPr>
        <w:tc>
          <w:tcPr>
            <w:tcW w:w="49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Beginning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E6E6E6"/>
          </w:tcPr>
          <w:p>
            <w:pPr>
              <w:spacing w:after="0"/>
              <w:rPr>
                <w:sz w:val="16"/>
                <w:szCs w:val="16"/>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6E6E6"/>
          </w:tcPr>
          <w:p>
            <w:pPr>
              <w:spacing w:after="0"/>
              <w:rPr>
                <w:sz w:val="16"/>
                <w:szCs w:val="16"/>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20,583</w:t>
            </w:r>
          </w:p>
        </w:tc>
      </w:tr>
      <w:tr>
        <w:trPr>
          <w:trHeight w:val="198"/>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Proceeds</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w:t>
            </w:r>
          </w:p>
        </w:tc>
      </w:tr>
      <w:tr>
        <w:trPr>
          <w:trHeight w:val="198"/>
        </w:trPr>
        <w:tc>
          <w:tcPr>
            <w:tcW w:w="49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34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4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4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(15,560)</w:t>
            </w:r>
          </w:p>
        </w:tc>
      </w:tr>
      <w:tr>
        <w:trPr>
          <w:trHeight w:val="198"/>
        </w:trPr>
        <w:tc>
          <w:tcPr>
            <w:tcW w:w="49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Transfers and other</w:t>
            </w:r>
          </w:p>
        </w:tc>
        <w:tc>
          <w:tcPr>
            <w:tcW w:w="340" w:type="dxa"/>
            <w:vAlign w:val="bottom"/>
            <w:tcBorders>
              <w:bottom w:val="single" w:sz="8" w:color="E6E6E6"/>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6E6E6"/>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6E6E6"/>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98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Ending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E6E6E6"/>
          </w:tcPr>
          <w:p>
            <w:pPr>
              <w:spacing w:after="0"/>
              <w:rPr>
                <w:sz w:val="16"/>
                <w:szCs w:val="16"/>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tcBorders>
              <w:bottom w:val="single" w:sz="8" w:color="auto"/>
            </w:tcBorders>
            <w:shd w:val="clear" w:color="auto" w:fill="E6E6E6"/>
          </w:tcPr>
          <w:p>
            <w:pPr>
              <w:spacing w:after="0"/>
              <w:rPr>
                <w:sz w:val="16"/>
                <w:szCs w:val="16"/>
                <w:color w:val="auto"/>
              </w:rPr>
            </w:pPr>
          </w:p>
        </w:tc>
        <w:tc>
          <w:tcPr>
            <w:tcW w:w="4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2,001</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2,535</w:t>
            </w: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800"/>
          </w:cols>
          <w:pgMar w:left="720" w:top="696" w:right="720" w:bottom="186" w:gutter="0" w:footer="0" w:header="0"/>
          <w:type w:val="continuous"/>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(a) Equity Investments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ind w:left="500" w:right="5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3 equity investments during the twelve months ended December 31, 2024,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3263900</wp:posOffset>
                </wp:positionH>
                <wp:positionV relativeFrom="paragraph">
                  <wp:posOffset>116205</wp:posOffset>
                </wp:positionV>
                <wp:extent cx="345694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69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pt,9.15pt" to="529.2pt,9.15pt" o:allowincell="f" strokecolor="#000000" strokeweight="0.5pt"/>
            </w:pict>
          </mc:Fallback>
        </mc:AlternateConten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88"/>
        </w:trPr>
        <w:tc>
          <w:tcPr>
            <w:tcW w:w="4920" w:type="dxa"/>
            <w:vAlign w:val="bottom"/>
          </w:tcPr>
          <w:p>
            <w:pPr>
              <w:spacing w:after="0"/>
              <w:rPr>
                <w:sz w:val="16"/>
                <w:szCs w:val="16"/>
                <w:color w:val="auto"/>
              </w:rPr>
            </w:pPr>
          </w:p>
        </w:tc>
        <w:tc>
          <w:tcPr>
            <w:tcW w:w="1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8"/>
        </w:trPr>
        <w:tc>
          <w:tcPr>
            <w:tcW w:w="492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8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Beginning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E6E6E6"/>
          </w:tcPr>
          <w:p>
            <w:pPr>
              <w:spacing w:after="0"/>
              <w:rPr>
                <w:sz w:val="16"/>
                <w:szCs w:val="16"/>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25,953</w:t>
            </w:r>
          </w:p>
        </w:tc>
        <w:tc>
          <w:tcPr>
            <w:tcW w:w="2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E6E6E6"/>
          </w:tcPr>
          <w:p>
            <w:pPr>
              <w:spacing w:after="0"/>
              <w:rPr>
                <w:sz w:val="16"/>
                <w:szCs w:val="16"/>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40,330</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38,208</w:t>
            </w: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w:t>
            </w:r>
          </w:p>
        </w:tc>
      </w:tr>
      <w:tr>
        <w:trPr>
          <w:trHeight w:val="19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340" w:type="dxa"/>
            <w:vAlign w:val="bottom"/>
            <w:shd w:val="clear" w:color="auto" w:fill="E6E6E6"/>
          </w:tcPr>
          <w:p>
            <w:pPr>
              <w:spacing w:after="0"/>
              <w:rPr>
                <w:sz w:val="17"/>
                <w:szCs w:val="17"/>
                <w:color w:val="auto"/>
              </w:rPr>
            </w:pPr>
          </w:p>
        </w:tc>
        <w:tc>
          <w:tcPr>
            <w:tcW w:w="118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24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(20,377)</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(1,518)</w:t>
            </w:r>
          </w:p>
        </w:tc>
      </w:tr>
      <w:tr>
        <w:trPr>
          <w:trHeight w:val="198"/>
        </w:trPr>
        <w:tc>
          <w:tcPr>
            <w:tcW w:w="49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Transfers and other</w:t>
            </w:r>
          </w:p>
        </w:tc>
        <w:tc>
          <w:tcPr>
            <w:tcW w:w="340" w:type="dxa"/>
            <w:vAlign w:val="bottom"/>
            <w:tcBorders>
              <w:bottom w:val="single" w:sz="8" w:color="E6E6E6"/>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40" w:type="dxa"/>
            <w:vAlign w:val="bottom"/>
            <w:tcBorders>
              <w:bottom w:val="single" w:sz="8" w:color="E6E6E6"/>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6E6E6"/>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Ending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shd w:val="clear" w:color="auto" w:fill="E6E6E6"/>
          </w:tcPr>
          <w:p>
            <w:pPr>
              <w:spacing w:after="0"/>
              <w:rPr>
                <w:sz w:val="16"/>
                <w:szCs w:val="16"/>
                <w:color w:val="auto"/>
              </w:rPr>
            </w:pPr>
          </w:p>
        </w:tc>
        <w:tc>
          <w:tcPr>
            <w:tcW w:w="6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36,487</w:t>
            </w:r>
          </w:p>
        </w:tc>
        <w:tc>
          <w:tcPr>
            <w:tcW w:w="2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shd w:val="clear" w:color="auto" w:fill="E6E6E6"/>
          </w:tcPr>
          <w:p>
            <w:pPr>
              <w:spacing w:after="0"/>
              <w:rPr>
                <w:sz w:val="16"/>
                <w:szCs w:val="16"/>
                <w:color w:val="auto"/>
              </w:rPr>
            </w:pPr>
          </w:p>
        </w:tc>
        <w:tc>
          <w:tcPr>
            <w:tcW w:w="6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25,953</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40,330</w:t>
            </w: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summarized unrealized (losses) gains recognized on the Company’s equity investments held during the twelve months ended December 31, 2024, 2023 and 2022.</w:t>
      </w: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Unrealized loss recognized on equity investments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Realized (loss) gain recognized on equity investments</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Net unrealized gain (loss) on equity investments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15240</wp:posOffset>
                </wp:positionV>
                <wp:extent cx="319024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2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pt" to="251.2pt,1.2pt" o:allowincell="f" strokecolor="#000000" strokeweight="0.5pt"/>
            </w:pict>
          </mc:Fallback>
        </mc:AlternateConten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2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(20,713)</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(17,078)</w:t>
            </w:r>
          </w:p>
        </w:tc>
        <w:tc>
          <w:tcPr>
            <w:tcW w:w="0" w:type="dxa"/>
            <w:vAlign w:val="bottom"/>
          </w:tcPr>
          <w:p>
            <w:pPr>
              <w:spacing w:after="0"/>
              <w:rPr>
                <w:sz w:val="1"/>
                <w:szCs w:val="1"/>
                <w:color w:val="auto"/>
              </w:rPr>
            </w:pPr>
          </w:p>
        </w:tc>
      </w:tr>
      <w:tr>
        <w:trPr>
          <w:trHeight w:val="199"/>
        </w:trPr>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(1,636)</w:t>
            </w:r>
          </w:p>
        </w:tc>
        <w:tc>
          <w:tcPr>
            <w:tcW w:w="280" w:type="dxa"/>
            <w:vAlign w:val="bottom"/>
            <w:vMerge w:val="continue"/>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(20,660)</w:t>
            </w:r>
          </w:p>
        </w:tc>
        <w:tc>
          <w:tcPr>
            <w:tcW w:w="32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(16,910)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-3393440</wp:posOffset>
                </wp:positionH>
                <wp:positionV relativeFrom="paragraph">
                  <wp:posOffset>-285750</wp:posOffset>
                </wp:positionV>
                <wp:extent cx="6583680" cy="12573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3680" cy="125730"/>
                        </a:xfrm>
                        <a:prstGeom prst="rect">
                          <a:avLst/>
                        </a:prstGeom>
                        <a:solidFill>
                          <a:srgbClr val="E6E6E6"/>
                        </a:solidFill>
                      </wps:spPr>
                      <wps:bodyPr/>
                    </wps:wsp>
                  </a:graphicData>
                </a:graphic>
              </wp:anchor>
            </w:drawing>
          </mc:Choice>
          <mc:Fallback>
            <w:pict>
              <v:rect id="Shape 94" o:spid="_x0000_s1119" style="position:absolute;margin-left:-267.1999pt;margin-top:-22.4999pt;width:518.4pt;height:9.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E6E6" stroked="f"/>
            </w:pict>
          </mc:Fallback>
        </mc:AlternateContent>
      </w:r>
    </w:p>
    <w:p>
      <w:pPr>
        <w:spacing w:after="0" w:line="200" w:lineRule="exact"/>
        <w:rPr>
          <w:sz w:val="20"/>
          <w:szCs w:val="20"/>
          <w:color w:val="auto"/>
        </w:rPr>
      </w:pPr>
    </w:p>
    <w:p>
      <w:pPr>
        <w:sectPr>
          <w:pgSz w:w="12240" w:h="15840" w:orient="portrait"/>
          <w:cols w:equalWidth="0" w:num="2">
            <w:col w:w="4840" w:space="720"/>
            <w:col w:w="5220"/>
          </w:cols>
          <w:pgMar w:left="720" w:top="696" w:right="740" w:bottom="186" w:gutter="0" w:footer="0" w:header="0"/>
          <w:type w:val="continuous"/>
        </w:sectPr>
      </w:pP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See Note 14</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Fair Value Measurements for additional details.</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(b) Note Receivable Instruments</w:t>
      </w:r>
    </w:p>
    <w:p>
      <w:pPr>
        <w:spacing w:after="0" w:line="234" w:lineRule="exact"/>
        <w:rPr>
          <w:sz w:val="20"/>
          <w:szCs w:val="20"/>
          <w:color w:val="auto"/>
        </w:rPr>
      </w:pPr>
    </w:p>
    <w:p>
      <w:pPr>
        <w:ind w:left="500" w:right="360"/>
        <w:spacing w:after="0" w:line="258" w:lineRule="auto"/>
        <w:rPr>
          <w:sz w:val="20"/>
          <w:szCs w:val="20"/>
          <w:color w:val="auto"/>
        </w:rPr>
      </w:pPr>
      <w:r>
        <w:rPr>
          <w:rFonts w:ascii="Times New Roman" w:cs="Times New Roman" w:eastAsia="Times New Roman" w:hAnsi="Times New Roman"/>
          <w:sz w:val="20"/>
          <w:szCs w:val="20"/>
          <w:color w:val="auto"/>
        </w:rPr>
        <w:t>The Company held note(s) receivable instrument(s) in publicly and privately traded entities during the twelve months ended December 31, 2024, 2023 and 2022. The fair value of these notes receivable instruments include the initial investment and contractual accrued interest recorded within interest income on the consolidated statements of operations.</w:t>
      </w:r>
    </w:p>
    <w:p>
      <w:pPr>
        <w:spacing w:after="0" w:line="178" w:lineRule="exact"/>
        <w:rPr>
          <w:sz w:val="20"/>
          <w:szCs w:val="20"/>
          <w:color w:val="auto"/>
        </w:rPr>
      </w:pPr>
    </w:p>
    <w:p>
      <w:pPr>
        <w:ind w:left="500"/>
        <w:spacing w:after="0" w:line="277" w:lineRule="auto"/>
        <w:rPr>
          <w:sz w:val="20"/>
          <w:szCs w:val="20"/>
          <w:color w:val="auto"/>
        </w:rPr>
      </w:pPr>
      <w:r>
        <w:rPr>
          <w:rFonts w:ascii="Times New Roman" w:cs="Times New Roman" w:eastAsia="Times New Roman" w:hAnsi="Times New Roman"/>
          <w:sz w:val="20"/>
          <w:szCs w:val="20"/>
          <w:color w:val="auto"/>
        </w:rPr>
        <w:t>All of the Company’s notes receivable instruments are classified as trading securities and are included within investments on the Company’s consolidated balance sheet.</w:t>
      </w:r>
    </w:p>
    <w:p>
      <w:pPr>
        <w:spacing w:after="0" w:line="159" w:lineRule="exact"/>
        <w:rPr>
          <w:sz w:val="20"/>
          <w:szCs w:val="20"/>
          <w:color w:val="auto"/>
        </w:rPr>
      </w:pPr>
    </w:p>
    <w:p>
      <w:pPr>
        <w:ind w:left="50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change in the Company’s Level 1 note receivable instrument during the twelve months ended December 31, 2024,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3263900</wp:posOffset>
                </wp:positionH>
                <wp:positionV relativeFrom="paragraph">
                  <wp:posOffset>116205</wp:posOffset>
                </wp:positionV>
                <wp:extent cx="34569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5694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pt,9.15pt" to="529.2pt,9.15pt" o:allowincell="f" strokecolor="#000000" strokeweight="0.5pt"/>
            </w:pict>
          </mc:Fallback>
        </mc:AlternateConten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88"/>
        </w:trPr>
        <w:tc>
          <w:tcPr>
            <w:tcW w:w="4920" w:type="dxa"/>
            <w:vAlign w:val="bottom"/>
          </w:tcPr>
          <w:p>
            <w:pPr>
              <w:spacing w:after="0"/>
              <w:rPr>
                <w:sz w:val="16"/>
                <w:szCs w:val="16"/>
                <w:color w:val="auto"/>
              </w:rPr>
            </w:pPr>
          </w:p>
        </w:tc>
        <w:tc>
          <w:tcPr>
            <w:tcW w:w="14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8"/>
        </w:trPr>
        <w:tc>
          <w:tcPr>
            <w:tcW w:w="4920" w:type="dxa"/>
            <w:vAlign w:val="bottom"/>
            <w:tcBorders>
              <w:bottom w:val="single" w:sz="8" w:color="E6E6E6"/>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8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r>
      <w:tr>
        <w:trPr>
          <w:trHeight w:val="18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Beginning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E6E6E6"/>
          </w:tcPr>
          <w:p>
            <w:pPr>
              <w:spacing w:after="0"/>
              <w:rPr>
                <w:sz w:val="16"/>
                <w:szCs w:val="16"/>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2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E6E6E6"/>
          </w:tcPr>
          <w:p>
            <w:pPr>
              <w:spacing w:after="0"/>
              <w:rPr>
                <w:sz w:val="16"/>
                <w:szCs w:val="16"/>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22,214</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23,534</w:t>
            </w: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Proceeds</w:t>
            </w:r>
          </w:p>
        </w:tc>
        <w:tc>
          <w:tcPr>
            <w:tcW w:w="340" w:type="dxa"/>
            <w:vAlign w:val="bottom"/>
            <w:shd w:val="clear" w:color="auto" w:fill="E6E6E6"/>
          </w:tcPr>
          <w:p>
            <w:pPr>
              <w:spacing w:after="0"/>
              <w:rPr>
                <w:sz w:val="17"/>
                <w:szCs w:val="17"/>
                <w:color w:val="auto"/>
              </w:rPr>
            </w:pPr>
          </w:p>
        </w:tc>
        <w:tc>
          <w:tcPr>
            <w:tcW w:w="11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(22,712)</w:t>
            </w:r>
          </w:p>
        </w:tc>
        <w:tc>
          <w:tcPr>
            <w:tcW w:w="240" w:type="dxa"/>
            <w:vAlign w:val="bottom"/>
            <w:shd w:val="clear" w:color="auto" w:fill="E6E6E6"/>
          </w:tcPr>
          <w:p>
            <w:pPr>
              <w:spacing w:after="0"/>
              <w:rPr>
                <w:sz w:val="17"/>
                <w:szCs w:val="17"/>
                <w:color w:val="auto"/>
              </w:rPr>
            </w:pPr>
          </w:p>
        </w:tc>
        <w:tc>
          <w:tcPr>
            <w:tcW w:w="1280" w:type="dxa"/>
            <w:vAlign w:val="bottom"/>
            <w:shd w:val="clear" w:color="auto" w:fill="E6E6E6"/>
          </w:tcPr>
          <w:p>
            <w:pPr>
              <w:spacing w:after="0"/>
              <w:rPr>
                <w:sz w:val="17"/>
                <w:szCs w:val="17"/>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(1,083)</w:t>
            </w:r>
          </w:p>
        </w:tc>
      </w:tr>
      <w:tr>
        <w:trPr>
          <w:trHeight w:val="198"/>
        </w:trPr>
        <w:tc>
          <w:tcPr>
            <w:tcW w:w="49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340" w:type="dxa"/>
            <w:vAlign w:val="bottom"/>
            <w:tcBorders>
              <w:bottom w:val="single" w:sz="8" w:color="E6E6E6"/>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240" w:type="dxa"/>
            <w:vAlign w:val="bottom"/>
            <w:tcBorders>
              <w:bottom w:val="single" w:sz="8" w:color="E6E6E6"/>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E6E6E6"/>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188"/>
        </w:trPr>
        <w:tc>
          <w:tcPr>
            <w:tcW w:w="492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Ending</w:t>
            </w:r>
          </w:p>
        </w:tc>
        <w:tc>
          <w:tcPr>
            <w:tcW w:w="34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Borders>
              <w:bottom w:val="single" w:sz="8" w:color="auto"/>
            </w:tcBorders>
            <w:shd w:val="clear" w:color="auto" w:fill="E6E6E6"/>
          </w:tcPr>
          <w:p>
            <w:pPr>
              <w:spacing w:after="0"/>
              <w:rPr>
                <w:sz w:val="16"/>
                <w:szCs w:val="16"/>
                <w:color w:val="auto"/>
              </w:rPr>
            </w:pPr>
          </w:p>
        </w:tc>
        <w:tc>
          <w:tcPr>
            <w:tcW w:w="6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E6E6E6"/>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auto"/>
            </w:tcBorders>
            <w:shd w:val="clear" w:color="auto" w:fill="E6E6E6"/>
          </w:tcPr>
          <w:p>
            <w:pPr>
              <w:spacing w:after="0"/>
              <w:rPr>
                <w:sz w:val="16"/>
                <w:szCs w:val="16"/>
                <w:color w:val="auto"/>
              </w:rPr>
            </w:pPr>
          </w:p>
        </w:tc>
        <w:tc>
          <w:tcPr>
            <w:tcW w:w="4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22,214</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22,214</w:t>
            </w:r>
          </w:p>
        </w:tc>
      </w:tr>
      <w:tr>
        <w:trPr>
          <w:trHeight w:val="20"/>
        </w:trPr>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right="180"/>
        <w:spacing w:after="0" w:line="305" w:lineRule="auto"/>
        <w:rPr>
          <w:sz w:val="20"/>
          <w:szCs w:val="20"/>
          <w:color w:val="auto"/>
        </w:rPr>
      </w:pPr>
      <w:r>
        <w:rPr>
          <w:rFonts w:ascii="Times New Roman" w:cs="Times New Roman" w:eastAsia="Times New Roman" w:hAnsi="Times New Roman"/>
          <w:sz w:val="19"/>
          <w:szCs w:val="19"/>
          <w:color w:val="auto"/>
        </w:rPr>
        <w:t>On November 27, 2024, the Company collected the outstanding principal balance of the note receivable instrument along with accrued interest in cash, resulting in no remaining balance of Level 1 note receivable instruments as of December 31, 2024.</w:t>
      </w:r>
    </w:p>
    <w:p>
      <w:pPr>
        <w:sectPr>
          <w:pgSz w:w="12240" w:h="15840" w:orient="portrait"/>
          <w:cols w:equalWidth="0" w:num="1">
            <w:col w:w="10780"/>
          </w:cols>
          <w:pgMar w:left="720" w:top="696" w:right="740" w:bottom="1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780"/>
          </w:cols>
          <w:pgMar w:left="720" w:top="696" w:right="740" w:bottom="186" w:gutter="0" w:footer="0" w:header="0"/>
          <w:type w:val="continuous"/>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5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INVESTMENTS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auto"/>
        </w:rPr>
        <w:t xml:space="preserve">(b) Note Receivable Instruments </w:t>
      </w:r>
      <w:r>
        <w:rPr>
          <w:rFonts w:ascii="Times New Roman" w:cs="Times New Roman" w:eastAsia="Times New Roman" w:hAnsi="Times New Roman"/>
          <w:sz w:val="20"/>
          <w:szCs w:val="20"/>
          <w:i w:val="1"/>
          <w:iCs w:val="1"/>
          <w:color w:val="auto"/>
        </w:rPr>
        <w:t>(Continued)</w:t>
      </w:r>
    </w:p>
    <w:p>
      <w:pPr>
        <w:spacing w:after="0" w:line="234" w:lineRule="exact"/>
        <w:rPr>
          <w:sz w:val="20"/>
          <w:szCs w:val="20"/>
          <w:color w:val="auto"/>
        </w:rPr>
      </w:pPr>
    </w:p>
    <w:p>
      <w:pPr>
        <w:ind w:left="500" w:right="180"/>
        <w:spacing w:after="0" w:line="277" w:lineRule="auto"/>
        <w:rPr>
          <w:sz w:val="20"/>
          <w:szCs w:val="20"/>
          <w:color w:val="auto"/>
        </w:rPr>
      </w:pPr>
      <w:r>
        <w:rPr>
          <w:rFonts w:ascii="Times New Roman" w:cs="Times New Roman" w:eastAsia="Times New Roman" w:hAnsi="Times New Roman"/>
          <w:sz w:val="20"/>
          <w:szCs w:val="20"/>
          <w:color w:val="auto"/>
        </w:rPr>
        <w:t>The following table summarized the change in the Company’s Level 3 notes receivable instruments during the twelve months ended December 31, 2024, 2023 and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3224530</wp:posOffset>
                </wp:positionH>
                <wp:positionV relativeFrom="paragraph">
                  <wp:posOffset>116205</wp:posOffset>
                </wp:positionV>
                <wp:extent cx="349631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9631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9pt,9.15pt" to="529.2pt,9.15pt" o:allowincell="f" strokecolor="#000000" strokeweight="0.5pt"/>
            </w:pict>
          </mc:Fallback>
        </mc:AlternateContent>
      </w:r>
    </w:p>
    <w:p>
      <w:pPr>
        <w:spacing w:after="0" w:line="163"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188"/>
        </w:trPr>
        <w:tc>
          <w:tcPr>
            <w:tcW w:w="4860" w:type="dxa"/>
            <w:vAlign w:val="bottom"/>
          </w:tcPr>
          <w:p>
            <w:pPr>
              <w:spacing w:after="0"/>
              <w:rPr>
                <w:sz w:val="16"/>
                <w:szCs w:val="16"/>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78"/>
        </w:trPr>
        <w:tc>
          <w:tcPr>
            <w:tcW w:w="4860" w:type="dxa"/>
            <w:vAlign w:val="bottom"/>
            <w:tcBorders>
              <w:bottom w:val="single" w:sz="8" w:color="E6E6E6"/>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380"/>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r>
      <w:tr>
        <w:trPr>
          <w:trHeight w:val="18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Beginning</w:t>
            </w:r>
          </w:p>
        </w:tc>
        <w:tc>
          <w:tcPr>
            <w:tcW w:w="32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6E6E6"/>
          </w:tcPr>
          <w:p>
            <w:pPr>
              <w:spacing w:after="0"/>
              <w:rPr>
                <w:sz w:val="16"/>
                <w:szCs w:val="16"/>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14,193</w:t>
            </w:r>
          </w:p>
        </w:tc>
        <w:tc>
          <w:tcPr>
            <w:tcW w:w="32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12,577</w:t>
            </w:r>
          </w:p>
        </w:tc>
      </w:tr>
      <w:tr>
        <w:trPr>
          <w:trHeight w:val="19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r>
      <w:tr>
        <w:trPr>
          <w:trHeight w:val="19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Proceeds</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(5,020)</w:t>
            </w:r>
          </w:p>
        </w:tc>
        <w:tc>
          <w:tcPr>
            <w:tcW w:w="320" w:type="dxa"/>
            <w:vAlign w:val="bottom"/>
            <w:shd w:val="clear" w:color="auto" w:fill="E6E6E6"/>
          </w:tcPr>
          <w:p>
            <w:pPr>
              <w:spacing w:after="0"/>
              <w:rPr>
                <w:sz w:val="17"/>
                <w:szCs w:val="17"/>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Fair value adjustment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w:t>
            </w:r>
          </w:p>
        </w:tc>
      </w:tr>
      <w:tr>
        <w:trPr>
          <w:trHeight w:val="19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32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320" w:type="dxa"/>
            <w:vAlign w:val="bottom"/>
            <w:shd w:val="clear" w:color="auto" w:fill="E6E6E6"/>
          </w:tcPr>
          <w:p>
            <w:pPr>
              <w:spacing w:after="0"/>
              <w:rPr>
                <w:sz w:val="17"/>
                <w:szCs w:val="17"/>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6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664</w:t>
            </w:r>
          </w:p>
        </w:tc>
      </w:tr>
      <w:tr>
        <w:trPr>
          <w:trHeight w:val="198"/>
        </w:trPr>
        <w:tc>
          <w:tcPr>
            <w:tcW w:w="48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Transfers and other</w:t>
            </w:r>
          </w:p>
        </w:tc>
        <w:tc>
          <w:tcPr>
            <w:tcW w:w="320" w:type="dxa"/>
            <w:vAlign w:val="bottom"/>
            <w:tcBorders>
              <w:bottom w:val="single" w:sz="8" w:color="E6E6E6"/>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20" w:type="dxa"/>
            <w:vAlign w:val="bottom"/>
            <w:tcBorders>
              <w:bottom w:val="single" w:sz="8" w:color="E6E6E6"/>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Borders>
              <w:bottom w:val="single" w:sz="8" w:color="E6E6E6"/>
            </w:tcBorders>
          </w:tcPr>
          <w:p>
            <w:pPr>
              <w:spacing w:after="0"/>
              <w:rPr>
                <w:sz w:val="17"/>
                <w:szCs w:val="17"/>
                <w:color w:val="auto"/>
              </w:rPr>
            </w:pPr>
          </w:p>
        </w:tc>
        <w:tc>
          <w:tcPr>
            <w:tcW w:w="280" w:type="dxa"/>
            <w:vAlign w:val="bottom"/>
            <w:tcBorders>
              <w:bottom w:val="single" w:sz="8" w:color="E6E6E6"/>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86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Ending</w:t>
            </w:r>
          </w:p>
        </w:tc>
        <w:tc>
          <w:tcPr>
            <w:tcW w:w="320" w:type="dxa"/>
            <w:vAlign w:val="bottom"/>
            <w:shd w:val="clear" w:color="auto" w:fill="E6E6E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shd w:val="clear" w:color="auto" w:fill="E6E6E6"/>
          </w:tcPr>
          <w:p>
            <w:pPr>
              <w:spacing w:after="0"/>
              <w:rPr>
                <w:sz w:val="16"/>
                <w:szCs w:val="16"/>
                <w:color w:val="auto"/>
              </w:rPr>
            </w:pPr>
          </w:p>
        </w:tc>
        <w:tc>
          <w:tcPr>
            <w:tcW w:w="5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7,091</w:t>
            </w:r>
          </w:p>
        </w:tc>
        <w:tc>
          <w:tcPr>
            <w:tcW w:w="32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14,193</w:t>
            </w:r>
          </w:p>
        </w:tc>
        <w:tc>
          <w:tcPr>
            <w:tcW w:w="60" w:type="dxa"/>
            <w:vAlign w:val="bottom"/>
            <w:shd w:val="clear" w:color="auto" w:fill="E6E6E6"/>
          </w:tcPr>
          <w:p>
            <w:pPr>
              <w:spacing w:after="0"/>
              <w:rPr>
                <w:sz w:val="16"/>
                <w:szCs w:val="16"/>
                <w:color w:val="auto"/>
              </w:rPr>
            </w:pPr>
          </w:p>
        </w:tc>
        <w:tc>
          <w:tcPr>
            <w:tcW w:w="28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b w:val="1"/>
                <w:bCs w:val="1"/>
                <w:color w:val="auto"/>
              </w:rPr>
              <w:t>9,090</w:t>
            </w:r>
          </w:p>
        </w:tc>
      </w:tr>
      <w:tr>
        <w:trPr>
          <w:trHeight w:val="20"/>
        </w:trPr>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500" w:right="480"/>
        <w:spacing w:after="0" w:line="277" w:lineRule="auto"/>
        <w:rPr>
          <w:sz w:val="20"/>
          <w:szCs w:val="20"/>
          <w:color w:val="auto"/>
        </w:rPr>
      </w:pPr>
      <w:r>
        <w:rPr>
          <w:rFonts w:ascii="Times New Roman" w:cs="Times New Roman" w:eastAsia="Times New Roman" w:hAnsi="Times New Roman"/>
          <w:sz w:val="20"/>
          <w:szCs w:val="20"/>
          <w:color w:val="auto"/>
        </w:rPr>
        <w:t>The Company’s Level 3 notes receivable instruments had stated interest rates ranging between 2.7% and 10.0% and terms between twelve months to five years.</w:t>
      </w:r>
    </w:p>
    <w:p>
      <w:pPr>
        <w:spacing w:after="0" w:line="159" w:lineRule="exact"/>
        <w:rPr>
          <w:sz w:val="20"/>
          <w:szCs w:val="20"/>
          <w:color w:val="auto"/>
        </w:rPr>
      </w:pPr>
    </w:p>
    <w:p>
      <w:pPr>
        <w:ind w:left="500" w:right="180"/>
        <w:spacing w:after="0" w:line="277" w:lineRule="auto"/>
        <w:rPr>
          <w:sz w:val="20"/>
          <w:szCs w:val="20"/>
          <w:color w:val="auto"/>
        </w:rPr>
      </w:pPr>
      <w:r>
        <w:rPr>
          <w:rFonts w:ascii="Times New Roman" w:cs="Times New Roman" w:eastAsia="Times New Roman" w:hAnsi="Times New Roman"/>
          <w:sz w:val="20"/>
          <w:szCs w:val="20"/>
          <w:color w:val="auto"/>
        </w:rPr>
        <w:t>On January 9, 2024, one of the Company’s privately held note receivable instruments matured and the Company collected the principal amount of $4,000 thousand along with accrued interest of $605 thousand on such date.</w:t>
      </w:r>
    </w:p>
    <w:p>
      <w:pPr>
        <w:spacing w:after="0" w:line="159" w:lineRule="exact"/>
        <w:rPr>
          <w:sz w:val="20"/>
          <w:szCs w:val="20"/>
          <w:color w:val="auto"/>
        </w:rPr>
      </w:pPr>
    </w:p>
    <w:p>
      <w:pPr>
        <w:ind w:left="500"/>
        <w:spacing w:after="0" w:line="258" w:lineRule="auto"/>
        <w:rPr>
          <w:sz w:val="20"/>
          <w:szCs w:val="20"/>
          <w:color w:val="auto"/>
        </w:rPr>
      </w:pPr>
      <w:r>
        <w:rPr>
          <w:rFonts w:ascii="Times New Roman" w:cs="Times New Roman" w:eastAsia="Times New Roman" w:hAnsi="Times New Roman"/>
          <w:sz w:val="20"/>
          <w:szCs w:val="20"/>
          <w:color w:val="auto"/>
        </w:rPr>
        <w:t>On August 16, 2024, a separate privately held convertible note receivable instrument in the amount of $5,000 thousand was exchanged for shares of preferred stock of the investee. As a result, the investment was transferred from Level 3 note receivable instruments to the Level 3 equity investments.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See Note 14</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Fair Value Measurements for additional details.</w:t>
      </w:r>
    </w:p>
    <w:p>
      <w:pPr>
        <w:sectPr>
          <w:pgSz w:w="12240" w:h="15840" w:orient="portrait"/>
          <w:cols w:equalWidth="0" w:num="1">
            <w:col w:w="10740"/>
          </w:cols>
          <w:pgMar w:left="720" w:top="696" w:right="78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740"/>
          </w:cols>
          <w:pgMar w:left="720" w:top="696" w:right="780" w:bottom="186"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77470</wp:posOffset>
                </wp:positionV>
                <wp:extent cx="689483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6.1pt" to="541.45pt,6.1pt" o:allowincell="f" strokecolor="#000000" strokeweight="0.75pt"/>
            </w:pict>
          </mc:Fallback>
        </mc:AlternateContent>
      </w:r>
    </w:p>
    <w:p>
      <w:pPr>
        <w:spacing w:after="0" w:line="383" w:lineRule="exact"/>
        <w:rPr>
          <w:sz w:val="20"/>
          <w:szCs w:val="20"/>
          <w:color w:val="auto"/>
        </w:rPr>
      </w:pPr>
    </w:p>
    <w:p>
      <w:pPr>
        <w:ind w:left="980" w:hanging="490"/>
        <w:spacing w:after="0"/>
        <w:tabs>
          <w:tab w:leader="none" w:pos="9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Operating Leases</w:t>
      </w:r>
    </w:p>
    <w:p>
      <w:pPr>
        <w:spacing w:after="0" w:line="234" w:lineRule="exact"/>
        <w:rPr>
          <w:sz w:val="20"/>
          <w:szCs w:val="20"/>
          <w:color w:val="auto"/>
        </w:rPr>
      </w:pPr>
    </w:p>
    <w:p>
      <w:pPr>
        <w:ind w:left="500" w:right="2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for its retail stores, processing and cultivation facilities and corporate office space. Operating lease right-of-use assets and operating lease liabilities are recognized based on the present value of future minimum lease payments over the lease term at commencement date.</w:t>
      </w:r>
    </w:p>
    <w:p>
      <w:pPr>
        <w:spacing w:after="0" w:line="178" w:lineRule="exact"/>
        <w:rPr>
          <w:sz w:val="20"/>
          <w:szCs w:val="20"/>
          <w:color w:val="auto"/>
        </w:rPr>
      </w:pPr>
    </w:p>
    <w:p>
      <w:pPr>
        <w:ind w:left="500" w:right="40"/>
        <w:spacing w:after="0" w:line="249" w:lineRule="auto"/>
        <w:rPr>
          <w:sz w:val="20"/>
          <w:szCs w:val="20"/>
          <w:color w:val="auto"/>
        </w:rPr>
      </w:pPr>
      <w:r>
        <w:rPr>
          <w:rFonts w:ascii="Times New Roman" w:cs="Times New Roman" w:eastAsia="Times New Roman" w:hAnsi="Times New Roman"/>
          <w:sz w:val="20"/>
          <w:szCs w:val="20"/>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fixed and variable non-lease components, such as taxes, insurance and maintenance. The Company accounts for real estate leases and the related fixed non-lease components together as a single component.</w:t>
      </w:r>
    </w:p>
    <w:p>
      <w:pPr>
        <w:spacing w:after="0" w:line="187" w:lineRule="exact"/>
        <w:rPr>
          <w:sz w:val="20"/>
          <w:szCs w:val="20"/>
          <w:color w:val="auto"/>
        </w:rPr>
      </w:pPr>
    </w:p>
    <w:p>
      <w:pPr>
        <w:ind w:left="500" w:right="160"/>
        <w:spacing w:after="0" w:line="249"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years ended December 31, 2024, 2023 and 2022 the Company recorded operating lease expense of $54,385 thousand, $48,231 thousand and $43,985 thousand, respectively.</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Other information related to operating leases as of December 31, 2024 and 2023 were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Borders>
              <w:bottom w:val="single" w:sz="8" w:color="E6E6E6"/>
            </w:tcBorders>
          </w:tcPr>
          <w:p>
            <w:pPr>
              <w:spacing w:after="0"/>
              <w:rPr>
                <w:sz w:val="17"/>
                <w:szCs w:val="17"/>
                <w:color w:val="auto"/>
              </w:rPr>
            </w:pPr>
          </w:p>
        </w:tc>
        <w:tc>
          <w:tcPr>
            <w:tcW w:w="2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Borders>
              <w:bottom w:val="single" w:sz="8" w:color="E6E6E6"/>
            </w:tcBorders>
          </w:tcPr>
          <w:p>
            <w:pPr>
              <w:spacing w:after="0"/>
              <w:rPr>
                <w:sz w:val="17"/>
                <w:szCs w:val="17"/>
                <w:color w:val="auto"/>
              </w:rPr>
            </w:pPr>
          </w:p>
        </w:tc>
        <w:tc>
          <w:tcPr>
            <w:tcW w:w="22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74"/>
        </w:trPr>
        <w:tc>
          <w:tcPr>
            <w:tcW w:w="616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226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10.74</w:t>
            </w:r>
          </w:p>
        </w:tc>
        <w:tc>
          <w:tcPr>
            <w:tcW w:w="120" w:type="dxa"/>
            <w:vAlign w:val="bottom"/>
            <w:shd w:val="clear" w:color="auto" w:fill="E6E6E6"/>
          </w:tcPr>
          <w:p>
            <w:pPr>
              <w:spacing w:after="0"/>
              <w:rPr>
                <w:sz w:val="15"/>
                <w:szCs w:val="15"/>
                <w:color w:val="auto"/>
              </w:rPr>
            </w:pPr>
          </w:p>
        </w:tc>
        <w:tc>
          <w:tcPr>
            <w:tcW w:w="226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11.75</w:t>
            </w:r>
          </w:p>
        </w:tc>
      </w:t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r>
    </w:tbl>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Maturities of lease liabilities for operating leases as of December 31, 2024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20" w:type="dxa"/>
            <w:vAlign w:val="bottom"/>
          </w:tcPr>
          <w:p>
            <w:pPr>
              <w:spacing w:after="0"/>
              <w:rPr>
                <w:sz w:val="17"/>
                <w:szCs w:val="17"/>
                <w:color w:val="auto"/>
              </w:rPr>
            </w:pPr>
          </w:p>
        </w:tc>
        <w:tc>
          <w:tcPr>
            <w:tcW w:w="3520" w:type="dxa"/>
            <w:vAlign w:val="bottom"/>
            <w:tcBorders>
              <w:bottom w:val="single" w:sz="8" w:color="auto"/>
            </w:tcBorders>
            <w:gridSpan w:val="5"/>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Maturities of Lease Liability</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9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ind w:right="220"/>
              <w:spacing w:after="0" w:line="174" w:lineRule="exact"/>
              <w:rPr>
                <w:sz w:val="20"/>
                <w:szCs w:val="20"/>
                <w:color w:val="auto"/>
              </w:rPr>
            </w:pPr>
            <w:r>
              <w:rPr>
                <w:rFonts w:ascii="Times New Roman" w:cs="Times New Roman" w:eastAsia="Times New Roman" w:hAnsi="Times New Roman"/>
                <w:sz w:val="16"/>
                <w:szCs w:val="16"/>
                <w:b w:val="1"/>
                <w:bCs w:val="1"/>
                <w:color w:val="auto"/>
              </w:rPr>
              <w:t>Third-Party</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Related Party</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0"/>
              <w:spacing w:after="0" w:line="174"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4"/>
        </w:trPr>
        <w:tc>
          <w:tcPr>
            <w:tcW w:w="5940" w:type="dxa"/>
            <w:vAlign w:val="bottom"/>
            <w:tcBorders>
              <w:bottom w:val="single" w:sz="8" w:color="E6E6E6"/>
            </w:tcBorders>
          </w:tcPr>
          <w:p>
            <w:pPr>
              <w:spacing w:after="0"/>
              <w:rPr>
                <w:sz w:val="15"/>
                <w:szCs w:val="15"/>
                <w:color w:val="auto"/>
              </w:rPr>
            </w:pPr>
          </w:p>
        </w:tc>
        <w:tc>
          <w:tcPr>
            <w:tcW w:w="220" w:type="dxa"/>
            <w:vAlign w:val="bottom"/>
            <w:tcBorders>
              <w:bottom w:val="single" w:sz="8" w:color="E6E6E6"/>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(in thousands)</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94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46,770</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514</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47,284</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46,728</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47,252</w:t>
            </w:r>
          </w:p>
        </w:tc>
        <w:tc>
          <w:tcPr>
            <w:tcW w:w="0" w:type="dxa"/>
            <w:vAlign w:val="bottom"/>
          </w:tcPr>
          <w:p>
            <w:pPr>
              <w:spacing w:after="0"/>
              <w:rPr>
                <w:sz w:val="1"/>
                <w:szCs w:val="1"/>
                <w:color w:val="auto"/>
              </w:rPr>
            </w:pPr>
          </w:p>
        </w:tc>
      </w:tr>
      <w:tr>
        <w:trPr>
          <w:trHeight w:val="18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shd w:val="clear" w:color="auto" w:fill="E6E6E6"/>
          </w:tcPr>
          <w:p>
            <w:pPr>
              <w:spacing w:after="0"/>
              <w:rPr>
                <w:sz w:val="15"/>
                <w:szCs w:val="15"/>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47,248</w:t>
            </w:r>
          </w:p>
        </w:tc>
        <w:tc>
          <w:tcPr>
            <w:tcW w:w="220" w:type="dxa"/>
            <w:vAlign w:val="bottom"/>
            <w:shd w:val="clear" w:color="auto" w:fill="E6E6E6"/>
          </w:tcPr>
          <w:p>
            <w:pPr>
              <w:spacing w:after="0"/>
              <w:rPr>
                <w:sz w:val="15"/>
                <w:szCs w:val="15"/>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47,739</w:t>
            </w:r>
          </w:p>
        </w:tc>
        <w:tc>
          <w:tcPr>
            <w:tcW w:w="0" w:type="dxa"/>
            <w:vAlign w:val="bottom"/>
          </w:tcPr>
          <w:p>
            <w:pPr>
              <w:spacing w:after="0"/>
              <w:rPr>
                <w:sz w:val="1"/>
                <w:szCs w:val="1"/>
                <w:color w:val="auto"/>
              </w:rPr>
            </w:pPr>
          </w:p>
        </w:tc>
      </w:tr>
      <w:tr>
        <w:trPr>
          <w:trHeight w:val="184"/>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46,329</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46,611</w:t>
            </w:r>
          </w:p>
        </w:tc>
        <w:tc>
          <w:tcPr>
            <w:tcW w:w="0" w:type="dxa"/>
            <w:vAlign w:val="bottom"/>
          </w:tcPr>
          <w:p>
            <w:pPr>
              <w:spacing w:after="0"/>
              <w:rPr>
                <w:sz w:val="1"/>
                <w:szCs w:val="1"/>
                <w:color w:val="auto"/>
              </w:rPr>
            </w:pPr>
          </w:p>
        </w:tc>
      </w:tr>
      <w:tr>
        <w:trPr>
          <w:trHeight w:val="18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shd w:val="clear" w:color="auto" w:fill="E6E6E6"/>
          </w:tcPr>
          <w:p>
            <w:pPr>
              <w:spacing w:after="0"/>
              <w:rPr>
                <w:sz w:val="15"/>
                <w:szCs w:val="15"/>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43,211</w:t>
            </w:r>
          </w:p>
        </w:tc>
        <w:tc>
          <w:tcPr>
            <w:tcW w:w="220" w:type="dxa"/>
            <w:vAlign w:val="bottom"/>
            <w:shd w:val="clear" w:color="auto" w:fill="E6E6E6"/>
          </w:tcPr>
          <w:p>
            <w:pPr>
              <w:spacing w:after="0"/>
              <w:rPr>
                <w:sz w:val="15"/>
                <w:szCs w:val="15"/>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43,498</w:t>
            </w:r>
          </w:p>
        </w:tc>
        <w:tc>
          <w:tcPr>
            <w:tcW w:w="0" w:type="dxa"/>
            <w:vAlign w:val="bottom"/>
          </w:tcPr>
          <w:p>
            <w:pPr>
              <w:spacing w:after="0"/>
              <w:rPr>
                <w:sz w:val="1"/>
                <w:szCs w:val="1"/>
                <w:color w:val="auto"/>
              </w:rPr>
            </w:pPr>
          </w:p>
        </w:tc>
      </w:tr>
      <w:tr>
        <w:trPr>
          <w:trHeight w:val="184"/>
        </w:trPr>
        <w:tc>
          <w:tcPr>
            <w:tcW w:w="59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220" w:type="dxa"/>
            <w:vAlign w:val="bottom"/>
            <w:tcBorders>
              <w:bottom w:val="single" w:sz="8" w:color="E6E6E6"/>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292,942</w:t>
            </w:r>
          </w:p>
        </w:tc>
        <w:tc>
          <w:tcPr>
            <w:tcW w:w="220" w:type="dxa"/>
            <w:vAlign w:val="bottom"/>
            <w:tcBorders>
              <w:bottom w:val="single" w:sz="8" w:color="E6E6E6"/>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22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293,710</w:t>
            </w:r>
          </w:p>
        </w:tc>
        <w:tc>
          <w:tcPr>
            <w:tcW w:w="0" w:type="dxa"/>
            <w:vAlign w:val="bottom"/>
          </w:tcPr>
          <w:p>
            <w:pPr>
              <w:spacing w:after="0"/>
              <w:rPr>
                <w:sz w:val="1"/>
                <w:szCs w:val="1"/>
                <w:color w:val="auto"/>
              </w:rPr>
            </w:pPr>
          </w:p>
        </w:tc>
      </w:tr>
      <w:tr>
        <w:trPr>
          <w:trHeight w:val="174"/>
        </w:trPr>
        <w:tc>
          <w:tcPr>
            <w:tcW w:w="594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E6E6E6"/>
          </w:tcPr>
          <w:p>
            <w:pPr>
              <w:spacing w:after="0"/>
              <w:rPr>
                <w:sz w:val="15"/>
                <w:szCs w:val="15"/>
                <w:color w:val="auto"/>
              </w:rPr>
            </w:pPr>
          </w:p>
        </w:tc>
        <w:tc>
          <w:tcPr>
            <w:tcW w:w="14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523,228</w:t>
            </w:r>
          </w:p>
        </w:tc>
        <w:tc>
          <w:tcPr>
            <w:tcW w:w="220" w:type="dxa"/>
            <w:vAlign w:val="bottom"/>
            <w:shd w:val="clear" w:color="auto" w:fill="E6E6E6"/>
          </w:tcPr>
          <w:p>
            <w:pPr>
              <w:spacing w:after="0"/>
              <w:rPr>
                <w:sz w:val="15"/>
                <w:szCs w:val="15"/>
                <w:color w:val="auto"/>
              </w:rPr>
            </w:pPr>
          </w:p>
        </w:tc>
        <w:tc>
          <w:tcPr>
            <w:tcW w:w="140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2,866</w:t>
            </w:r>
          </w:p>
        </w:tc>
        <w:tc>
          <w:tcPr>
            <w:tcW w:w="220" w:type="dxa"/>
            <w:vAlign w:val="bottom"/>
            <w:shd w:val="clear" w:color="auto" w:fill="E6E6E6"/>
          </w:tcPr>
          <w:p>
            <w:pPr>
              <w:spacing w:after="0"/>
              <w:rPr>
                <w:sz w:val="15"/>
                <w:szCs w:val="15"/>
                <w:color w:val="auto"/>
              </w:rPr>
            </w:pPr>
          </w:p>
        </w:tc>
        <w:tc>
          <w:tcPr>
            <w:tcW w:w="260" w:type="dxa"/>
            <w:vAlign w:val="bottom"/>
            <w:shd w:val="clear" w:color="auto" w:fill="E6E6E6"/>
          </w:tcPr>
          <w:p>
            <w:pPr>
              <w:spacing w:after="0"/>
              <w:rPr>
                <w:sz w:val="15"/>
                <w:szCs w:val="15"/>
                <w:color w:val="auto"/>
              </w:rPr>
            </w:pPr>
          </w:p>
        </w:tc>
        <w:tc>
          <w:tcPr>
            <w:tcW w:w="11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526,094</w:t>
            </w:r>
          </w:p>
        </w:tc>
        <w:tc>
          <w:tcPr>
            <w:tcW w:w="0" w:type="dxa"/>
            <w:vAlign w:val="bottom"/>
          </w:tcPr>
          <w:p>
            <w:pPr>
              <w:spacing w:after="0"/>
              <w:rPr>
                <w:sz w:val="1"/>
                <w:szCs w:val="1"/>
                <w:color w:val="auto"/>
              </w:rPr>
            </w:pPr>
          </w:p>
        </w:tc>
      </w:tr>
      <w:tr>
        <w:trPr>
          <w:trHeight w:val="184"/>
        </w:trPr>
        <w:tc>
          <w:tcPr>
            <w:tcW w:w="59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220" w:type="dxa"/>
            <w:vAlign w:val="bottom"/>
            <w:tcBorders>
              <w:bottom w:val="single" w:sz="8" w:color="E6E6E6"/>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(249,490)</w:t>
            </w:r>
          </w:p>
        </w:tc>
        <w:tc>
          <w:tcPr>
            <w:tcW w:w="220" w:type="dxa"/>
            <w:vAlign w:val="bottom"/>
            <w:tcBorders>
              <w:bottom w:val="single" w:sz="8" w:color="E6E6E6"/>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20" w:type="dxa"/>
            <w:vAlign w:val="bottom"/>
            <w:tcBorders>
              <w:bottom w:val="single" w:sz="8" w:color="E6E6E6"/>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(250,352)</w:t>
            </w:r>
          </w:p>
        </w:tc>
        <w:tc>
          <w:tcPr>
            <w:tcW w:w="0" w:type="dxa"/>
            <w:vAlign w:val="bottom"/>
          </w:tcPr>
          <w:p>
            <w:pPr>
              <w:spacing w:after="0"/>
              <w:rPr>
                <w:sz w:val="1"/>
                <w:szCs w:val="1"/>
                <w:color w:val="auto"/>
              </w:rPr>
            </w:pPr>
          </w:p>
        </w:tc>
      </w:tr>
      <w:tr>
        <w:trPr>
          <w:trHeight w:val="174"/>
        </w:trPr>
        <w:tc>
          <w:tcPr>
            <w:tcW w:w="5940" w:type="dxa"/>
            <w:vAlign w:val="bottom"/>
            <w:shd w:val="clear" w:color="auto" w:fill="E6E6E6"/>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Present Value of Lease Liability</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273,738</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2,004</w:t>
            </w:r>
          </w:p>
        </w:tc>
        <w:tc>
          <w:tcPr>
            <w:tcW w:w="220" w:type="dxa"/>
            <w:vAlign w:val="bottom"/>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E6E6E6"/>
          </w:tcPr>
          <w:p>
            <w:pPr>
              <w:spacing w:after="0"/>
              <w:rPr>
                <w:sz w:val="15"/>
                <w:szCs w:val="15"/>
                <w:color w:val="auto"/>
              </w:rPr>
            </w:pPr>
          </w:p>
        </w:tc>
        <w:tc>
          <w:tcPr>
            <w:tcW w:w="1120" w:type="dxa"/>
            <w:vAlign w:val="bottom"/>
            <w:tcBorders>
              <w:bottom w:val="single" w:sz="8" w:color="auto"/>
            </w:tcBorders>
            <w:shd w:val="clear" w:color="auto" w:fill="E6E6E6"/>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275,742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980" w:hanging="490"/>
        <w:spacing w:after="0"/>
        <w:tabs>
          <w:tab w:leader="none" w:pos="98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Operating Leases</w:t>
      </w:r>
    </w:p>
    <w:p>
      <w:pPr>
        <w:spacing w:after="0" w:line="234" w:lineRule="exact"/>
        <w:rPr>
          <w:sz w:val="20"/>
          <w:szCs w:val="20"/>
          <w:color w:val="auto"/>
        </w:rPr>
      </w:pPr>
    </w:p>
    <w:p>
      <w:pPr>
        <w:ind w:left="500" w:right="40"/>
        <w:spacing w:after="0" w:line="243" w:lineRule="auto"/>
        <w:rPr>
          <w:sz w:val="20"/>
          <w:szCs w:val="20"/>
          <w:color w:val="auto"/>
        </w:rPr>
      </w:pPr>
      <w:r>
        <w:rPr>
          <w:rFonts w:ascii="Times New Roman" w:cs="Times New Roman" w:eastAsia="Times New Roman" w:hAnsi="Times New Roman"/>
          <w:sz w:val="20"/>
          <w:szCs w:val="20"/>
          <w:color w:val="auto"/>
        </w:rPr>
        <w:t>Wendy Berger, a former director of the Company, is a principal of WBS Equities, LLC, which is the Manager of Mosaic Real Estate, LLC, which owned the facilities leased by the Company. Additionally, Mosaic Real Estate, LLC is owned in part by Ms. Berger (through the Wendy Berger 1998 Revocable Trust), Benjamin Kovler, the Chairman and Chief Executive Officer of the Company (through KP Capital, LLC), and Anthony Georgiadis, the President and a director of the Company (through Three One Four Holdings, LLC). On December 16, 2022, the Company purchased land located at 5401 NW 44th Ave. Ocala, Florida for $5,584 thousand, excluding transaction costs, from Mosaic Real Estate Ocala, LLC. This transaction resulted in the termination of the Florida related party leasing agreement. On December 17, 2024, the Company purchased the land and building located at 169 Meadow St. Amherst, Massachusetts for $654 thousand, excluding transaction costs, from Mosaic Real Estate Amherst, LLC. This transaction resulted in the termination of the Massachusetts related party leasing agreement. For the years ended December 31, 2024, 2023 and 2022, the Company recorded lease expense of $595 thousand, $553 thousand and $1,129 thousand, respectively, associated with these leasing arrangements.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10800"/>
          </w:cols>
          <w:pgMar w:left="720" w:top="696" w:right="720" w:bottom="186"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20"/>
                <w:szCs w:val="20"/>
                <w:b w:val="1"/>
                <w:bCs w:val="1"/>
                <w:color w:val="auto"/>
              </w:rPr>
              <w:t>8.</w:t>
            </w:r>
          </w:p>
        </w:tc>
        <w:tc>
          <w:tcPr>
            <w:tcW w:w="64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NOTES PAYABLE</w:t>
            </w:r>
          </w:p>
        </w:tc>
        <w:tc>
          <w:tcPr>
            <w:tcW w:w="5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91"/>
        </w:trPr>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r>
        <w:trPr>
          <w:trHeight w:val="362"/>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At December 31, 2024 and 2023, notes payable consisted of the following:</w:t>
            </w: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8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r>
      <w:tr>
        <w:trPr>
          <w:trHeight w:val="245"/>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8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36"/>
        </w:trPr>
        <w:tc>
          <w:tcPr>
            <w:tcW w:w="120" w:type="dxa"/>
            <w:vAlign w:val="bottom"/>
          </w:tcPr>
          <w:p>
            <w:pPr>
              <w:spacing w:after="0"/>
              <w:rPr>
                <w:sz w:val="20"/>
                <w:szCs w:val="20"/>
                <w:color w:val="auto"/>
              </w:rPr>
            </w:pPr>
          </w:p>
        </w:tc>
        <w:tc>
          <w:tcPr>
            <w:tcW w:w="6700" w:type="dxa"/>
            <w:vAlign w:val="bottom"/>
            <w:tcBorders>
              <w:top w:val="single" w:sz="8" w:color="E6E6E6"/>
            </w:tcBorders>
            <w:gridSpan w:val="2"/>
            <w:shd w:val="clear" w:color="auto" w:fill="E6E6E6"/>
          </w:tcPr>
          <w:p>
            <w:pPr>
              <w:spacing w:after="0" w:line="236" w:lineRule="exact"/>
              <w:rPr>
                <w:sz w:val="20"/>
                <w:szCs w:val="20"/>
                <w:color w:val="auto"/>
              </w:rPr>
            </w:pPr>
            <w:r>
              <w:rPr>
                <w:rFonts w:ascii="Times New Roman" w:cs="Times New Roman" w:eastAsia="Times New Roman" w:hAnsi="Times New Roman"/>
                <w:sz w:val="18"/>
                <w:szCs w:val="18"/>
                <w:color w:val="auto"/>
              </w:rPr>
              <w:t>Charitable contributions</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E6E6E6"/>
            </w:tcBorders>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gridSpan w:val="2"/>
            <w:shd w:val="clear" w:color="auto" w:fill="E6E6E6"/>
          </w:tcPr>
          <w:p>
            <w:pPr>
              <w:jc w:val="right"/>
              <w:ind w:right="3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r>
      <w:tr>
        <w:trPr>
          <w:trHeight w:val="244"/>
        </w:trPr>
        <w:tc>
          <w:tcPr>
            <w:tcW w:w="120" w:type="dxa"/>
            <w:vAlign w:val="bottom"/>
          </w:tcPr>
          <w:p>
            <w:pPr>
              <w:spacing w:after="0"/>
              <w:rPr>
                <w:sz w:val="21"/>
                <w:szCs w:val="21"/>
                <w:color w:val="auto"/>
              </w:rPr>
            </w:pPr>
          </w:p>
        </w:tc>
        <w:tc>
          <w:tcPr>
            <w:tcW w:w="6700" w:type="dxa"/>
            <w:vAlign w:val="bottom"/>
            <w:gridSpan w:val="2"/>
          </w:tcPr>
          <w:p>
            <w:pPr>
              <w:spacing w:after="0" w:line="244" w:lineRule="exact"/>
              <w:rPr>
                <w:sz w:val="20"/>
                <w:szCs w:val="20"/>
                <w:color w:val="auto"/>
              </w:rPr>
            </w:pPr>
            <w:r>
              <w:rPr>
                <w:rFonts w:ascii="Times New Roman" w:cs="Times New Roman" w:eastAsia="Times New Roman" w:hAnsi="Times New Roman"/>
                <w:sz w:val="18"/>
                <w:szCs w:val="18"/>
                <w:color w:val="auto"/>
              </w:rPr>
              <w:t>Private placement debt dated April 30, 2021</w:t>
            </w:r>
            <w:r>
              <w:rPr>
                <w:rFonts w:ascii="Times New Roman" w:cs="Times New Roman" w:eastAsia="Times New Roman" w:hAnsi="Times New Roman"/>
                <w:sz w:val="24"/>
                <w:szCs w:val="24"/>
                <w:color w:val="auto"/>
                <w:vertAlign w:val="superscript"/>
              </w:rPr>
              <w:t>2</w:t>
            </w:r>
          </w:p>
        </w:tc>
        <w:tc>
          <w:tcPr>
            <w:tcW w:w="5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221,680</w:t>
            </w:r>
          </w:p>
        </w:tc>
        <w:tc>
          <w:tcPr>
            <w:tcW w:w="120" w:type="dxa"/>
            <w:vAlign w:val="bottom"/>
          </w:tcPr>
          <w:p>
            <w:pPr>
              <w:spacing w:after="0"/>
              <w:rPr>
                <w:sz w:val="21"/>
                <w:szCs w:val="21"/>
                <w:color w:val="auto"/>
              </w:rPr>
            </w:pPr>
          </w:p>
        </w:tc>
      </w:tr>
      <w:tr>
        <w:trPr>
          <w:trHeight w:val="244"/>
        </w:trPr>
        <w:tc>
          <w:tcPr>
            <w:tcW w:w="120" w:type="dxa"/>
            <w:vAlign w:val="bottom"/>
          </w:tcPr>
          <w:p>
            <w:pPr>
              <w:spacing w:after="0"/>
              <w:rPr>
                <w:sz w:val="21"/>
                <w:szCs w:val="21"/>
                <w:color w:val="auto"/>
              </w:rPr>
            </w:pPr>
          </w:p>
        </w:tc>
        <w:tc>
          <w:tcPr>
            <w:tcW w:w="6700" w:type="dxa"/>
            <w:vAlign w:val="bottom"/>
            <w:gridSpan w:val="2"/>
            <w:shd w:val="clear" w:color="auto" w:fill="E6E6E6"/>
          </w:tcPr>
          <w:p>
            <w:pPr>
              <w:spacing w:after="0" w:line="244" w:lineRule="exact"/>
              <w:rPr>
                <w:sz w:val="20"/>
                <w:szCs w:val="20"/>
                <w:color w:val="auto"/>
              </w:rPr>
            </w:pPr>
            <w:r>
              <w:rPr>
                <w:rFonts w:ascii="Times New Roman" w:cs="Times New Roman" w:eastAsia="Times New Roman" w:hAnsi="Times New Roman"/>
                <w:sz w:val="18"/>
                <w:szCs w:val="18"/>
                <w:color w:val="auto"/>
              </w:rPr>
              <w:t>Syndicated credit facility dated September 11, 2024</w:t>
            </w:r>
            <w:r>
              <w:rPr>
                <w:rFonts w:ascii="Times New Roman" w:cs="Times New Roman" w:eastAsia="Times New Roman" w:hAnsi="Times New Roman"/>
                <w:sz w:val="24"/>
                <w:szCs w:val="24"/>
                <w:color w:val="auto"/>
                <w:vertAlign w:val="superscript"/>
              </w:rPr>
              <w:t>3</w:t>
            </w:r>
          </w:p>
        </w:tc>
        <w:tc>
          <w:tcPr>
            <w:tcW w:w="540" w:type="dxa"/>
            <w:vAlign w:val="bottom"/>
            <w:shd w:val="clear" w:color="auto" w:fill="E6E6E6"/>
          </w:tcPr>
          <w:p>
            <w:pPr>
              <w:spacing w:after="0"/>
              <w:rPr>
                <w:sz w:val="21"/>
                <w:szCs w:val="21"/>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147,979</w:t>
            </w:r>
          </w:p>
        </w:tc>
        <w:tc>
          <w:tcPr>
            <w:tcW w:w="320" w:type="dxa"/>
            <w:vAlign w:val="bottom"/>
            <w:shd w:val="clear" w:color="auto" w:fill="E6E6E6"/>
          </w:tcPr>
          <w:p>
            <w:pPr>
              <w:spacing w:after="0"/>
              <w:rPr>
                <w:sz w:val="21"/>
                <w:szCs w:val="21"/>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r>
      <w:tr>
        <w:trPr>
          <w:trHeight w:val="221"/>
        </w:trPr>
        <w:tc>
          <w:tcPr>
            <w:tcW w:w="120" w:type="dxa"/>
            <w:vAlign w:val="bottom"/>
          </w:tcPr>
          <w:p>
            <w:pPr>
              <w:spacing w:after="0"/>
              <w:rPr>
                <w:sz w:val="19"/>
                <w:szCs w:val="19"/>
                <w:color w:val="auto"/>
              </w:rPr>
            </w:pPr>
          </w:p>
        </w:tc>
        <w:tc>
          <w:tcPr>
            <w:tcW w:w="6700" w:type="dxa"/>
            <w:vAlign w:val="bottom"/>
            <w:tcBorders>
              <w:bottom w:val="single" w:sz="8" w:color="E6E6E6"/>
            </w:tcBorders>
            <w:gridSpan w:val="2"/>
          </w:tcPr>
          <w:p>
            <w:pPr>
              <w:spacing w:after="0" w:line="221" w:lineRule="exact"/>
              <w:rPr>
                <w:sz w:val="20"/>
                <w:szCs w:val="20"/>
                <w:color w:val="auto"/>
              </w:rPr>
            </w:pPr>
            <w:r>
              <w:rPr>
                <w:rFonts w:ascii="Times New Roman" w:cs="Times New Roman" w:eastAsia="Times New Roman" w:hAnsi="Times New Roman"/>
                <w:sz w:val="18"/>
                <w:szCs w:val="18"/>
                <w:color w:val="auto"/>
              </w:rPr>
              <w:t>Mortgage notes</w:t>
            </w:r>
            <w:r>
              <w:rPr>
                <w:rFonts w:ascii="Times New Roman" w:cs="Times New Roman" w:eastAsia="Times New Roman" w:hAnsi="Times New Roman"/>
                <w:sz w:val="24"/>
                <w:szCs w:val="24"/>
                <w:color w:val="auto"/>
                <w:vertAlign w:val="superscript"/>
              </w:rPr>
              <w:t>4</w:t>
            </w:r>
          </w:p>
        </w:tc>
        <w:tc>
          <w:tcPr>
            <w:tcW w:w="540" w:type="dxa"/>
            <w:vAlign w:val="bottom"/>
            <w:tcBorders>
              <w:bottom w:val="single" w:sz="8" w:color="E6E6E6"/>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106,979</w:t>
            </w:r>
          </w:p>
        </w:tc>
        <w:tc>
          <w:tcPr>
            <w:tcW w:w="320" w:type="dxa"/>
            <w:vAlign w:val="bottom"/>
            <w:tcBorders>
              <w:bottom w:val="single" w:sz="8" w:color="E6E6E6"/>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120" w:type="dxa"/>
            <w:vAlign w:val="bottom"/>
          </w:tcPr>
          <w:p>
            <w:pPr>
              <w:spacing w:after="0"/>
              <w:rPr>
                <w:sz w:val="19"/>
                <w:szCs w:val="19"/>
                <w:color w:val="auto"/>
              </w:rPr>
            </w:pPr>
          </w:p>
        </w:tc>
      </w:tr>
      <w:tr>
        <w:trPr>
          <w:trHeight w:val="211"/>
        </w:trPr>
        <w:tc>
          <w:tcPr>
            <w:tcW w:w="120" w:type="dxa"/>
            <w:vAlign w:val="bottom"/>
          </w:tcPr>
          <w:p>
            <w:pPr>
              <w:spacing w:after="0"/>
              <w:rPr>
                <w:sz w:val="18"/>
                <w:szCs w:val="18"/>
                <w:color w:val="auto"/>
              </w:rPr>
            </w:pPr>
          </w:p>
        </w:tc>
        <w:tc>
          <w:tcPr>
            <w:tcW w:w="67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Total notes payable</w:t>
            </w:r>
          </w:p>
        </w:tc>
        <w:tc>
          <w:tcPr>
            <w:tcW w:w="54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254,958</w:t>
            </w:r>
          </w:p>
        </w:tc>
        <w:tc>
          <w:tcPr>
            <w:tcW w:w="320" w:type="dxa"/>
            <w:vAlign w:val="bottom"/>
            <w:shd w:val="clear" w:color="auto" w:fill="E6E6E6"/>
          </w:tcPr>
          <w:p>
            <w:pPr>
              <w:spacing w:after="0"/>
              <w:rPr>
                <w:sz w:val="18"/>
                <w:szCs w:val="18"/>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308,523</w:t>
            </w:r>
          </w:p>
        </w:tc>
        <w:tc>
          <w:tcPr>
            <w:tcW w:w="120" w:type="dxa"/>
            <w:vAlign w:val="bottom"/>
          </w:tcPr>
          <w:p>
            <w:pPr>
              <w:spacing w:after="0"/>
              <w:rPr>
                <w:sz w:val="18"/>
                <w:szCs w:val="18"/>
                <w:color w:val="auto"/>
              </w:rPr>
            </w:pPr>
          </w:p>
        </w:tc>
      </w:tr>
      <w:tr>
        <w:trPr>
          <w:trHeight w:val="221"/>
        </w:trPr>
        <w:tc>
          <w:tcPr>
            <w:tcW w:w="120" w:type="dxa"/>
            <w:vAlign w:val="bottom"/>
          </w:tcPr>
          <w:p>
            <w:pPr>
              <w:spacing w:after="0"/>
              <w:rPr>
                <w:sz w:val="19"/>
                <w:szCs w:val="19"/>
                <w:color w:val="auto"/>
              </w:rPr>
            </w:pPr>
          </w:p>
        </w:tc>
        <w:tc>
          <w:tcPr>
            <w:tcW w:w="6700" w:type="dxa"/>
            <w:vAlign w:val="bottom"/>
            <w:tcBorders>
              <w:bottom w:val="single" w:sz="8" w:color="E6E6E6"/>
            </w:tcBorders>
            <w:gridSpan w:val="2"/>
          </w:tcPr>
          <w:p>
            <w:pPr>
              <w:spacing w:after="0"/>
              <w:rPr>
                <w:sz w:val="20"/>
                <w:szCs w:val="20"/>
                <w:color w:val="auto"/>
              </w:rPr>
            </w:pPr>
            <w:r>
              <w:rPr>
                <w:rFonts w:ascii="Times New Roman" w:cs="Times New Roman" w:eastAsia="Times New Roman" w:hAnsi="Times New Roman"/>
                <w:sz w:val="18"/>
                <w:szCs w:val="18"/>
                <w:color w:val="auto"/>
              </w:rPr>
              <w:t>Less: current portion of notes payable</w:t>
            </w:r>
          </w:p>
        </w:tc>
        <w:tc>
          <w:tcPr>
            <w:tcW w:w="540" w:type="dxa"/>
            <w:vAlign w:val="bottom"/>
            <w:tcBorders>
              <w:bottom w:val="single" w:sz="8" w:color="E6E6E6"/>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320" w:type="dxa"/>
            <w:vAlign w:val="bottom"/>
            <w:tcBorders>
              <w:bottom w:val="single" w:sz="8" w:color="E6E6E6"/>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Pr>
          <w:p>
            <w:pPr>
              <w:spacing w:after="0"/>
              <w:rPr>
                <w:sz w:val="19"/>
                <w:szCs w:val="19"/>
                <w:color w:val="auto"/>
              </w:rPr>
            </w:pPr>
          </w:p>
        </w:tc>
      </w:tr>
      <w:tr>
        <w:trPr>
          <w:trHeight w:val="211"/>
        </w:trPr>
        <w:tc>
          <w:tcPr>
            <w:tcW w:w="120" w:type="dxa"/>
            <w:vAlign w:val="bottom"/>
          </w:tcPr>
          <w:p>
            <w:pPr>
              <w:spacing w:after="0"/>
              <w:rPr>
                <w:sz w:val="18"/>
                <w:szCs w:val="18"/>
                <w:color w:val="auto"/>
              </w:rPr>
            </w:pPr>
          </w:p>
        </w:tc>
        <w:tc>
          <w:tcPr>
            <w:tcW w:w="670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Notes payable, net of current portion</w:t>
            </w:r>
          </w:p>
        </w:tc>
        <w:tc>
          <w:tcPr>
            <w:tcW w:w="54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242,896</w:t>
            </w:r>
          </w:p>
        </w:tc>
        <w:tc>
          <w:tcPr>
            <w:tcW w:w="320" w:type="dxa"/>
            <w:vAlign w:val="bottom"/>
            <w:shd w:val="clear" w:color="auto" w:fill="E6E6E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305,527</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100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51" w:lineRule="exact"/>
        <w:rPr>
          <w:sz w:val="20"/>
          <w:szCs w:val="20"/>
          <w:color w:val="auto"/>
        </w:rPr>
      </w:pPr>
    </w:p>
    <w:p>
      <w:pPr>
        <w:ind w:left="1000" w:right="100" w:hanging="1"/>
        <w:spacing w:after="0" w:line="230" w:lineRule="auto"/>
        <w:tabs>
          <w:tab w:leader="none" w:pos="1105" w:val="left"/>
        </w:tabs>
        <w:numPr>
          <w:ilvl w:val="0"/>
          <w:numId w:val="84"/>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color w:val="auto"/>
        </w:rPr>
        <w:t>In connection with acquisitions completed in 2017 and 2019, the Company committed to provide quarterly charitable contributions of $50 thousand through October 2024 and $250 thousand per year through May 2024, respectively. As of December 31, 2023, the net present value of these payments was recorded as a liability with interest rates ranging between 2.17% - 7.00%. As of December 31, 2024, the Company fully satisfied these commitments.</w:t>
      </w:r>
    </w:p>
    <w:p>
      <w:pPr>
        <w:spacing w:after="0" w:line="175" w:lineRule="exact"/>
        <w:rPr>
          <w:rFonts w:ascii="Times New Roman" w:cs="Times New Roman" w:eastAsia="Times New Roman" w:hAnsi="Times New Roman"/>
          <w:sz w:val="24"/>
          <w:szCs w:val="24"/>
          <w:b w:val="1"/>
          <w:bCs w:val="1"/>
          <w:color w:val="auto"/>
          <w:vertAlign w:val="superscript"/>
        </w:rPr>
      </w:pPr>
    </w:p>
    <w:p>
      <w:pPr>
        <w:ind w:left="1000" w:right="220" w:hanging="1"/>
        <w:spacing w:after="0" w:line="227" w:lineRule="auto"/>
        <w:tabs>
          <w:tab w:leader="none" w:pos="1105" w:val="left"/>
        </w:tabs>
        <w:numPr>
          <w:ilvl w:val="0"/>
          <w:numId w:val="84"/>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color w:val="auto"/>
        </w:rPr>
        <w:t>The April 30, 2021 private placement debt, as amended on October 21, 2021, (the “April 30, 2021 Notes”), was retired as of September 11, 2024. As of December 31, 2023, the outstanding principal balance of the April 30, 2021 Notes was $224,435 thousand and was recorded net of debt discount, the carrying value of which was $2,755 thousand.</w:t>
      </w:r>
    </w:p>
    <w:p>
      <w:pPr>
        <w:spacing w:after="0" w:line="175" w:lineRule="exact"/>
        <w:rPr>
          <w:rFonts w:ascii="Times New Roman" w:cs="Times New Roman" w:eastAsia="Times New Roman" w:hAnsi="Times New Roman"/>
          <w:sz w:val="24"/>
          <w:szCs w:val="24"/>
          <w:b w:val="1"/>
          <w:bCs w:val="1"/>
          <w:color w:val="auto"/>
          <w:vertAlign w:val="superscript"/>
        </w:rPr>
      </w:pPr>
    </w:p>
    <w:p>
      <w:pPr>
        <w:ind w:left="1000" w:right="100" w:hanging="1"/>
        <w:spacing w:after="0" w:line="230" w:lineRule="auto"/>
        <w:tabs>
          <w:tab w:leader="none" w:pos="1090" w:val="left"/>
        </w:tabs>
        <w:numPr>
          <w:ilvl w:val="0"/>
          <w:numId w:val="84"/>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color w:val="auto"/>
        </w:rPr>
        <w:t>The Credit Facility (as defined below in Section (b) of this Note 8) was issued in an aggregate amount of $150,000 thousand, and will bears interest at the Secured Overnight Financing Rate (“SOFR”) plus 500 basis points, payable quarterly. As of December 31, 2024, the Credit Facility’s outstanding principal balance was $150,000 thousand, which is recorded net of debt discount of $2,021 thousand. The Credit Facility matures on September 11, 2029.</w:t>
      </w:r>
    </w:p>
    <w:p>
      <w:pPr>
        <w:spacing w:after="0" w:line="175" w:lineRule="exact"/>
        <w:rPr>
          <w:rFonts w:ascii="Times New Roman" w:cs="Times New Roman" w:eastAsia="Times New Roman" w:hAnsi="Times New Roman"/>
          <w:sz w:val="24"/>
          <w:szCs w:val="24"/>
          <w:b w:val="1"/>
          <w:bCs w:val="1"/>
          <w:color w:val="auto"/>
          <w:vertAlign w:val="superscript"/>
        </w:rPr>
      </w:pPr>
    </w:p>
    <w:p>
      <w:pPr>
        <w:ind w:left="1000" w:right="160" w:hanging="1"/>
        <w:spacing w:after="0" w:line="232" w:lineRule="auto"/>
        <w:tabs>
          <w:tab w:leader="none" w:pos="1105"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Company has issued mortgage notes in connection with various operating properties at an aggregate value of $112,285 thousand and $88,785 thousand as of December 31, 2024 and 2023, respectively. The mortgage notes were issued at a discount, the aggregate carrying value of which was $1,007 thousand and $725 thousand, and are presented net of principal payments of $4,299 thousand and $1,568 thousand as of December 31, 2024 and 2023, respectively. These mortgage notes mature between August 20, 2025 and June 5, 2035 with interest rates ranging between 5.00% and 7.77%.</w:t>
      </w:r>
    </w:p>
    <w:p>
      <w:pPr>
        <w:spacing w:after="0" w:line="3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Maturities of notes payable as of December 31, 2024 were as follows: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Maturities of Notes Payable</w:t>
            </w: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92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ind w:right="130"/>
              <w:spacing w:after="0" w:line="192" w:lineRule="exact"/>
              <w:rPr>
                <w:sz w:val="20"/>
                <w:szCs w:val="20"/>
                <w:color w:val="auto"/>
              </w:rPr>
            </w:pPr>
            <w:r>
              <w:rPr>
                <w:rFonts w:ascii="Times New Roman" w:cs="Times New Roman" w:eastAsia="Times New Roman" w:hAnsi="Times New Roman"/>
                <w:sz w:val="18"/>
                <w:szCs w:val="18"/>
                <w:b w:val="1"/>
                <w:bCs w:val="1"/>
                <w:color w:val="auto"/>
              </w:rPr>
              <w:t>Credit Facility</w:t>
            </w:r>
          </w:p>
        </w:tc>
        <w:tc>
          <w:tcPr>
            <w:tcW w:w="220" w:type="dxa"/>
            <w:vAlign w:val="bottom"/>
          </w:tcPr>
          <w:p>
            <w:pPr>
              <w:spacing w:after="0"/>
              <w:rPr>
                <w:sz w:val="17"/>
                <w:szCs w:val="17"/>
                <w:color w:val="auto"/>
              </w:rPr>
            </w:pPr>
          </w:p>
        </w:tc>
        <w:tc>
          <w:tcPr>
            <w:tcW w:w="1580" w:type="dxa"/>
            <w:vAlign w:val="bottom"/>
          </w:tcPr>
          <w:p>
            <w:pPr>
              <w:jc w:val="right"/>
              <w:ind w:right="90"/>
              <w:spacing w:after="0" w:line="192" w:lineRule="exact"/>
              <w:rPr>
                <w:sz w:val="20"/>
                <w:szCs w:val="20"/>
                <w:color w:val="auto"/>
              </w:rPr>
            </w:pPr>
            <w:r>
              <w:rPr>
                <w:rFonts w:ascii="Times New Roman" w:cs="Times New Roman" w:eastAsia="Times New Roman" w:hAnsi="Times New Roman"/>
                <w:sz w:val="18"/>
                <w:szCs w:val="18"/>
                <w:b w:val="1"/>
                <w:bCs w:val="1"/>
                <w:color w:val="auto"/>
              </w:rPr>
              <w:t>Mortgage Notes</w:t>
            </w:r>
          </w:p>
        </w:tc>
        <w:tc>
          <w:tcPr>
            <w:tcW w:w="340" w:type="dxa"/>
            <w:vAlign w:val="bottom"/>
          </w:tcPr>
          <w:p>
            <w:pPr>
              <w:spacing w:after="0"/>
              <w:rPr>
                <w:sz w:val="17"/>
                <w:szCs w:val="17"/>
                <w:color w:val="auto"/>
              </w:rPr>
            </w:pPr>
          </w:p>
        </w:tc>
        <w:tc>
          <w:tcPr>
            <w:tcW w:w="1580" w:type="dxa"/>
            <w:vAlign w:val="bottom"/>
          </w:tcPr>
          <w:p>
            <w:pPr>
              <w:jc w:val="right"/>
              <w:ind w:right="510"/>
              <w:spacing w:after="0" w:line="192"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1"/>
        </w:trPr>
        <w:tc>
          <w:tcPr>
            <w:tcW w:w="2080" w:type="dxa"/>
            <w:vAlign w:val="bottom"/>
            <w:tcBorders>
              <w:top w:val="single" w:sz="8" w:color="auto"/>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40" w:type="dxa"/>
            <w:vAlign w:val="bottom"/>
          </w:tcPr>
          <w:p>
            <w:pPr>
              <w:spacing w:after="0"/>
              <w:rPr>
                <w:sz w:val="18"/>
                <w:szCs w:val="18"/>
                <w:color w:val="auto"/>
              </w:rPr>
            </w:pP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0" w:type="dxa"/>
            <w:vAlign w:val="bottom"/>
          </w:tcPr>
          <w:p>
            <w:pPr>
              <w:spacing w:after="0"/>
              <w:rPr>
                <w:sz w:val="1"/>
                <w:szCs w:val="1"/>
                <w:color w:val="auto"/>
              </w:rPr>
            </w:pPr>
          </w:p>
        </w:tc>
      </w:tr>
      <w:tr>
        <w:trPr>
          <w:trHeight w:val="221"/>
        </w:trPr>
        <w:tc>
          <w:tcPr>
            <w:tcW w:w="20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2026</w:t>
            </w:r>
          </w:p>
        </w:tc>
        <w:tc>
          <w:tcPr>
            <w:tcW w:w="284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34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18,582</w:t>
            </w:r>
          </w:p>
        </w:tc>
        <w:tc>
          <w:tcPr>
            <w:tcW w:w="0" w:type="dxa"/>
            <w:vAlign w:val="bottom"/>
          </w:tcPr>
          <w:p>
            <w:pPr>
              <w:spacing w:after="0"/>
              <w:rPr>
                <w:sz w:val="1"/>
                <w:szCs w:val="1"/>
                <w:color w:val="auto"/>
              </w:rPr>
            </w:pPr>
          </w:p>
        </w:tc>
      </w:tr>
      <w:tr>
        <w:trPr>
          <w:trHeight w:val="221"/>
        </w:trPr>
        <w:tc>
          <w:tcPr>
            <w:tcW w:w="20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2028</w:t>
            </w:r>
          </w:p>
        </w:tc>
        <w:tc>
          <w:tcPr>
            <w:tcW w:w="2840" w:type="dxa"/>
            <w:vAlign w:val="bottom"/>
            <w:shd w:val="clear" w:color="auto" w:fill="E6E6E6"/>
          </w:tcPr>
          <w:p>
            <w:pPr>
              <w:spacing w:after="0"/>
              <w:rPr>
                <w:sz w:val="19"/>
                <w:szCs w:val="19"/>
                <w:color w:val="auto"/>
              </w:rPr>
            </w:pPr>
          </w:p>
        </w:tc>
        <w:tc>
          <w:tcPr>
            <w:tcW w:w="400" w:type="dxa"/>
            <w:vAlign w:val="bottom"/>
            <w:shd w:val="clear" w:color="auto" w:fill="E6E6E6"/>
          </w:tcPr>
          <w:p>
            <w:pPr>
              <w:spacing w:after="0"/>
              <w:rPr>
                <w:sz w:val="19"/>
                <w:szCs w:val="19"/>
                <w:color w:val="auto"/>
              </w:rPr>
            </w:pPr>
          </w:p>
        </w:tc>
        <w:tc>
          <w:tcPr>
            <w:tcW w:w="15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15,562</w:t>
            </w:r>
          </w:p>
        </w:tc>
        <w:tc>
          <w:tcPr>
            <w:tcW w:w="340" w:type="dxa"/>
            <w:vAlign w:val="bottom"/>
            <w:shd w:val="clear" w:color="auto" w:fill="E6E6E6"/>
          </w:tcPr>
          <w:p>
            <w:pPr>
              <w:spacing w:after="0"/>
              <w:rPr>
                <w:sz w:val="19"/>
                <w:szCs w:val="19"/>
                <w:color w:val="auto"/>
              </w:rPr>
            </w:pPr>
          </w:p>
        </w:tc>
        <w:tc>
          <w:tcPr>
            <w:tcW w:w="15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39,383</w:t>
            </w:r>
          </w:p>
        </w:tc>
        <w:tc>
          <w:tcPr>
            <w:tcW w:w="3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136,883</w:t>
            </w:r>
          </w:p>
        </w:tc>
        <w:tc>
          <w:tcPr>
            <w:tcW w:w="0" w:type="dxa"/>
            <w:vAlign w:val="bottom"/>
          </w:tcPr>
          <w:p>
            <w:pPr>
              <w:spacing w:after="0"/>
              <w:rPr>
                <w:sz w:val="1"/>
                <w:szCs w:val="1"/>
                <w:color w:val="auto"/>
              </w:rPr>
            </w:pPr>
          </w:p>
        </w:tc>
      </w:tr>
      <w:tr>
        <w:trPr>
          <w:trHeight w:val="221"/>
        </w:trPr>
        <w:tc>
          <w:tcPr>
            <w:tcW w:w="4920" w:type="dxa"/>
            <w:vAlign w:val="bottom"/>
            <w:gridSpan w:val="2"/>
            <w:shd w:val="clear" w:color="auto" w:fill="E6E6E6"/>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400" w:type="dxa"/>
            <w:vAlign w:val="bottom"/>
            <w:shd w:val="clear" w:color="auto" w:fill="E6E6E6"/>
          </w:tcPr>
          <w:p>
            <w:pPr>
              <w:spacing w:after="0"/>
              <w:rPr>
                <w:sz w:val="19"/>
                <w:szCs w:val="19"/>
                <w:color w:val="auto"/>
              </w:rPr>
            </w:pPr>
          </w:p>
        </w:tc>
        <w:tc>
          <w:tcPr>
            <w:tcW w:w="15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6E6E6"/>
          </w:tcPr>
          <w:p>
            <w:pPr>
              <w:spacing w:after="0"/>
              <w:rPr>
                <w:sz w:val="19"/>
                <w:szCs w:val="19"/>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340" w:type="dxa"/>
            <w:vAlign w:val="bottom"/>
            <w:shd w:val="clear" w:color="auto" w:fill="E6E6E6"/>
          </w:tcPr>
          <w:p>
            <w:pPr>
              <w:spacing w:after="0"/>
              <w:rPr>
                <w:sz w:val="19"/>
                <w:szCs w:val="19"/>
                <w:color w:val="auto"/>
              </w:rPr>
            </w:pPr>
          </w:p>
        </w:tc>
        <w:tc>
          <w:tcPr>
            <w:tcW w:w="15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0" w:type="dxa"/>
            <w:vAlign w:val="bottom"/>
          </w:tcPr>
          <w:p>
            <w:pPr>
              <w:spacing w:after="0"/>
              <w:rPr>
                <w:sz w:val="1"/>
                <w:szCs w:val="1"/>
                <w:color w:val="auto"/>
              </w:rPr>
            </w:pPr>
          </w:p>
        </w:tc>
      </w:tr>
      <w:tr>
        <w:trPr>
          <w:trHeight w:val="211"/>
        </w:trPr>
        <w:tc>
          <w:tcPr>
            <w:tcW w:w="4920" w:type="dxa"/>
            <w:vAlign w:val="bottom"/>
            <w:gridSpan w:val="2"/>
          </w:tcPr>
          <w:p>
            <w:pPr>
              <w:spacing w:after="0" w:line="211" w:lineRule="exact"/>
              <w:rPr>
                <w:sz w:val="20"/>
                <w:szCs w:val="20"/>
                <w:color w:val="auto"/>
              </w:rPr>
            </w:pPr>
            <w:r>
              <w:rPr>
                <w:rFonts w:ascii="Times New Roman" w:cs="Times New Roman" w:eastAsia="Times New Roman" w:hAnsi="Times New Roman"/>
                <w:sz w:val="18"/>
                <w:szCs w:val="18"/>
                <w:b w:val="1"/>
                <w:bCs w:val="1"/>
                <w:color w:val="auto"/>
              </w:rPr>
              <w:t xml:space="preserve">Total maturities of notes payable </w:t>
            </w:r>
            <w:r>
              <w:rPr>
                <w:rFonts w:ascii="Times New Roman" w:cs="Times New Roman" w:eastAsia="Times New Roman" w:hAnsi="Times New Roman"/>
                <w:sz w:val="24"/>
                <w:szCs w:val="24"/>
                <w:b w:val="1"/>
                <w:bCs w:val="1"/>
                <w:color w:val="auto"/>
                <w:vertAlign w:val="superscript"/>
              </w:rPr>
              <w:t>1</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257,986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0"/>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09" w:lineRule="exact"/>
        <w:rPr>
          <w:sz w:val="20"/>
          <w:szCs w:val="20"/>
          <w:color w:val="auto"/>
        </w:rPr>
      </w:pPr>
    </w:p>
    <w:p>
      <w:pPr>
        <w:ind w:left="1000" w:right="500" w:hanging="1"/>
        <w:spacing w:after="0" w:line="214" w:lineRule="auto"/>
        <w:tabs>
          <w:tab w:leader="none" w:pos="1098" w:val="left"/>
        </w:tabs>
        <w:numPr>
          <w:ilvl w:val="0"/>
          <w:numId w:val="8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Total maturities of notes payable excludes unamortized debt discount of $2,021 thousand associated with the Credit Facility and $1,007 thousand associated with the mortgage notes.</w:t>
      </w:r>
    </w:p>
    <w:p>
      <w:pPr>
        <w:sectPr>
          <w:pgSz w:w="12240" w:h="15840" w:orient="portrait"/>
          <w:cols w:equalWidth="0" w:num="1">
            <w:col w:w="10840"/>
          </w:cols>
          <w:pgMar w:left="700" w:top="696" w:right="7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840"/>
          </w:cols>
          <w:pgMar w:left="700" w:top="696" w:right="700" w:bottom="186"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NOTES PAYABLE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500" w:hanging="500"/>
        <w:spacing w:after="0"/>
        <w:tabs>
          <w:tab w:leader="none" w:pos="5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April 30, 2021 Private Placement Financing</w:t>
      </w:r>
    </w:p>
    <w:p>
      <w:pPr>
        <w:spacing w:after="0" w:line="233" w:lineRule="exact"/>
        <w:rPr>
          <w:rFonts w:ascii="Times New Roman" w:cs="Times New Roman" w:eastAsia="Times New Roman" w:hAnsi="Times New Roman"/>
          <w:sz w:val="20"/>
          <w:szCs w:val="20"/>
          <w:b w:val="1"/>
          <w:bCs w:val="1"/>
          <w:color w:val="auto"/>
        </w:rPr>
      </w:pPr>
    </w:p>
    <w:p>
      <w:pPr>
        <w:ind w:left="500" w:right="12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April 30, 2021, the Company closed on $249,934 thousand private placement debt, as amended on October 21, 2021, (the “April 30, 2021 Notes”), bearing an interest rate of 7.00% per annum. As part of the transaction, the purchasers of the April 30, 2021 Notes received warrants, which are classified as equity. See Note 9—Warrants for additional details.</w:t>
      </w:r>
    </w:p>
    <w:p>
      <w:pPr>
        <w:spacing w:after="0" w:line="178" w:lineRule="exact"/>
        <w:rPr>
          <w:rFonts w:ascii="Times New Roman" w:cs="Times New Roman" w:eastAsia="Times New Roman" w:hAnsi="Times New Roman"/>
          <w:sz w:val="20"/>
          <w:szCs w:val="20"/>
          <w:b w:val="1"/>
          <w:bCs w:val="1"/>
          <w:color w:val="auto"/>
        </w:rPr>
      </w:pPr>
    </w:p>
    <w:p>
      <w:pPr>
        <w:ind w:left="500" w:right="60"/>
        <w:spacing w:after="0" w:line="258"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From October 19, 2023 through November 30, 2023, the Company repurchased $25,500 thousand of the April 30, 2021 Notes held by unrelated third-party lenders at 95% of their original value. In connection with the repurchase, the Company also wrote-off $350 thousand of the associated unamortized debt discount.</w:t>
      </w:r>
    </w:p>
    <w:p>
      <w:pPr>
        <w:spacing w:after="0" w:line="178" w:lineRule="exact"/>
        <w:rPr>
          <w:rFonts w:ascii="Times New Roman" w:cs="Times New Roman" w:eastAsia="Times New Roman" w:hAnsi="Times New Roman"/>
          <w:sz w:val="20"/>
          <w:szCs w:val="20"/>
          <w:b w:val="1"/>
          <w:bCs w:val="1"/>
          <w:color w:val="auto"/>
        </w:rPr>
      </w:pPr>
    </w:p>
    <w:p>
      <w:pPr>
        <w:ind w:left="500" w:right="200"/>
        <w:spacing w:after="0" w:line="27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remaining balance of the April 30, 2021 Notes was retired on September 11, 2024, in part by use of the proceeds from the Syndicated Credit Facility.</w:t>
      </w:r>
    </w:p>
    <w:p>
      <w:pPr>
        <w:spacing w:after="0" w:line="159" w:lineRule="exact"/>
        <w:rPr>
          <w:rFonts w:ascii="Times New Roman" w:cs="Times New Roman" w:eastAsia="Times New Roman" w:hAnsi="Times New Roman"/>
          <w:sz w:val="20"/>
          <w:szCs w:val="20"/>
          <w:b w:val="1"/>
          <w:bCs w:val="1"/>
          <w:color w:val="auto"/>
        </w:rPr>
      </w:pPr>
    </w:p>
    <w:p>
      <w:pPr>
        <w:ind w:left="500" w:right="26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As of December 31, 2023, a portion of the April 30, 2021 Notes were held by related parties as well as unrelated third-party lenders at a percentage of approximately 1% and 99%, respectively. The related parties consist of Benjamin Kovler, the Chairman and Chief Executive Officer of the Company (held through KP Capital, LLC and Outsiders Capital, LLC); Andrew Grossman, the Executive Vice President of Capital Markets of the Company (held through AG Funding Group, LLC); and Anthony Georgiadis, the President and a Director of the Company (held through Three One Four Holdings, LLC and ABG, LLC).</w:t>
      </w:r>
    </w:p>
    <w:p>
      <w:pPr>
        <w:spacing w:after="0" w:line="305" w:lineRule="exact"/>
        <w:rPr>
          <w:rFonts w:ascii="Times New Roman" w:cs="Times New Roman" w:eastAsia="Times New Roman" w:hAnsi="Times New Roman"/>
          <w:sz w:val="20"/>
          <w:szCs w:val="20"/>
          <w:b w:val="1"/>
          <w:bCs w:val="1"/>
          <w:color w:val="auto"/>
        </w:rPr>
      </w:pPr>
    </w:p>
    <w:p>
      <w:pPr>
        <w:ind w:left="500" w:hanging="500"/>
        <w:spacing w:after="0"/>
        <w:tabs>
          <w:tab w:leader="none" w:pos="5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Syndicated Credit Facility</w:t>
      </w:r>
    </w:p>
    <w:p>
      <w:pPr>
        <w:spacing w:after="0" w:line="229" w:lineRule="exact"/>
        <w:rPr>
          <w:rFonts w:ascii="Times New Roman" w:cs="Times New Roman" w:eastAsia="Times New Roman" w:hAnsi="Times New Roman"/>
          <w:sz w:val="20"/>
          <w:szCs w:val="20"/>
          <w:b w:val="1"/>
          <w:bCs w:val="1"/>
          <w:color w:val="auto"/>
        </w:rPr>
      </w:pPr>
    </w:p>
    <w:p>
      <w:pPr>
        <w:ind w:left="500" w:right="100"/>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On September 11, 2024, the Company entered into a $150,000 thousand syndicated credit facility (the </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Credit Facility</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led by Valley National Bank. The Credit Facility has a maturity date of September 11, 2029 and bears interest from the date of issuance at the SOFR plus 500 basis points, payable monthly. The interest rate on the closing date was 10.10% per annum. The floating interest rate as of December 31, 2024 was 9.45% per annum. The April 30, 2021 Notes were retired on September 11, 2024, with the proceeds from the Credit Facility and cash generated from operations.</w:t>
      </w:r>
    </w:p>
    <w:p>
      <w:pPr>
        <w:spacing w:after="0" w:line="184" w:lineRule="exact"/>
        <w:rPr>
          <w:rFonts w:ascii="Times New Roman" w:cs="Times New Roman" w:eastAsia="Times New Roman" w:hAnsi="Times New Roman"/>
          <w:sz w:val="20"/>
          <w:szCs w:val="20"/>
          <w:b w:val="1"/>
          <w:bCs w:val="1"/>
          <w:color w:val="auto"/>
        </w:rPr>
      </w:pPr>
    </w:p>
    <w:p>
      <w:pPr>
        <w:ind w:left="500" w:right="14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Credit Facility includes certain covenants which require the Company to maintain (on the last day of each test period) a debt service coverage ratio of 1.5 to 1.0, a funded debt to Adjusted EBITDA ratio no greater than 3.5 to 1.0 and a tangible net worth of at least $500 thousand. As of December 31, 2024, the Company was in compliance with all covenants associated with the Credit Facility.</w:t>
      </w:r>
    </w:p>
    <w:p>
      <w:pPr>
        <w:spacing w:after="0" w:line="299" w:lineRule="exact"/>
        <w:rPr>
          <w:rFonts w:ascii="Times New Roman" w:cs="Times New Roman" w:eastAsia="Times New Roman" w:hAnsi="Times New Roman"/>
          <w:sz w:val="20"/>
          <w:szCs w:val="20"/>
          <w:b w:val="1"/>
          <w:bCs w:val="1"/>
          <w:color w:val="auto"/>
        </w:rPr>
      </w:pPr>
    </w:p>
    <w:p>
      <w:pPr>
        <w:ind w:left="500" w:hanging="500"/>
        <w:spacing w:after="0"/>
        <w:tabs>
          <w:tab w:leader="none" w:pos="5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Low Moor, Virginia Mortgage Note</w:t>
      </w:r>
    </w:p>
    <w:p>
      <w:pPr>
        <w:spacing w:after="0" w:line="250" w:lineRule="exact"/>
        <w:rPr>
          <w:rFonts w:ascii="Times New Roman" w:cs="Times New Roman" w:eastAsia="Times New Roman" w:hAnsi="Times New Roman"/>
          <w:sz w:val="20"/>
          <w:szCs w:val="20"/>
          <w:b w:val="1"/>
          <w:bCs w:val="1"/>
          <w:color w:val="auto"/>
        </w:rPr>
      </w:pPr>
    </w:p>
    <w:p>
      <w:pPr>
        <w:ind w:left="500" w:right="14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October 12, 2022, the Company entered into a construction-to-permanent financing arrangement (the “Construction Loan”) which provided funding for the construction of a CPG facility at Low Moor, Virginia in an amount up to $31,000 thousand. On October 23, 2023, the Construction Loan converted into a $30,998 thousand mortgage note bearing interest of 7.75% per annum, with a maturity date of October 1, 2034. The mortgage includes certain covenants requiring the Company to maintain certain financial ratios related to its ability to service the debt. As of December 31, 2024, the Company was in compliance with all covenants associated with the mortgage.</w:t>
      </w:r>
    </w:p>
    <w:p>
      <w:pPr>
        <w:spacing w:after="0" w:line="305" w:lineRule="exact"/>
        <w:rPr>
          <w:rFonts w:ascii="Times New Roman" w:cs="Times New Roman" w:eastAsia="Times New Roman" w:hAnsi="Times New Roman"/>
          <w:sz w:val="20"/>
          <w:szCs w:val="20"/>
          <w:b w:val="1"/>
          <w:bCs w:val="1"/>
          <w:color w:val="auto"/>
        </w:rPr>
      </w:pPr>
    </w:p>
    <w:p>
      <w:pPr>
        <w:ind w:left="500" w:hanging="500"/>
        <w:spacing w:after="0"/>
        <w:tabs>
          <w:tab w:leader="none" w:pos="50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Ocala, Florida Mortgage Note</w:t>
      </w:r>
    </w:p>
    <w:p>
      <w:pPr>
        <w:spacing w:after="0" w:line="233" w:lineRule="exact"/>
        <w:rPr>
          <w:rFonts w:ascii="Times New Roman" w:cs="Times New Roman" w:eastAsia="Times New Roman" w:hAnsi="Times New Roman"/>
          <w:sz w:val="20"/>
          <w:szCs w:val="20"/>
          <w:b w:val="1"/>
          <w:bCs w:val="1"/>
          <w:color w:val="auto"/>
        </w:rPr>
      </w:pPr>
    </w:p>
    <w:p>
      <w:pPr>
        <w:ind w:left="500"/>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December 7, 2023, the Company closed on a $15,000 thousand mortgage note associated with its Ocala, Florida CPG facility bearing an interest rate of 7.45% per annum, with a maturity date of December 31, 2028. The interest rate on the mortgage is subject to a compensating balance threshold, which, if the Company falls below such threshold, the lender may increase the interest rate of the mortgage to 9.45% per annum. In addition, the mortgage includes various covenants requiring the Company to maintain certain financial ratios related to its ability to service the debt. As of December 31, 2024, the Company was in compliance with all covenants associated with the mortgage.</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10800"/>
          </w:cols>
          <w:pgMar w:left="720" w:top="696" w:right="720" w:bottom="186" w:gutter="0" w:footer="0" w:header="0"/>
          <w:type w:val="continuous"/>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NOTES PAYABLE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00" w:lineRule="exact"/>
        <w:rPr>
          <w:sz w:val="20"/>
          <w:szCs w:val="20"/>
          <w:color w:val="auto"/>
        </w:rPr>
      </w:pPr>
    </w:p>
    <w:p>
      <w:pPr>
        <w:spacing w:after="0" w:line="257" w:lineRule="exact"/>
        <w:rPr>
          <w:sz w:val="20"/>
          <w:szCs w:val="20"/>
          <w:color w:val="auto"/>
        </w:rPr>
      </w:pPr>
    </w:p>
    <w:p>
      <w:pPr>
        <w:ind w:left="500" w:hanging="500"/>
        <w:spacing w:after="0"/>
        <w:tabs>
          <w:tab w:leader="none" w:pos="5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Cottage Grove, Minnesota Mortgage Note</w:t>
      </w:r>
    </w:p>
    <w:p>
      <w:pPr>
        <w:spacing w:after="0" w:line="233" w:lineRule="exact"/>
        <w:rPr>
          <w:rFonts w:ascii="Times New Roman" w:cs="Times New Roman" w:eastAsia="Times New Roman" w:hAnsi="Times New Roman"/>
          <w:sz w:val="20"/>
          <w:szCs w:val="20"/>
          <w:b w:val="1"/>
          <w:bCs w:val="1"/>
          <w:color w:val="auto"/>
        </w:rPr>
      </w:pPr>
    </w:p>
    <w:p>
      <w:pPr>
        <w:ind w:left="50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December 14, 2023, the Company closed a $17,000 thousand mortgage note associated with its Cottage Grove CPG facility bearing an interest rate of 7.75% per annum, with a maturity date of January 1, 2029. The mortgage includes a covenant requiring the Company to maintain certain financial ratios related to its ability to service the debt. As of December 31, 2024, the Company was in compliance with all covenants associated with the mortgage.</w:t>
      </w:r>
    </w:p>
    <w:p>
      <w:pPr>
        <w:spacing w:after="0" w:line="299" w:lineRule="exact"/>
        <w:rPr>
          <w:rFonts w:ascii="Times New Roman" w:cs="Times New Roman" w:eastAsia="Times New Roman" w:hAnsi="Times New Roman"/>
          <w:sz w:val="20"/>
          <w:szCs w:val="20"/>
          <w:b w:val="1"/>
          <w:bCs w:val="1"/>
          <w:color w:val="auto"/>
        </w:rPr>
      </w:pPr>
    </w:p>
    <w:p>
      <w:pPr>
        <w:ind w:left="500" w:hanging="500"/>
        <w:spacing w:after="0"/>
        <w:tabs>
          <w:tab w:leader="none" w:pos="500"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Warwick, New York Mortgage Note</w:t>
      </w:r>
    </w:p>
    <w:p>
      <w:pPr>
        <w:spacing w:after="0" w:line="233" w:lineRule="exact"/>
        <w:rPr>
          <w:rFonts w:ascii="Times New Roman" w:cs="Times New Roman" w:eastAsia="Times New Roman" w:hAnsi="Times New Roman"/>
          <w:sz w:val="20"/>
          <w:szCs w:val="20"/>
          <w:b w:val="1"/>
          <w:bCs w:val="1"/>
          <w:color w:val="auto"/>
        </w:rPr>
      </w:pPr>
    </w:p>
    <w:p>
      <w:pPr>
        <w:ind w:left="500" w:right="100"/>
        <w:spacing w:after="0" w:line="25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On September 4, 2024, the Company closed a $23,500 thousand mortgage note associated with its Warwick, New York CPG facility bearing an interest rate of 7.75% per annum, with a maturity date of September 4, 2029. The mortgage includes various covenants requiring the Company to maintain certain financial ratios related to its ability to service the debt. As of December 31, 2024, the Company was in compliance with all covenants associated with the mortgage.</w:t>
      </w:r>
    </w:p>
    <w:p>
      <w:pPr>
        <w:sectPr>
          <w:pgSz w:w="12240" w:h="15840" w:orient="portrait"/>
          <w:cols w:equalWidth="0" w:num="1">
            <w:col w:w="10760"/>
          </w:cols>
          <w:pgMar w:left="720" w:top="696" w:right="7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10760"/>
          </w:cols>
          <w:pgMar w:left="720" w:top="696" w:right="760" w:bottom="186"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235" w:lineRule="exact"/>
        <w:rPr>
          <w:sz w:val="20"/>
          <w:szCs w:val="20"/>
          <w:color w:val="auto"/>
        </w:rPr>
      </w:pPr>
    </w:p>
    <w:p>
      <w:pPr>
        <w:ind w:left="500" w:hanging="500"/>
        <w:spacing w:after="0"/>
        <w:tabs>
          <w:tab w:leader="none" w:pos="50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WARRANTS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95885</wp:posOffset>
                </wp:positionV>
                <wp:extent cx="689483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55pt" to="541.45pt,7.55pt" o:allowincell="f" strokecolor="#000000" strokeweight="0.75pt"/>
            </w:pict>
          </mc:Fallback>
        </mc:AlternateContent>
      </w:r>
    </w:p>
    <w:p>
      <w:pPr>
        <w:spacing w:after="0" w:line="240" w:lineRule="exact"/>
        <w:rPr>
          <w:sz w:val="20"/>
          <w:szCs w:val="20"/>
          <w:color w:val="auto"/>
        </w:rPr>
      </w:pPr>
    </w:p>
    <w:p>
      <w:pPr>
        <w:ind w:right="500"/>
        <w:spacing w:after="0" w:line="305" w:lineRule="auto"/>
        <w:rPr>
          <w:sz w:val="20"/>
          <w:szCs w:val="20"/>
          <w:color w:val="auto"/>
        </w:rPr>
      </w:pPr>
      <w:r>
        <w:rPr>
          <w:rFonts w:ascii="Times New Roman" w:cs="Times New Roman" w:eastAsia="Times New Roman" w:hAnsi="Times New Roman"/>
          <w:sz w:val="19"/>
          <w:szCs w:val="19"/>
          <w:color w:val="auto"/>
        </w:rPr>
        <w:t>As part of the Company’s issuance of the April 30, 2021 Notes, as well as other financing arrangements, the Company issued warrants, which allow the holders to purchase Subordinate Voting Shares at an exercise price determined at the time of issuance.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number of warrants outstanding as of December 31, 2024 and 2023: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Classified</w:t>
            </w: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Equity Classified</w:t>
            </w: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80" w:type="dxa"/>
            <w:vAlign w:val="bottom"/>
            <w:gridSpan w:val="2"/>
          </w:tcPr>
          <w:p>
            <w:pPr>
              <w:jc w:val="center"/>
              <w:ind w:left="50"/>
              <w:spacing w:after="0" w:line="19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 (USD)</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00" w:type="dxa"/>
            <w:vAlign w:val="bottom"/>
            <w:tcBorders>
              <w:top w:val="single" w:sz="8" w:color="E6E6E6"/>
            </w:tcBorders>
            <w:gridSpan w:val="3"/>
            <w:shd w:val="clear" w:color="auto" w:fill="E6E6E6"/>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2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1,997,208</w:t>
            </w:r>
          </w:p>
        </w:tc>
        <w:tc>
          <w:tcPr>
            <w:tcW w:w="60" w:type="dxa"/>
            <w:vAlign w:val="bottom"/>
            <w:tcBorders>
              <w:top w:val="single" w:sz="8" w:color="E6E6E6"/>
            </w:tcBorders>
            <w:shd w:val="clear" w:color="auto" w:fill="E6E6E6"/>
          </w:tcPr>
          <w:p>
            <w:pPr>
              <w:spacing w:after="0"/>
              <w:rPr>
                <w:sz w:val="18"/>
                <w:szCs w:val="18"/>
                <w:color w:val="auto"/>
              </w:rPr>
            </w:pPr>
          </w:p>
        </w:tc>
        <w:tc>
          <w:tcPr>
            <w:tcW w:w="300" w:type="dxa"/>
            <w:vAlign w:val="bottom"/>
            <w:tcBorders>
              <w:top w:val="single" w:sz="8" w:color="E6E6E6"/>
            </w:tcBorders>
            <w:gridSpan w:val="3"/>
            <w:shd w:val="clear" w:color="auto" w:fill="E6E6E6"/>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1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26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0" w:type="dxa"/>
            <w:vAlign w:val="bottom"/>
            <w:tcBorders>
              <w:top w:val="single" w:sz="8" w:color="auto"/>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3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1,737,347</w:t>
            </w:r>
          </w:p>
        </w:tc>
        <w:tc>
          <w:tcPr>
            <w:tcW w:w="28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tcBorders>
              <w:top w:val="single" w:sz="8" w:color="E6E6E6"/>
            </w:tcBorders>
            <w:shd w:val="clear" w:color="auto" w:fill="E6E6E6"/>
          </w:tcPr>
          <w:p>
            <w:pPr>
              <w:spacing w:after="0"/>
              <w:rPr>
                <w:sz w:val="18"/>
                <w:szCs w:val="18"/>
                <w:color w:val="auto"/>
              </w:rPr>
            </w:pPr>
          </w:p>
        </w:tc>
        <w:tc>
          <w:tcPr>
            <w:tcW w:w="20" w:type="dxa"/>
            <w:vAlign w:val="bottom"/>
            <w:tcBorders>
              <w:top w:val="single" w:sz="8" w:color="E6E6E6"/>
            </w:tcBorders>
            <w:shd w:val="clear" w:color="auto" w:fill="E6E6E6"/>
          </w:tcPr>
          <w:p>
            <w:pPr>
              <w:spacing w:after="0"/>
              <w:rPr>
                <w:sz w:val="18"/>
                <w:szCs w:val="18"/>
                <w:color w:val="auto"/>
              </w:rPr>
            </w:pPr>
          </w:p>
        </w:tc>
        <w:tc>
          <w:tcPr>
            <w:tcW w:w="10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Warrants 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(285,296)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600" w:type="dxa"/>
            <w:vAlign w:val="bottom"/>
            <w:gridSpan w:val="3"/>
            <w:shd w:val="clear" w:color="auto" w:fill="E6E6E6"/>
          </w:tcPr>
          <w:p>
            <w:pPr>
              <w:spacing w:after="0"/>
              <w:rPr>
                <w:sz w:val="20"/>
                <w:szCs w:val="20"/>
                <w:color w:val="auto"/>
              </w:rPr>
            </w:pPr>
            <w:r>
              <w:rPr>
                <w:rFonts w:ascii="Times New Roman" w:cs="Times New Roman" w:eastAsia="Times New Roman" w:hAnsi="Times New Roman"/>
                <w:sz w:val="18"/>
                <w:szCs w:val="18"/>
                <w:color w:val="auto"/>
              </w:rPr>
              <w:t>Warrants Expired</w:t>
            </w:r>
          </w:p>
        </w:tc>
        <w:tc>
          <w:tcPr>
            <w:tcW w:w="12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(1,638,184)</w:t>
            </w:r>
          </w:p>
        </w:tc>
        <w:tc>
          <w:tcPr>
            <w:tcW w:w="26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 w:type="dxa"/>
            <w:vAlign w:val="bottom"/>
            <w:shd w:val="clear" w:color="auto" w:fill="E6E6E6"/>
          </w:tcPr>
          <w:p>
            <w:pPr>
              <w:spacing w:after="0"/>
              <w:rPr>
                <w:sz w:val="20"/>
                <w:szCs w:val="20"/>
                <w:color w:val="auto"/>
              </w:rPr>
            </w:pPr>
          </w:p>
        </w:tc>
        <w:tc>
          <w:tcPr>
            <w:tcW w:w="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280" w:type="dxa"/>
            <w:vAlign w:val="bottom"/>
            <w:gridSpan w:val="2"/>
            <w:shd w:val="clear" w:color="auto" w:fill="E6E6E6"/>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3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20" w:type="dxa"/>
            <w:vAlign w:val="bottom"/>
            <w:shd w:val="clear" w:color="auto" w:fill="E6E6E6"/>
          </w:tcPr>
          <w:p>
            <w:pPr>
              <w:spacing w:after="0"/>
              <w:rPr>
                <w:sz w:val="20"/>
                <w:szCs w:val="20"/>
                <w:color w:val="auto"/>
              </w:rPr>
            </w:pPr>
          </w:p>
        </w:tc>
        <w:tc>
          <w:tcPr>
            <w:tcW w:w="1140" w:type="dxa"/>
            <w:vAlign w:val="bottom"/>
            <w:gridSpan w:val="3"/>
            <w:shd w:val="clear" w:color="auto" w:fill="E6E6E6"/>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560" w:type="dxa"/>
            <w:vAlign w:val="bottom"/>
            <w:tcBorders>
              <w:top w:val="single" w:sz="8" w:color="E6E6E6"/>
            </w:tcBorders>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 31, 2024</w:t>
            </w:r>
          </w:p>
        </w:tc>
        <w:tc>
          <w:tcPr>
            <w:tcW w:w="20" w:type="dxa"/>
            <w:vAlign w:val="bottom"/>
            <w:tcBorders>
              <w:top w:val="single" w:sz="8" w:color="E6E6E6"/>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73,728</w:t>
            </w:r>
          </w:p>
        </w:tc>
        <w:tc>
          <w:tcPr>
            <w:tcW w:w="60" w:type="dxa"/>
            <w:vAlign w:val="bottom"/>
            <w:tcBorders>
              <w:top w:val="single" w:sz="8" w:color="E6E6E6"/>
            </w:tcBorders>
          </w:tcPr>
          <w:p>
            <w:pPr>
              <w:spacing w:after="0"/>
              <w:rPr>
                <w:sz w:val="16"/>
                <w:szCs w:val="16"/>
                <w:color w:val="auto"/>
              </w:rPr>
            </w:pPr>
          </w:p>
        </w:tc>
        <w:tc>
          <w:tcPr>
            <w:tcW w:w="260" w:type="dxa"/>
            <w:vAlign w:val="bottom"/>
            <w:tcBorders>
              <w:top w:val="single" w:sz="8" w:color="E6E6E6"/>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4"/>
              </w:rPr>
              <w:t>C$</w:t>
            </w:r>
          </w:p>
        </w:tc>
        <w:tc>
          <w:tcPr>
            <w:tcW w:w="20" w:type="dxa"/>
            <w:vAlign w:val="bottom"/>
            <w:tcBorders>
              <w:top w:val="single" w:sz="8" w:color="E6E6E6"/>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14.03</w:t>
            </w:r>
          </w:p>
        </w:tc>
        <w:tc>
          <w:tcPr>
            <w:tcW w:w="20" w:type="dxa"/>
            <w:vAlign w:val="bottom"/>
            <w:tcBorders>
              <w:top w:val="single" w:sz="8" w:color="E6E6E6"/>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top w:val="single" w:sz="8" w:color="E6E6E6"/>
            </w:tcBorders>
          </w:tcPr>
          <w:p>
            <w:pPr>
              <w:spacing w:after="0"/>
              <w:rPr>
                <w:sz w:val="16"/>
                <w:szCs w:val="16"/>
                <w:color w:val="auto"/>
              </w:rPr>
            </w:pPr>
          </w:p>
        </w:tc>
        <w:tc>
          <w:tcPr>
            <w:tcW w:w="100" w:type="dxa"/>
            <w:vAlign w:val="bottom"/>
            <w:tcBorders>
              <w:top w:val="single" w:sz="8" w:color="E6E6E6"/>
            </w:tcBorders>
          </w:tcPr>
          <w:p>
            <w:pPr>
              <w:spacing w:after="0"/>
              <w:rPr>
                <w:sz w:val="16"/>
                <w:szCs w:val="16"/>
                <w:color w:val="auto"/>
              </w:rPr>
            </w:pPr>
          </w:p>
        </w:tc>
        <w:tc>
          <w:tcPr>
            <w:tcW w:w="20" w:type="dxa"/>
            <w:vAlign w:val="bottom"/>
            <w:tcBorders>
              <w:top w:val="single" w:sz="8" w:color="E6E6E6"/>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1,737,347</w:t>
            </w:r>
          </w:p>
        </w:tc>
        <w:tc>
          <w:tcPr>
            <w:tcW w:w="280" w:type="dxa"/>
            <w:vAlign w:val="bottom"/>
            <w:tcBorders>
              <w:top w:val="single" w:sz="8" w:color="E6E6E6"/>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E6E6E6"/>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31.83</w:t>
            </w:r>
          </w:p>
        </w:tc>
        <w:tc>
          <w:tcPr>
            <w:tcW w:w="120" w:type="dxa"/>
            <w:vAlign w:val="bottom"/>
            <w:tcBorders>
              <w:top w:val="single" w:sz="8" w:color="E6E6E6"/>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E6E6E6"/>
            </w:tcBorders>
          </w:tcPr>
          <w:p>
            <w:pPr>
              <w:spacing w:after="0"/>
              <w:rPr>
                <w:sz w:val="16"/>
                <w:szCs w:val="16"/>
                <w:color w:val="auto"/>
              </w:rPr>
            </w:pPr>
          </w:p>
        </w:tc>
        <w:tc>
          <w:tcPr>
            <w:tcW w:w="80" w:type="dxa"/>
            <w:vAlign w:val="bottom"/>
            <w:tcBorders>
              <w:top w:val="single" w:sz="8" w:color="E6E6E6"/>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1440" w:hanging="950"/>
        <w:spacing w:after="0"/>
        <w:tabs>
          <w:tab w:leader="none" w:pos="144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Liability Classified Warrants Outstanding</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 certain instances, the Company issued warrants with an exercise price denominated in Canadian dollars whereas the Company’s functional currency is USD. As a result, upon issuance and at each reporting date, the Company is required to remeasure the fair value of the warrants using a Monte Carlo Simulation model.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fair value of the liability classified warrants at December 31, 2024 and 2023:</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14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0" w:type="dxa"/>
            <w:vAlign w:val="bottom"/>
          </w:tcPr>
          <w:p>
            <w:pPr>
              <w:spacing w:after="0"/>
              <w:rPr>
                <w:sz w:val="16"/>
                <w:szCs w:val="16"/>
                <w:color w:val="auto"/>
              </w:rPr>
            </w:pPr>
          </w:p>
        </w:tc>
        <w:tc>
          <w:tcPr>
            <w:tcW w:w="13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7"/>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tc>
        <w:tc>
          <w:tcPr>
            <w:tcW w:w="1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tcBorders>
              <w:bottom w:val="single" w:sz="8" w:color="E6E6E6"/>
            </w:tcBorders>
          </w:tcPr>
          <w:p>
            <w:pPr>
              <w:spacing w:after="0"/>
              <w:rPr>
                <w:sz w:val="18"/>
                <w:szCs w:val="18"/>
                <w:color w:val="auto"/>
              </w:rPr>
            </w:pPr>
          </w:p>
        </w:tc>
        <w:tc>
          <w:tcPr>
            <w:tcW w:w="1460" w:type="dxa"/>
            <w:vAlign w:val="bottom"/>
            <w:tcBorders>
              <w:top w:val="single" w:sz="8" w:color="auto"/>
              <w:bottom w:val="single" w:sz="8" w:color="E6E6E6"/>
            </w:tcBorders>
          </w:tcPr>
          <w:p>
            <w:pPr>
              <w:spacing w:after="0"/>
              <w:rPr>
                <w:sz w:val="18"/>
                <w:szCs w:val="18"/>
                <w:color w:val="auto"/>
              </w:rPr>
            </w:pPr>
          </w:p>
        </w:tc>
        <w:tc>
          <w:tcPr>
            <w:tcW w:w="260" w:type="dxa"/>
            <w:vAlign w:val="bottom"/>
            <w:tcBorders>
              <w:bottom w:val="single" w:sz="8" w:color="E6E6E6"/>
            </w:tcBorders>
          </w:tcPr>
          <w:p>
            <w:pPr>
              <w:spacing w:after="0"/>
              <w:rPr>
                <w:sz w:val="18"/>
                <w:szCs w:val="18"/>
                <w:color w:val="auto"/>
              </w:rPr>
            </w:pPr>
          </w:p>
        </w:tc>
        <w:tc>
          <w:tcPr>
            <w:tcW w:w="1320" w:type="dxa"/>
            <w:vAlign w:val="bottom"/>
            <w:tcBorders>
              <w:top w:val="single" w:sz="8" w:color="auto"/>
              <w:bottom w:val="single" w:sz="8" w:color="E6E6E6"/>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200" w:type="dxa"/>
            <w:vAlign w:val="bottom"/>
            <w:tcBorders>
              <w:top w:val="single" w:sz="8" w:color="auto"/>
              <w:bottom w:val="single" w:sz="8" w:color="E6E6E6"/>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E6E6E6"/>
          </w:tcPr>
          <w:p>
            <w:pPr>
              <w:spacing w:after="0" w:line="182" w:lineRule="exact"/>
              <w:rPr>
                <w:sz w:val="20"/>
                <w:szCs w:val="20"/>
                <w:color w:val="auto"/>
              </w:rPr>
            </w:pPr>
            <w:r>
              <w:rPr>
                <w:rFonts w:ascii="Times New Roman" w:cs="Times New Roman" w:eastAsia="Times New Roman" w:hAnsi="Times New Roman"/>
                <w:sz w:val="18"/>
                <w:szCs w:val="18"/>
                <w:color w:val="auto"/>
              </w:rPr>
              <w:t>Private Placement Financing Warrants</w:t>
            </w:r>
          </w:p>
        </w:tc>
        <w:tc>
          <w:tcPr>
            <w:tcW w:w="1460" w:type="dxa"/>
            <w:vAlign w:val="bottom"/>
            <w:vMerge w:val="restart"/>
            <w:shd w:val="clear" w:color="auto" w:fill="E6E6E6"/>
          </w:tcPr>
          <w:p>
            <w:pPr>
              <w:ind w:left="40"/>
              <w:spacing w:after="0"/>
              <w:rPr>
                <w:sz w:val="20"/>
                <w:szCs w:val="20"/>
                <w:color w:val="auto"/>
              </w:rPr>
            </w:pPr>
            <w:r>
              <w:rPr>
                <w:rFonts w:ascii="Times New Roman" w:cs="Times New Roman" w:eastAsia="Times New Roman" w:hAnsi="Times New Roman"/>
                <w:sz w:val="18"/>
                <w:szCs w:val="18"/>
                <w:color w:val="auto"/>
              </w:rPr>
              <w:t>C$19.39</w:t>
            </w:r>
          </w:p>
        </w:tc>
        <w:tc>
          <w:tcPr>
            <w:tcW w:w="260" w:type="dxa"/>
            <w:vAlign w:val="bottom"/>
            <w:shd w:val="clear" w:color="auto" w:fill="E6E6E6"/>
          </w:tcPr>
          <w:p>
            <w:pPr>
              <w:spacing w:after="0"/>
              <w:rPr>
                <w:sz w:val="15"/>
                <w:szCs w:val="15"/>
                <w:color w:val="auto"/>
              </w:rPr>
            </w:pPr>
          </w:p>
        </w:tc>
        <w:tc>
          <w:tcPr>
            <w:tcW w:w="132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E6E6E6"/>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shd w:val="clear" w:color="auto" w:fill="E6E6E6"/>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5"/>
        </w:trPr>
        <w:tc>
          <w:tcPr>
            <w:tcW w:w="29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Issued May 2019</w:t>
            </w:r>
          </w:p>
        </w:tc>
        <w:tc>
          <w:tcPr>
            <w:tcW w:w="1460" w:type="dxa"/>
            <w:vAlign w:val="bottom"/>
            <w:vMerge w:val="continue"/>
            <w:shd w:val="clear" w:color="auto" w:fill="E6E6E6"/>
          </w:tcPr>
          <w:p>
            <w:pPr>
              <w:spacing w:after="0"/>
              <w:rPr>
                <w:sz w:val="19"/>
                <w:szCs w:val="19"/>
                <w:color w:val="auto"/>
              </w:rPr>
            </w:pPr>
          </w:p>
        </w:tc>
        <w:tc>
          <w:tcPr>
            <w:tcW w:w="260" w:type="dxa"/>
            <w:vAlign w:val="bottom"/>
            <w:shd w:val="clear" w:color="auto" w:fill="E6E6E6"/>
          </w:tcPr>
          <w:p>
            <w:pPr>
              <w:spacing w:after="0"/>
              <w:rPr>
                <w:sz w:val="19"/>
                <w:szCs w:val="19"/>
                <w:color w:val="auto"/>
              </w:rPr>
            </w:pPr>
          </w:p>
        </w:tc>
        <w:tc>
          <w:tcPr>
            <w:tcW w:w="1320" w:type="dxa"/>
            <w:vAlign w:val="bottom"/>
            <w:vMerge w:val="continue"/>
            <w:shd w:val="clear" w:color="auto" w:fill="E6E6E6"/>
          </w:tcPr>
          <w:p>
            <w:pPr>
              <w:spacing w:after="0"/>
              <w:rPr>
                <w:sz w:val="19"/>
                <w:szCs w:val="19"/>
                <w:color w:val="auto"/>
              </w:rPr>
            </w:pPr>
          </w:p>
        </w:tc>
        <w:tc>
          <w:tcPr>
            <w:tcW w:w="300" w:type="dxa"/>
            <w:vAlign w:val="bottom"/>
            <w:gridSpan w:val="2"/>
            <w:vMerge w:val="continue"/>
            <w:shd w:val="clear" w:color="auto" w:fill="E6E6E6"/>
          </w:tcPr>
          <w:p>
            <w:pPr>
              <w:spacing w:after="0"/>
              <w:rPr>
                <w:sz w:val="19"/>
                <w:szCs w:val="19"/>
                <w:color w:val="auto"/>
              </w:rPr>
            </w:pPr>
          </w:p>
        </w:tc>
        <w:tc>
          <w:tcPr>
            <w:tcW w:w="1240" w:type="dxa"/>
            <w:vAlign w:val="bottom"/>
            <w:vMerge w:val="continue"/>
            <w:shd w:val="clear" w:color="auto" w:fill="E6E6E6"/>
          </w:tcPr>
          <w:p>
            <w:pPr>
              <w:spacing w:after="0"/>
              <w:rPr>
                <w:sz w:val="19"/>
                <w:szCs w:val="19"/>
                <w:color w:val="auto"/>
              </w:rPr>
            </w:pPr>
          </w:p>
        </w:tc>
        <w:tc>
          <w:tcPr>
            <w:tcW w:w="320" w:type="dxa"/>
            <w:vAlign w:val="bottom"/>
            <w:gridSpan w:val="2"/>
            <w:vMerge w:val="continue"/>
            <w:shd w:val="clear" w:color="auto" w:fill="E6E6E6"/>
          </w:tcPr>
          <w:p>
            <w:pPr>
              <w:spacing w:after="0"/>
              <w:rPr>
                <w:sz w:val="19"/>
                <w:szCs w:val="19"/>
                <w:color w:val="auto"/>
              </w:rPr>
            </w:pPr>
          </w:p>
        </w:tc>
        <w:tc>
          <w:tcPr>
            <w:tcW w:w="1300" w:type="dxa"/>
            <w:vAlign w:val="bottom"/>
            <w:vMerge w:val="continue"/>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00" w:type="dxa"/>
            <w:vAlign w:val="bottom"/>
            <w:vMerge w:val="continue"/>
          </w:tcPr>
          <w:p>
            <w:pPr>
              <w:spacing w:after="0"/>
              <w:rPr>
                <w:sz w:val="19"/>
                <w:szCs w:val="19"/>
                <w:color w:val="auto"/>
              </w:rPr>
            </w:pPr>
          </w:p>
        </w:tc>
        <w:tc>
          <w:tcPr>
            <w:tcW w:w="13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Modification Warrants Issued</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November 2019</w:t>
            </w: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C$12.04</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03"/>
        </w:trPr>
        <w:tc>
          <w:tcPr>
            <w:tcW w:w="2940" w:type="dxa"/>
            <w:vAlign w:val="bottom"/>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rPr>
              <w:t>Additional Modification Warrants</w:t>
            </w:r>
          </w:p>
        </w:tc>
        <w:tc>
          <w:tcPr>
            <w:tcW w:w="1460" w:type="dxa"/>
            <w:vAlign w:val="bottom"/>
            <w:vMerge w:val="restart"/>
            <w:shd w:val="clear" w:color="auto" w:fill="E6E6E6"/>
          </w:tcPr>
          <w:p>
            <w:pPr>
              <w:ind w:left="40"/>
              <w:spacing w:after="0"/>
              <w:rPr>
                <w:sz w:val="20"/>
                <w:szCs w:val="20"/>
                <w:color w:val="auto"/>
              </w:rPr>
            </w:pPr>
            <w:r>
              <w:rPr>
                <w:rFonts w:ascii="Times New Roman" w:cs="Times New Roman" w:eastAsia="Times New Roman" w:hAnsi="Times New Roman"/>
                <w:sz w:val="18"/>
                <w:szCs w:val="18"/>
                <w:color w:val="auto"/>
              </w:rPr>
              <w:t>C$14.03</w:t>
            </w:r>
          </w:p>
        </w:tc>
        <w:tc>
          <w:tcPr>
            <w:tcW w:w="1580" w:type="dxa"/>
            <w:vAlign w:val="bottom"/>
            <w:gridSpan w:val="2"/>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1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240" w:type="dxa"/>
            <w:vAlign w:val="bottom"/>
            <w:vMerge w:val="restart"/>
            <w:shd w:val="clear" w:color="auto" w:fill="E6E6E6"/>
          </w:tcPr>
          <w:p>
            <w:pPr>
              <w:ind w:left="104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300" w:type="dxa"/>
            <w:vAlign w:val="bottom"/>
            <w:vMerge w:val="restart"/>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E6E6E6"/>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5"/>
        </w:trPr>
        <w:tc>
          <w:tcPr>
            <w:tcW w:w="29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Issued May 2020</w:t>
            </w:r>
          </w:p>
        </w:tc>
        <w:tc>
          <w:tcPr>
            <w:tcW w:w="1460" w:type="dxa"/>
            <w:vAlign w:val="bottom"/>
            <w:vMerge w:val="continue"/>
            <w:shd w:val="clear" w:color="auto" w:fill="E6E6E6"/>
          </w:tcPr>
          <w:p>
            <w:pPr>
              <w:spacing w:after="0"/>
              <w:rPr>
                <w:sz w:val="19"/>
                <w:szCs w:val="19"/>
                <w:color w:val="auto"/>
              </w:rPr>
            </w:pPr>
          </w:p>
        </w:tc>
        <w:tc>
          <w:tcPr>
            <w:tcW w:w="1580" w:type="dxa"/>
            <w:vAlign w:val="bottom"/>
            <w:gridSpan w:val="2"/>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240" w:type="dxa"/>
            <w:vAlign w:val="bottom"/>
            <w:vMerge w:val="continue"/>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1300" w:type="dxa"/>
            <w:vAlign w:val="bottom"/>
            <w:vMerge w:val="continue"/>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4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73,728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w w:val="99"/>
              </w:rPr>
              <w:t>68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2024, 2023 and 2022, the Company recorded gains of $2,691 thousand, $1,403 thousand, and $20,357 thousand, respectively, on the change in the fair value of the warrant liability within other income (expense) on the consolidated statements of operations. As of December 31, 2024 and 2023, the warrant liability was classified as a current liability and recorded within accrued liabilities within the consolidated balance sheets.</w:t>
      </w:r>
    </w:p>
    <w:p>
      <w:pPr>
        <w:spacing w:after="0" w:line="184"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20"/>
          <w:szCs w:val="20"/>
          <w:color w:val="auto"/>
        </w:rPr>
        <w:t>The following table summarizes the significant assumptions used in determining the fair value of the warrant liability as of each reporting date (see Note 14</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Fair Value Measurements for additional details):</w:t>
      </w: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594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7"/>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Assumptions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97"/>
        </w:trPr>
        <w:tc>
          <w:tcPr>
            <w:tcW w:w="5940" w:type="dxa"/>
            <w:vAlign w:val="bottom"/>
            <w:tcBorders>
              <w:top w:val="single" w:sz="8" w:color="E6E6E6"/>
            </w:tcBorders>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Volatility</w:t>
            </w:r>
          </w:p>
        </w:tc>
        <w:tc>
          <w:tcPr>
            <w:tcW w:w="2280" w:type="dxa"/>
            <w:vAlign w:val="bottom"/>
            <w:tcBorders>
              <w:top w:val="single" w:sz="8" w:color="auto"/>
            </w:tcBorders>
            <w:shd w:val="clear" w:color="auto" w:fill="E6E6E6"/>
          </w:tcPr>
          <w:p>
            <w:pPr>
              <w:jc w:val="center"/>
              <w:spacing w:after="0" w:line="197" w:lineRule="exact"/>
              <w:rPr>
                <w:sz w:val="20"/>
                <w:szCs w:val="20"/>
                <w:color w:val="auto"/>
              </w:rPr>
            </w:pPr>
            <w:r>
              <w:rPr>
                <w:rFonts w:ascii="Times New Roman" w:cs="Times New Roman" w:eastAsia="Times New Roman" w:hAnsi="Times New Roman"/>
                <w:sz w:val="18"/>
                <w:szCs w:val="18"/>
                <w:color w:val="auto"/>
              </w:rPr>
              <w:t>70.07%</w:t>
            </w:r>
          </w:p>
        </w:tc>
        <w:tc>
          <w:tcPr>
            <w:tcW w:w="100" w:type="dxa"/>
            <w:vAlign w:val="bottom"/>
            <w:tcBorders>
              <w:top w:val="single" w:sz="8" w:color="E6E6E6"/>
            </w:tcBorders>
            <w:shd w:val="clear" w:color="auto" w:fill="E6E6E6"/>
          </w:tcPr>
          <w:p>
            <w:pPr>
              <w:spacing w:after="0"/>
              <w:rPr>
                <w:sz w:val="17"/>
                <w:szCs w:val="17"/>
                <w:color w:val="auto"/>
              </w:rPr>
            </w:pPr>
          </w:p>
        </w:tc>
        <w:tc>
          <w:tcPr>
            <w:tcW w:w="2280" w:type="dxa"/>
            <w:vAlign w:val="bottom"/>
            <w:tcBorders>
              <w:top w:val="single" w:sz="8" w:color="auto"/>
            </w:tcBorders>
            <w:shd w:val="clear" w:color="auto" w:fill="E6E6E6"/>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61.76% - 74.31%</w:t>
            </w:r>
          </w:p>
        </w:tc>
      </w:tr>
      <w:tr>
        <w:trPr>
          <w:trHeight w:val="20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0.39 years</w:t>
            </w:r>
          </w:p>
        </w:tc>
        <w:tc>
          <w:tcPr>
            <w:tcW w:w="10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0.39-1.39 years</w:t>
            </w:r>
          </w:p>
        </w:tc>
      </w:tr>
      <w:tr>
        <w:trPr>
          <w:trHeight w:val="207"/>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2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w w:val="98"/>
              </w:rPr>
              <w:t>2.92%</w:t>
            </w:r>
          </w:p>
        </w:tc>
        <w:tc>
          <w:tcPr>
            <w:tcW w:w="2380" w:type="dxa"/>
            <w:vAlign w:val="bottom"/>
            <w:gridSpan w:val="2"/>
            <w:shd w:val="clear" w:color="auto" w:fill="E6E6E6"/>
          </w:tcPr>
          <w:p>
            <w:pPr>
              <w:jc w:val="center"/>
              <w:ind w:left="1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10800"/>
          </w:cols>
          <w:pgMar w:left="720" w:top="696" w:right="720" w:bottom="186"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500" w:hanging="500"/>
        <w:spacing w:after="0"/>
        <w:tabs>
          <w:tab w:leader="none" w:pos="50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WARRANTS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37" w:lineRule="exact"/>
        <w:rPr>
          <w:sz w:val="20"/>
          <w:szCs w:val="20"/>
          <w:color w:val="auto"/>
        </w:rPr>
      </w:pPr>
    </w:p>
    <w:p>
      <w:pPr>
        <w:ind w:left="1440" w:hanging="950"/>
        <w:spacing w:after="0"/>
        <w:tabs>
          <w:tab w:leader="none" w:pos="144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Classified Warrants Outstanding</w:t>
      </w:r>
    </w:p>
    <w:p>
      <w:pPr>
        <w:spacing w:after="0" w:line="124"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The Company’s equity classified warrants were recorded at fair value at each respective date of issuance. Equity classified warrants are not remeasured on a recurring basis and are carried at their issuance date fair value.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carrying amounts of the Company’s equity classified warrants at December 31, 2024 and 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Issuance Date 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130"/>
              <w:spacing w:after="0" w:line="20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right"/>
              <w:ind w:right="170"/>
              <w:spacing w:after="0" w:line="205"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Included in Contributed Surplus</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360" w:type="dxa"/>
            <w:vAlign w:val="bottom"/>
            <w:tcBorders>
              <w:bottom w:val="single" w:sz="8" w:color="E6E6E6"/>
            </w:tcBorders>
          </w:tcPr>
          <w:p>
            <w:pPr>
              <w:spacing w:after="0"/>
              <w:rPr>
                <w:sz w:val="18"/>
                <w:szCs w:val="18"/>
                <w:color w:val="auto"/>
              </w:rPr>
            </w:pPr>
          </w:p>
        </w:tc>
        <w:tc>
          <w:tcPr>
            <w:tcW w:w="80" w:type="dxa"/>
            <w:vAlign w:val="bottom"/>
            <w:tcBorders>
              <w:bottom w:val="single" w:sz="8" w:color="E6E6E6"/>
            </w:tcBorders>
          </w:tcPr>
          <w:p>
            <w:pPr>
              <w:spacing w:after="0"/>
              <w:rPr>
                <w:sz w:val="18"/>
                <w:szCs w:val="18"/>
                <w:color w:val="auto"/>
              </w:rPr>
            </w:pPr>
          </w:p>
        </w:tc>
        <w:tc>
          <w:tcPr>
            <w:tcW w:w="200" w:type="dxa"/>
            <w:vAlign w:val="bottom"/>
            <w:tcBorders>
              <w:bottom w:val="single" w:sz="8" w:color="E6E6E6"/>
            </w:tcBorders>
          </w:tcPr>
          <w:p>
            <w:pPr>
              <w:spacing w:after="0"/>
              <w:rPr>
                <w:sz w:val="18"/>
                <w:szCs w:val="18"/>
                <w:color w:val="auto"/>
              </w:rPr>
            </w:pPr>
          </w:p>
        </w:tc>
        <w:tc>
          <w:tcPr>
            <w:tcW w:w="138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300" w:type="dxa"/>
            <w:vAlign w:val="bottom"/>
            <w:tcBorders>
              <w:bottom w:val="single" w:sz="8" w:color="E6E6E6"/>
            </w:tcBorders>
          </w:tcPr>
          <w:p>
            <w:pPr>
              <w:spacing w:after="0"/>
              <w:rPr>
                <w:sz w:val="18"/>
                <w:szCs w:val="18"/>
                <w:color w:val="auto"/>
              </w:rPr>
            </w:pPr>
          </w:p>
        </w:tc>
        <w:tc>
          <w:tcPr>
            <w:tcW w:w="1540" w:type="dxa"/>
            <w:vAlign w:val="bottom"/>
            <w:tcBorders>
              <w:bottom w:val="single" w:sz="8" w:color="E6E6E6"/>
            </w:tcBorders>
          </w:tcPr>
          <w:p>
            <w:pPr>
              <w:spacing w:after="0"/>
              <w:rPr>
                <w:sz w:val="18"/>
                <w:szCs w:val="18"/>
                <w:color w:val="auto"/>
              </w:rPr>
            </w:pPr>
          </w:p>
        </w:tc>
        <w:tc>
          <w:tcPr>
            <w:tcW w:w="120" w:type="dxa"/>
            <w:vAlign w:val="bottom"/>
            <w:tcBorders>
              <w:bottom w:val="single" w:sz="8" w:color="E6E6E6"/>
            </w:tcBorders>
          </w:tcPr>
          <w:p>
            <w:pPr>
              <w:spacing w:after="0"/>
              <w:rPr>
                <w:sz w:val="18"/>
                <w:szCs w:val="18"/>
                <w:color w:val="auto"/>
              </w:rPr>
            </w:pPr>
          </w:p>
        </w:tc>
        <w:tc>
          <w:tcPr>
            <w:tcW w:w="240" w:type="dxa"/>
            <w:vAlign w:val="bottom"/>
            <w:tcBorders>
              <w:bottom w:val="single" w:sz="8" w:color="E6E6E6"/>
            </w:tcBorders>
          </w:tcPr>
          <w:p>
            <w:pPr>
              <w:spacing w:after="0"/>
              <w:rPr>
                <w:sz w:val="18"/>
                <w:szCs w:val="18"/>
                <w:color w:val="auto"/>
              </w:rPr>
            </w:pPr>
          </w:p>
        </w:tc>
        <w:tc>
          <w:tcPr>
            <w:tcW w:w="3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Mortgage Warrants Issued June 2020</w:t>
            </w:r>
          </w:p>
        </w:tc>
        <w:tc>
          <w:tcPr>
            <w:tcW w:w="2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9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6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E6E6E6"/>
          </w:tcPr>
          <w:p>
            <w:pPr>
              <w:spacing w:after="0"/>
              <w:rPr>
                <w:sz w:val="18"/>
                <w:szCs w:val="18"/>
                <w:color w:val="auto"/>
              </w:rPr>
            </w:pPr>
          </w:p>
        </w:tc>
        <w:tc>
          <w:tcPr>
            <w:tcW w:w="32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E6E6E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Private Placement Refinance Warrants Issued</w:t>
            </w:r>
          </w:p>
        </w:tc>
        <w:tc>
          <w:tcPr>
            <w:tcW w:w="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1,459,044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April 2021</w:t>
            </w:r>
          </w:p>
        </w:tc>
        <w:tc>
          <w:tcPr>
            <w:tcW w:w="280" w:type="dxa"/>
            <w:vAlign w:val="bottom"/>
            <w:gridSpan w:val="2"/>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E6E6E6"/>
          </w:tcPr>
          <w:p>
            <w:pPr>
              <w:spacing w:after="0" w:line="202" w:lineRule="exact"/>
              <w:rPr>
                <w:sz w:val="20"/>
                <w:szCs w:val="20"/>
                <w:color w:val="auto"/>
              </w:rPr>
            </w:pPr>
            <w:r>
              <w:rPr>
                <w:rFonts w:ascii="Times New Roman" w:cs="Times New Roman" w:eastAsia="Times New Roman" w:hAnsi="Times New Roman"/>
                <w:sz w:val="18"/>
                <w:szCs w:val="18"/>
                <w:color w:val="auto"/>
              </w:rPr>
              <w:t>Private Placement Refinance Warrants Issued</w:t>
            </w:r>
          </w:p>
        </w:tc>
        <w:tc>
          <w:tcPr>
            <w:tcW w:w="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3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54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48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October 2021</w:t>
            </w:r>
          </w:p>
        </w:tc>
        <w:tc>
          <w:tcPr>
            <w:tcW w:w="280" w:type="dxa"/>
            <w:vAlign w:val="bottom"/>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960" w:type="dxa"/>
            <w:vAlign w:val="bottom"/>
            <w:gridSpan w:val="3"/>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243,303</w:t>
            </w:r>
          </w:p>
        </w:tc>
        <w:tc>
          <w:tcPr>
            <w:tcW w:w="120" w:type="dxa"/>
            <w:vAlign w:val="bottom"/>
            <w:shd w:val="clear" w:color="auto" w:fill="E6E6E6"/>
          </w:tcPr>
          <w:p>
            <w:pPr>
              <w:spacing w:after="0"/>
              <w:rPr>
                <w:sz w:val="21"/>
                <w:szCs w:val="21"/>
                <w:color w:val="auto"/>
              </w:rPr>
            </w:pPr>
          </w:p>
        </w:tc>
        <w:tc>
          <w:tcPr>
            <w:tcW w:w="240" w:type="dxa"/>
            <w:vAlign w:val="bottom"/>
            <w:shd w:val="clear" w:color="auto" w:fill="E6E6E6"/>
          </w:tcPr>
          <w:p>
            <w:pPr>
              <w:spacing w:after="0"/>
              <w:rPr>
                <w:sz w:val="21"/>
                <w:szCs w:val="21"/>
                <w:color w:val="auto"/>
              </w:rPr>
            </w:pPr>
          </w:p>
        </w:tc>
        <w:tc>
          <w:tcPr>
            <w:tcW w:w="14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E6E6E6"/>
          </w:tcPr>
          <w:p>
            <w:pPr>
              <w:spacing w:after="0"/>
              <w:rPr>
                <w:sz w:val="21"/>
                <w:szCs w:val="21"/>
                <w:color w:val="auto"/>
              </w:rPr>
            </w:pPr>
          </w:p>
        </w:tc>
        <w:tc>
          <w:tcPr>
            <w:tcW w:w="320" w:type="dxa"/>
            <w:vAlign w:val="bottom"/>
            <w:shd w:val="clear" w:color="auto" w:fill="E6E6E6"/>
          </w:tcPr>
          <w:p>
            <w:pPr>
              <w:spacing w:after="0"/>
              <w:rPr>
                <w:sz w:val="21"/>
                <w:szCs w:val="21"/>
                <w:color w:val="auto"/>
              </w:rPr>
            </w:pPr>
          </w:p>
        </w:tc>
        <w:tc>
          <w:tcPr>
            <w:tcW w:w="1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360" w:type="dxa"/>
            <w:vAlign w:val="bottom"/>
            <w:tcBorders>
              <w:top w:val="single" w:sz="8" w:color="E6E6E6"/>
            </w:tcBorders>
          </w:tcPr>
          <w:p>
            <w:pPr>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tcBorders>
              <w:top w:val="single" w:sz="8" w:color="E6E6E6"/>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Borders>
              <w:top w:val="single" w:sz="8" w:color="E6E6E6"/>
            </w:tcBorders>
          </w:tcPr>
          <w:p>
            <w:pPr>
              <w:spacing w:after="0"/>
              <w:rPr>
                <w:sz w:val="18"/>
                <w:szCs w:val="18"/>
                <w:color w:val="auto"/>
              </w:rPr>
            </w:pPr>
          </w:p>
        </w:tc>
        <w:tc>
          <w:tcPr>
            <w:tcW w:w="1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1,737,347</w:t>
            </w:r>
          </w:p>
        </w:tc>
        <w:tc>
          <w:tcPr>
            <w:tcW w:w="120" w:type="dxa"/>
            <w:vAlign w:val="bottom"/>
            <w:tcBorders>
              <w:top w:val="single" w:sz="8" w:color="E6E6E6"/>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25,056</w:t>
            </w:r>
          </w:p>
        </w:tc>
        <w:tc>
          <w:tcPr>
            <w:tcW w:w="100" w:type="dxa"/>
            <w:vAlign w:val="bottom"/>
            <w:tcBorders>
              <w:top w:val="single" w:sz="8" w:color="E6E6E6"/>
            </w:tcBorders>
          </w:tcPr>
          <w:p>
            <w:pPr>
              <w:spacing w:after="0"/>
              <w:rPr>
                <w:sz w:val="18"/>
                <w:szCs w:val="18"/>
                <w:color w:val="auto"/>
              </w:rPr>
            </w:pPr>
          </w:p>
        </w:tc>
        <w:tc>
          <w:tcPr>
            <w:tcW w:w="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25,056</w:t>
            </w:r>
          </w:p>
        </w:tc>
        <w:tc>
          <w:tcPr>
            <w:tcW w:w="100" w:type="dxa"/>
            <w:vAlign w:val="bottom"/>
            <w:tcBorders>
              <w:top w:val="single" w:sz="8" w:color="E6E6E6"/>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equity classified warrants were valued as of the date of issuance using a Black Scholes Option Pricing model. The following table summarizes the significant assumptions used in determining the fair value of the equity classified warrants as of each respective issuance date: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258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Private Placement</w:t>
            </w:r>
          </w:p>
        </w:tc>
        <w:tc>
          <w:tcPr>
            <w:tcW w:w="2000" w:type="dxa"/>
            <w:vAlign w:val="bottom"/>
          </w:tcPr>
          <w:p>
            <w:pPr>
              <w:spacing w:after="0"/>
              <w:rPr>
                <w:sz w:val="18"/>
                <w:szCs w:val="18"/>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Assumptions</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Refinancing Warrants</w:t>
            </w:r>
          </w:p>
        </w:tc>
        <w:tc>
          <w:tcPr>
            <w:tcW w:w="25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Refinancing Warrants</w:t>
            </w:r>
          </w:p>
        </w:tc>
        <w:tc>
          <w:tcPr>
            <w:tcW w:w="20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Mortgage Warrants</w:t>
            </w:r>
          </w:p>
        </w:tc>
      </w:tr>
      <w:tr>
        <w:trPr>
          <w:trHeight w:val="21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of Issuance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2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April 30, 2021</w:t>
            </w:r>
          </w:p>
        </w:tc>
        <w:tc>
          <w:tcPr>
            <w:tcW w:w="2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June 5, 2020</w:t>
            </w:r>
          </w:p>
        </w:tc>
      </w:tr>
      <w:tr>
        <w:trPr>
          <w:trHeight w:val="221"/>
        </w:trPr>
        <w:tc>
          <w:tcPr>
            <w:tcW w:w="41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Volatility</w:t>
            </w:r>
          </w:p>
        </w:tc>
        <w:tc>
          <w:tcPr>
            <w:tcW w:w="2060" w:type="dxa"/>
            <w:vAlign w:val="bottom"/>
            <w:shd w:val="clear" w:color="auto" w:fill="E6E6E6"/>
          </w:tcPr>
          <w:p>
            <w:pPr>
              <w:jc w:val="right"/>
              <w:ind w:right="770"/>
              <w:spacing w:after="0"/>
              <w:rPr>
                <w:sz w:val="20"/>
                <w:szCs w:val="20"/>
                <w:color w:val="auto"/>
              </w:rPr>
            </w:pPr>
            <w:r>
              <w:rPr>
                <w:rFonts w:ascii="Times New Roman" w:cs="Times New Roman" w:eastAsia="Times New Roman" w:hAnsi="Times New Roman"/>
                <w:sz w:val="18"/>
                <w:szCs w:val="18"/>
                <w:color w:val="auto"/>
              </w:rPr>
              <w:t>73%</w:t>
            </w:r>
          </w:p>
        </w:tc>
        <w:tc>
          <w:tcPr>
            <w:tcW w:w="2580" w:type="dxa"/>
            <w:vAlign w:val="bottom"/>
            <w:shd w:val="clear" w:color="auto" w:fill="E6E6E6"/>
          </w:tcPr>
          <w:p>
            <w:pPr>
              <w:jc w:val="right"/>
              <w:ind w:right="910"/>
              <w:spacing w:after="0"/>
              <w:rPr>
                <w:sz w:val="20"/>
                <w:szCs w:val="20"/>
                <w:color w:val="auto"/>
              </w:rPr>
            </w:pPr>
            <w:r>
              <w:rPr>
                <w:rFonts w:ascii="Times New Roman" w:cs="Times New Roman" w:eastAsia="Times New Roman" w:hAnsi="Times New Roman"/>
                <w:sz w:val="18"/>
                <w:szCs w:val="18"/>
                <w:color w:val="auto"/>
              </w:rPr>
              <w:t>73%</w:t>
            </w:r>
          </w:p>
        </w:tc>
        <w:tc>
          <w:tcPr>
            <w:tcW w:w="2000" w:type="dxa"/>
            <w:vAlign w:val="bottom"/>
            <w:shd w:val="clear" w:color="auto" w:fill="E6E6E6"/>
          </w:tcPr>
          <w:p>
            <w:pPr>
              <w:jc w:val="right"/>
              <w:ind w:right="670"/>
              <w:spacing w:after="0"/>
              <w:rPr>
                <w:sz w:val="20"/>
                <w:szCs w:val="20"/>
                <w:color w:val="auto"/>
              </w:rPr>
            </w:pPr>
            <w:r>
              <w:rPr>
                <w:rFonts w:ascii="Times New Roman" w:cs="Times New Roman" w:eastAsia="Times New Roman" w:hAnsi="Times New Roman"/>
                <w:sz w:val="18"/>
                <w:szCs w:val="18"/>
                <w:color w:val="auto"/>
              </w:rPr>
              <w:t>80%</w:t>
            </w:r>
          </w:p>
        </w:tc>
      </w:tr>
      <w:tr>
        <w:trPr>
          <w:trHeight w:val="22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Estimated Term</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25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7"/>
              </w:rPr>
              <w:t>4 years</w:t>
            </w:r>
          </w:p>
        </w:tc>
        <w:tc>
          <w:tcPr>
            <w:tcW w:w="20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 years</w:t>
            </w:r>
          </w:p>
        </w:tc>
      </w:tr>
      <w:tr>
        <w:trPr>
          <w:trHeight w:val="221"/>
        </w:trPr>
        <w:tc>
          <w:tcPr>
            <w:tcW w:w="416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060" w:type="dxa"/>
            <w:vAlign w:val="bottom"/>
            <w:shd w:val="clear" w:color="auto" w:fill="E6E6E6"/>
          </w:tcPr>
          <w:p>
            <w:pPr>
              <w:jc w:val="right"/>
              <w:ind w:right="710"/>
              <w:spacing w:after="0"/>
              <w:rPr>
                <w:sz w:val="20"/>
                <w:szCs w:val="20"/>
                <w:color w:val="auto"/>
              </w:rPr>
            </w:pPr>
            <w:r>
              <w:rPr>
                <w:rFonts w:ascii="Times New Roman" w:cs="Times New Roman" w:eastAsia="Times New Roman" w:hAnsi="Times New Roman"/>
                <w:sz w:val="18"/>
                <w:szCs w:val="18"/>
                <w:color w:val="auto"/>
              </w:rPr>
              <w:t>1.12%</w:t>
            </w:r>
          </w:p>
        </w:tc>
        <w:tc>
          <w:tcPr>
            <w:tcW w:w="2580" w:type="dxa"/>
            <w:vAlign w:val="bottom"/>
            <w:shd w:val="clear" w:color="auto" w:fill="E6E6E6"/>
          </w:tcPr>
          <w:p>
            <w:pPr>
              <w:jc w:val="right"/>
              <w:ind w:right="850"/>
              <w:spacing w:after="0"/>
              <w:rPr>
                <w:sz w:val="20"/>
                <w:szCs w:val="20"/>
                <w:color w:val="auto"/>
              </w:rPr>
            </w:pPr>
            <w:r>
              <w:rPr>
                <w:rFonts w:ascii="Times New Roman" w:cs="Times New Roman" w:eastAsia="Times New Roman" w:hAnsi="Times New Roman"/>
                <w:sz w:val="18"/>
                <w:szCs w:val="18"/>
                <w:color w:val="auto"/>
              </w:rPr>
              <w:t>0.74%</w:t>
            </w:r>
          </w:p>
        </w:tc>
        <w:tc>
          <w:tcPr>
            <w:tcW w:w="2000" w:type="dxa"/>
            <w:vAlign w:val="bottom"/>
            <w:shd w:val="clear" w:color="auto" w:fill="E6E6E6"/>
          </w:tcPr>
          <w:p>
            <w:pPr>
              <w:jc w:val="right"/>
              <w:ind w:right="590"/>
              <w:spacing w:after="0"/>
              <w:rPr>
                <w:sz w:val="20"/>
                <w:szCs w:val="20"/>
                <w:color w:val="auto"/>
              </w:rPr>
            </w:pPr>
            <w:r>
              <w:rPr>
                <w:rFonts w:ascii="Times New Roman" w:cs="Times New Roman" w:eastAsia="Times New Roman" w:hAnsi="Times New Roman"/>
                <w:sz w:val="18"/>
                <w:szCs w:val="18"/>
                <w:color w:val="auto"/>
              </w:rPr>
              <w:t>0.37%</w:t>
            </w: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10800"/>
          </w:cols>
          <w:pgMar w:left="720" w:top="696" w:right="720" w:bottom="186" w:gutter="0" w:footer="0" w:header="0"/>
          <w:type w:val="continuous"/>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CAPITAL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3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w:t>
      </w:r>
      <w:r>
        <w:rPr>
          <w:rFonts w:ascii="Times New Roman" w:cs="Times New Roman" w:eastAsia="Times New Roman" w:hAnsi="Times New Roman"/>
          <w:sz w:val="20"/>
          <w:szCs w:val="20"/>
          <w:i w:val="1"/>
          <w:iCs w:val="1"/>
          <w:color w:val="auto"/>
        </w:rPr>
        <w:t>ASC 740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w:t>
      </w:r>
    </w:p>
    <w:p>
      <w:pPr>
        <w:spacing w:after="0" w:line="73" w:lineRule="exact"/>
        <w:rPr>
          <w:sz w:val="20"/>
          <w:szCs w:val="20"/>
          <w:color w:val="auto"/>
        </w:rPr>
      </w:pPr>
    </w:p>
    <w:p>
      <w:pPr>
        <w:ind w:left="1440" w:hanging="950"/>
        <w:spacing w:after="0"/>
        <w:tabs>
          <w:tab w:leader="none" w:pos="144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Authorized</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Company has the following classes of share capital, with each class having no par value:</w:t>
      </w:r>
    </w:p>
    <w:p>
      <w:pPr>
        <w:spacing w:after="0" w:line="116" w:lineRule="exact"/>
        <w:rPr>
          <w:sz w:val="20"/>
          <w:szCs w:val="20"/>
          <w:color w:val="auto"/>
        </w:rPr>
      </w:pPr>
    </w:p>
    <w:p>
      <w:pPr>
        <w:ind w:left="1440" w:hanging="621"/>
        <w:spacing w:after="0"/>
        <w:tabs>
          <w:tab w:leader="none" w:pos="144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Subordinate Voting Shares</w:t>
      </w:r>
    </w:p>
    <w:p>
      <w:pPr>
        <w:spacing w:after="0" w:line="124" w:lineRule="exact"/>
        <w:rPr>
          <w:sz w:val="20"/>
          <w:szCs w:val="20"/>
          <w:color w:val="auto"/>
        </w:rPr>
      </w:pPr>
    </w:p>
    <w:p>
      <w:pPr>
        <w:ind w:left="860"/>
        <w:spacing w:after="0" w:line="252" w:lineRule="auto"/>
        <w:rPr>
          <w:sz w:val="20"/>
          <w:szCs w:val="20"/>
          <w:color w:val="auto"/>
        </w:rPr>
      </w:pPr>
      <w:r>
        <w:rPr>
          <w:rFonts w:ascii="Times New Roman" w:cs="Times New Roman" w:eastAsia="Times New Roman" w:hAnsi="Times New Roman"/>
          <w:sz w:val="20"/>
          <w:szCs w:val="20"/>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w:t>
      </w:r>
    </w:p>
    <w:p>
      <w:pPr>
        <w:spacing w:after="0" w:line="70" w:lineRule="exact"/>
        <w:rPr>
          <w:sz w:val="20"/>
          <w:szCs w:val="20"/>
          <w:color w:val="auto"/>
        </w:rPr>
      </w:pPr>
    </w:p>
    <w:p>
      <w:pPr>
        <w:ind w:left="1440" w:hanging="676"/>
        <w:spacing w:after="0"/>
        <w:tabs>
          <w:tab w:leader="none" w:pos="144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Multiple Voting Shares</w:t>
      </w:r>
    </w:p>
    <w:p>
      <w:pPr>
        <w:spacing w:after="0" w:line="124" w:lineRule="exact"/>
        <w:rPr>
          <w:sz w:val="20"/>
          <w:szCs w:val="20"/>
          <w:color w:val="auto"/>
        </w:rPr>
      </w:pPr>
    </w:p>
    <w:p>
      <w:pPr>
        <w:ind w:left="860" w:right="80"/>
        <w:spacing w:after="0" w:line="252" w:lineRule="auto"/>
        <w:rPr>
          <w:sz w:val="20"/>
          <w:szCs w:val="20"/>
          <w:color w:val="auto"/>
        </w:rPr>
      </w:pPr>
      <w:r>
        <w:rPr>
          <w:rFonts w:ascii="Times New Roman" w:cs="Times New Roman" w:eastAsia="Times New Roman" w:hAnsi="Times New Roman"/>
          <w:sz w:val="20"/>
          <w:szCs w:val="20"/>
          <w:color w:val="auto"/>
        </w:rPr>
        <w:t>Each Multiple Voting Share is entitled to 100 votes per share at shareholder meetings of the Company and is exchangeable for 100 Subordinate Voting Shares. At December 31, 2024, the Company had 37,623 issued and outstanding Multiple Voting Shares, which convert into 3,762,300 Subordinate Voting Shares. The Company is authorized to issue an unlimited number of Multiple Voting Shares.</w:t>
      </w:r>
    </w:p>
    <w:p>
      <w:pPr>
        <w:spacing w:after="0" w:line="70" w:lineRule="exact"/>
        <w:rPr>
          <w:sz w:val="20"/>
          <w:szCs w:val="20"/>
          <w:color w:val="auto"/>
        </w:rPr>
      </w:pPr>
    </w:p>
    <w:p>
      <w:pPr>
        <w:ind w:left="1440" w:hanging="732"/>
        <w:spacing w:after="0"/>
        <w:tabs>
          <w:tab w:leader="none" w:pos="14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Super Voting Shares</w:t>
      </w:r>
    </w:p>
    <w:p>
      <w:pPr>
        <w:spacing w:after="0" w:line="124" w:lineRule="exact"/>
        <w:rPr>
          <w:sz w:val="20"/>
          <w:szCs w:val="20"/>
          <w:color w:val="auto"/>
        </w:rPr>
      </w:pPr>
    </w:p>
    <w:p>
      <w:pPr>
        <w:ind w:left="860" w:right="160"/>
        <w:spacing w:after="0" w:line="270" w:lineRule="auto"/>
        <w:rPr>
          <w:sz w:val="20"/>
          <w:szCs w:val="20"/>
          <w:color w:val="auto"/>
        </w:rPr>
      </w:pPr>
      <w:r>
        <w:rPr>
          <w:rFonts w:ascii="Times New Roman" w:cs="Times New Roman" w:eastAsia="Times New Roman" w:hAnsi="Times New Roman"/>
          <w:sz w:val="19"/>
          <w:szCs w:val="19"/>
          <w:color w:val="auto"/>
        </w:rPr>
        <w:t>Each Super Voting Share is entitled to 1,000 votes per share at shareholder meetings of the Company and is exchangeable for one Multiple Voting Share, which is then convertible into 100 Subordinate Voting Shares. At December 31, 2024, the Company had 206,690 issued and outstanding Super Voting Shares which convert into 20,669,000 Subordinate Voting Shares. The Company is authorized to issue an unlimited number of Super Voting Shares.</w:t>
      </w: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10780"/>
          </w:cols>
          <w:pgMar w:left="720" w:top="696" w:right="740" w:bottom="186"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148590</wp:posOffset>
                </wp:positionV>
                <wp:extent cx="689483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1.7pt" to="541.45pt,11.7pt" o:allowincell="f" strokecolor="#000000" strokeweight="0.75pt"/>
            </w:pict>
          </mc:Fallback>
        </mc:AlternateContent>
      </w:r>
    </w:p>
    <w:p>
      <w:pPr>
        <w:spacing w:after="0" w:line="319" w:lineRule="exact"/>
        <w:rPr>
          <w:sz w:val="20"/>
          <w:szCs w:val="20"/>
          <w:color w:val="auto"/>
        </w:rPr>
      </w:pPr>
    </w:p>
    <w:p>
      <w:pPr>
        <w:ind w:left="980" w:hanging="490"/>
        <w:spacing w:after="0"/>
        <w:tabs>
          <w:tab w:leader="none" w:pos="980"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Issued and Outstanding</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 reconciliation of the beginning and ending amounts of the issued and outstanding shares by class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Issued and Outstanding</w:t>
            </w:r>
          </w:p>
        </w:tc>
        <w:tc>
          <w:tcPr>
            <w:tcW w:w="1500" w:type="dxa"/>
            <w:vAlign w:val="bottom"/>
            <w:tcBorders>
              <w:bottom w:val="single" w:sz="8" w:color="auto"/>
            </w:tcBorders>
          </w:tcPr>
          <w:p>
            <w:pPr>
              <w:spacing w:after="0"/>
              <w:rPr>
                <w:sz w:val="17"/>
                <w:szCs w:val="17"/>
                <w:color w:val="auto"/>
              </w:rPr>
            </w:pPr>
          </w:p>
        </w:tc>
      </w:tr>
      <w:tr>
        <w:trPr>
          <w:trHeight w:val="169"/>
        </w:trPr>
        <w:tc>
          <w:tcPr>
            <w:tcW w:w="5940" w:type="dxa"/>
            <w:vAlign w:val="bottom"/>
          </w:tcPr>
          <w:p>
            <w:pPr>
              <w:spacing w:after="0"/>
              <w:rPr>
                <w:sz w:val="14"/>
                <w:szCs w:val="14"/>
                <w:color w:val="auto"/>
              </w:rPr>
            </w:pPr>
          </w:p>
        </w:tc>
        <w:tc>
          <w:tcPr>
            <w:tcW w:w="1500" w:type="dxa"/>
            <w:vAlign w:val="bottom"/>
          </w:tcPr>
          <w:p>
            <w:pPr>
              <w:jc w:val="right"/>
              <w:ind w:right="222"/>
              <w:spacing w:after="0" w:line="169" w:lineRule="exact"/>
              <w:rPr>
                <w:sz w:val="20"/>
                <w:szCs w:val="20"/>
                <w:color w:val="auto"/>
              </w:rPr>
            </w:pPr>
            <w:r>
              <w:rPr>
                <w:rFonts w:ascii="Times New Roman" w:cs="Times New Roman" w:eastAsia="Times New Roman" w:hAnsi="Times New Roman"/>
                <w:sz w:val="16"/>
                <w:szCs w:val="16"/>
                <w:b w:val="1"/>
                <w:bCs w:val="1"/>
                <w:color w:val="auto"/>
              </w:rPr>
              <w:t>Subordinate</w:t>
            </w:r>
          </w:p>
        </w:tc>
        <w:tc>
          <w:tcPr>
            <w:tcW w:w="180" w:type="dxa"/>
            <w:vAlign w:val="bottom"/>
          </w:tcPr>
          <w:p>
            <w:pPr>
              <w:spacing w:after="0"/>
              <w:rPr>
                <w:sz w:val="14"/>
                <w:szCs w:val="14"/>
                <w:color w:val="auto"/>
              </w:rPr>
            </w:pPr>
          </w:p>
        </w:tc>
        <w:tc>
          <w:tcPr>
            <w:tcW w:w="168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6"/>
                <w:szCs w:val="16"/>
                <w:b w:val="1"/>
                <w:bCs w:val="1"/>
                <w:color w:val="auto"/>
                <w:w w:val="98"/>
              </w:rPr>
              <w:t>Multiple</w:t>
            </w:r>
          </w:p>
        </w:tc>
        <w:tc>
          <w:tcPr>
            <w:tcW w:w="1500" w:type="dxa"/>
            <w:vAlign w:val="bottom"/>
          </w:tcPr>
          <w:p>
            <w:pPr>
              <w:jc w:val="right"/>
              <w:ind w:right="462"/>
              <w:spacing w:after="0" w:line="169" w:lineRule="exact"/>
              <w:rPr>
                <w:sz w:val="20"/>
                <w:szCs w:val="20"/>
                <w:color w:val="auto"/>
              </w:rPr>
            </w:pPr>
            <w:r>
              <w:rPr>
                <w:rFonts w:ascii="Times New Roman" w:cs="Times New Roman" w:eastAsia="Times New Roman" w:hAnsi="Times New Roman"/>
                <w:sz w:val="16"/>
                <w:szCs w:val="16"/>
                <w:b w:val="1"/>
                <w:bCs w:val="1"/>
                <w:color w:val="auto"/>
              </w:rPr>
              <w:t>Super</w:t>
            </w:r>
          </w:p>
        </w:tc>
      </w:tr>
      <w:tr>
        <w:trPr>
          <w:trHeight w:val="184"/>
        </w:trPr>
        <w:tc>
          <w:tcPr>
            <w:tcW w:w="5940" w:type="dxa"/>
            <w:vAlign w:val="bottom"/>
          </w:tcPr>
          <w:p>
            <w:pPr>
              <w:spacing w:after="0"/>
              <w:rPr>
                <w:sz w:val="15"/>
                <w:szCs w:val="15"/>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80" w:type="dxa"/>
            <w:vAlign w:val="bottom"/>
          </w:tcPr>
          <w:p>
            <w:pPr>
              <w:spacing w:after="0"/>
              <w:rPr>
                <w:sz w:val="15"/>
                <w:szCs w:val="15"/>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Voting</w:t>
            </w: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Voting</w:t>
            </w:r>
          </w:p>
        </w:tc>
      </w:tr>
      <w:tr>
        <w:trPr>
          <w:trHeight w:val="203"/>
        </w:trPr>
        <w:tc>
          <w:tcPr>
            <w:tcW w:w="5940" w:type="dxa"/>
            <w:vAlign w:val="bottom"/>
          </w:tcPr>
          <w:p>
            <w:pPr>
              <w:spacing w:after="0"/>
              <w:rPr>
                <w:sz w:val="17"/>
                <w:szCs w:val="17"/>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34"/>
        </w:trPr>
        <w:tc>
          <w:tcPr>
            <w:tcW w:w="59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As at January 1, 2022</w:t>
            </w:r>
          </w:p>
        </w:tc>
        <w:tc>
          <w:tcPr>
            <w:tcW w:w="15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201,768,312</w:t>
            </w:r>
          </w:p>
        </w:tc>
        <w:tc>
          <w:tcPr>
            <w:tcW w:w="18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38,531</w:t>
            </w:r>
          </w:p>
        </w:tc>
        <w:tc>
          <w:tcPr>
            <w:tcW w:w="18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285,031</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under business combinations and investments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204,036</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Distribution of contingent consideration</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667,080</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upon exercise of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441,454</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Issuances of shares upon vesting of RSUs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433,341</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Shares issued for settlement of business obligation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142,952</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Exchange of shares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3,334,100</w:t>
            </w:r>
          </w:p>
        </w:tc>
        <w:tc>
          <w:tcPr>
            <w:tcW w:w="180" w:type="dxa"/>
            <w:vAlign w:val="bottom"/>
            <w:shd w:val="clear" w:color="auto" w:fill="E6E6E6"/>
          </w:tcPr>
          <w:p>
            <w:pPr>
              <w:spacing w:after="0"/>
              <w:rPr>
                <w:sz w:val="22"/>
                <w:szCs w:val="22"/>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(33,341)</w:t>
            </w:r>
          </w:p>
        </w:tc>
      </w:tr>
      <w:tr>
        <w:trPr>
          <w:trHeight w:val="214"/>
        </w:trPr>
        <w:tc>
          <w:tcPr>
            <w:tcW w:w="5940" w:type="dxa"/>
            <w:vAlign w:val="bottom"/>
            <w:tcBorders>
              <w:top w:val="single" w:sz="8" w:color="E6E6E6"/>
            </w:tcBorders>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As at December 31, 2022</w:t>
            </w:r>
          </w:p>
        </w:tc>
        <w:tc>
          <w:tcPr>
            <w:tcW w:w="15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206,991,275</w:t>
            </w:r>
          </w:p>
        </w:tc>
        <w:tc>
          <w:tcPr>
            <w:tcW w:w="180" w:type="dxa"/>
            <w:vAlign w:val="bottom"/>
            <w:tcBorders>
              <w:top w:val="single" w:sz="8" w:color="E6E6E6"/>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38,531</w:t>
            </w:r>
          </w:p>
        </w:tc>
        <w:tc>
          <w:tcPr>
            <w:tcW w:w="180" w:type="dxa"/>
            <w:vAlign w:val="bottom"/>
            <w:tcBorders>
              <w:top w:val="single" w:sz="8" w:color="E6E6E6"/>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b w:val="1"/>
                <w:bCs w:val="1"/>
                <w:color w:val="auto"/>
              </w:rPr>
              <w:t>251,690</w:t>
            </w:r>
          </w:p>
        </w:tc>
      </w:tr>
      <w:tr>
        <w:trPr>
          <w:trHeight w:val="20"/>
        </w:trPr>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9"/>
        </w:trPr>
        <w:tc>
          <w:tcPr>
            <w:tcW w:w="5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As at January 1, 2023</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206,991,275</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38,531</w:t>
            </w:r>
          </w:p>
        </w:tc>
        <w:tc>
          <w:tcPr>
            <w:tcW w:w="18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251,690</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of contingent consideration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1,614,871</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Distribution of deferred shares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680,089</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upon exercise of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477,545</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Issuances of shares upon vesting of RSUs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451,138</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Repurchase of Subordinate Voting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(3,843,126)</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Exchange of shares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3,500,000</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(35,000)</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at December 31, 2023</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209,871,792</w:t>
            </w:r>
          </w:p>
        </w:tc>
        <w:tc>
          <w:tcPr>
            <w:tcW w:w="1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38,531</w:t>
            </w:r>
          </w:p>
        </w:tc>
        <w:tc>
          <w:tcPr>
            <w:tcW w:w="18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216,690</w:t>
            </w:r>
          </w:p>
        </w:tc>
      </w:tr>
      <w:tr>
        <w:trPr>
          <w:trHeight w:val="20"/>
        </w:trPr>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9"/>
        </w:trPr>
        <w:tc>
          <w:tcPr>
            <w:tcW w:w="59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As at January 1, 2024</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209,871,792</w:t>
            </w:r>
          </w:p>
        </w:tc>
        <w:tc>
          <w:tcPr>
            <w:tcW w:w="1680" w:type="dxa"/>
            <w:vAlign w:val="bottom"/>
            <w:gridSpan w:val="2"/>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38,531</w:t>
            </w:r>
          </w:p>
        </w:tc>
        <w:tc>
          <w:tcPr>
            <w:tcW w:w="180" w:type="dxa"/>
            <w:vAlign w:val="bottom"/>
            <w:shd w:val="clear" w:color="auto" w:fill="E6E6E6"/>
          </w:tcPr>
          <w:p>
            <w:pPr>
              <w:spacing w:after="0"/>
              <w:rPr>
                <w:sz w:val="21"/>
                <w:szCs w:val="21"/>
                <w:color w:val="auto"/>
              </w:rPr>
            </w:pP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216,690</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Distribution of contingent consideration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1,250,000</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Distribution of deferred shares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309,337</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shares upon exercise of warrants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35,540</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Issuance of shares upon exercise of options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1,504,764</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Issuances of shares upon vesting of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1,037,812</w:t>
            </w:r>
          </w:p>
        </w:tc>
        <w:tc>
          <w:tcPr>
            <w:tcW w:w="18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Repurchase of Subordinate Voting Shares</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(3,972,000)</w:t>
            </w:r>
          </w:p>
        </w:tc>
        <w:tc>
          <w:tcPr>
            <w:tcW w:w="180" w:type="dxa"/>
            <w:vAlign w:val="bottom"/>
            <w:shd w:val="clear" w:color="auto" w:fill="E6E6E6"/>
          </w:tcPr>
          <w:p>
            <w:pPr>
              <w:spacing w:after="0"/>
              <w:rPr>
                <w:sz w:val="21"/>
                <w:szCs w:val="21"/>
                <w:color w:val="auto"/>
              </w:rPr>
            </w:pPr>
          </w:p>
        </w:tc>
        <w:tc>
          <w:tcPr>
            <w:tcW w:w="1680" w:type="dxa"/>
            <w:vAlign w:val="bottom"/>
            <w:gridSpan w:val="2"/>
            <w:shd w:val="clear" w:color="auto" w:fill="E6E6E6"/>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Exchange of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1,090,800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34"/>
        </w:trPr>
        <w:tc>
          <w:tcPr>
            <w:tcW w:w="594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As at December 31, 2024</w:t>
            </w:r>
          </w:p>
        </w:tc>
        <w:tc>
          <w:tcPr>
            <w:tcW w:w="15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211,128,045</w:t>
            </w:r>
          </w:p>
        </w:tc>
        <w:tc>
          <w:tcPr>
            <w:tcW w:w="18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37,623</w:t>
            </w:r>
          </w:p>
        </w:tc>
        <w:tc>
          <w:tcPr>
            <w:tcW w:w="180" w:type="dxa"/>
            <w:vAlign w:val="bottom"/>
            <w:tcBorders>
              <w:top w:val="single" w:sz="8" w:color="E6E6E6"/>
            </w:tcBorders>
            <w:shd w:val="clear" w:color="auto" w:fill="E6E6E6"/>
          </w:tcPr>
          <w:p>
            <w:pPr>
              <w:spacing w:after="0"/>
              <w:rPr>
                <w:sz w:val="20"/>
                <w:szCs w:val="20"/>
                <w:color w:val="auto"/>
              </w:rPr>
            </w:pPr>
          </w:p>
        </w:tc>
        <w:tc>
          <w:tcPr>
            <w:tcW w:w="1500" w:type="dxa"/>
            <w:vAlign w:val="bottom"/>
            <w:tcBorders>
              <w:top w:val="single" w:sz="8" w:color="auto"/>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206,690</w:t>
            </w:r>
          </w:p>
        </w:tc>
      </w:tr>
      <w:tr>
        <w:trPr>
          <w:trHeight w:val="20"/>
        </w:trPr>
        <w:tc>
          <w:tcPr>
            <w:tcW w:w="5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31" w:lineRule="exact"/>
        <w:rPr>
          <w:sz w:val="20"/>
          <w:szCs w:val="20"/>
          <w:color w:val="auto"/>
        </w:rPr>
      </w:pPr>
    </w:p>
    <w:p>
      <w:pPr>
        <w:ind w:left="1440" w:hanging="765"/>
        <w:spacing w:after="0"/>
        <w:tabs>
          <w:tab w:leader="none" w:pos="1440" w:val="left"/>
        </w:tabs>
        <w:numPr>
          <w:ilvl w:val="0"/>
          <w:numId w:val="10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Issuance of Shares Under Business Combinations and Investments</w:t>
      </w:r>
    </w:p>
    <w:p>
      <w:pPr>
        <w:spacing w:after="0" w:line="122" w:lineRule="exact"/>
        <w:rPr>
          <w:rFonts w:ascii="Times New Roman" w:cs="Times New Roman" w:eastAsia="Times New Roman" w:hAnsi="Times New Roman"/>
          <w:sz w:val="20"/>
          <w:szCs w:val="20"/>
          <w:b w:val="1"/>
          <w:bCs w:val="1"/>
          <w:i w:val="1"/>
          <w:iCs w:val="1"/>
          <w:color w:val="auto"/>
        </w:rPr>
      </w:pPr>
    </w:p>
    <w:p>
      <w:pPr>
        <w:ind w:left="860"/>
        <w:spacing w:after="0"/>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i w:val="1"/>
          <w:iCs w:val="1"/>
          <w:color w:val="auto"/>
        </w:rPr>
        <w:t>ILDISP, LLC</w:t>
      </w:r>
    </w:p>
    <w:p>
      <w:pPr>
        <w:spacing w:after="0" w:line="118" w:lineRule="exact"/>
        <w:rPr>
          <w:sz w:val="20"/>
          <w:szCs w:val="20"/>
          <w:color w:val="auto"/>
        </w:rPr>
      </w:pPr>
    </w:p>
    <w:p>
      <w:pPr>
        <w:ind w:left="860" w:right="80"/>
        <w:spacing w:after="0" w:line="251" w:lineRule="auto"/>
        <w:rPr>
          <w:sz w:val="20"/>
          <w:szCs w:val="20"/>
          <w:color w:val="auto"/>
        </w:rPr>
      </w:pPr>
      <w:r>
        <w:rPr>
          <w:rFonts w:ascii="Times New Roman" w:cs="Times New Roman" w:eastAsia="Times New Roman" w:hAnsi="Times New Roman"/>
          <w:sz w:val="20"/>
          <w:szCs w:val="20"/>
          <w:color w:val="auto"/>
        </w:rPr>
        <w:t>On March 1, 2022, the Company issued 204,036 Subordinate Voting Shares with a value of approximately $3,785 thousand, based on a 20 consecutive day volume weighted average price (“VWAP</w:t>
      </w:r>
      <w:r>
        <w:rPr>
          <w:rFonts w:ascii="Times New Roman" w:cs="Times New Roman" w:eastAsia="Times New Roman" w:hAnsi="Times New Roman"/>
          <w:sz w:val="24"/>
          <w:szCs w:val="24"/>
          <w:color w:val="auto"/>
        </w:rPr>
        <w:t>”)</w:t>
      </w:r>
      <w:r>
        <w:rPr>
          <w:rFonts w:ascii="Times New Roman" w:cs="Times New Roman" w:eastAsia="Times New Roman" w:hAnsi="Times New Roman"/>
          <w:sz w:val="20"/>
          <w:szCs w:val="20"/>
          <w:color w:val="auto"/>
        </w:rPr>
        <w:t>, in connection with the Company’s acquisition of the remaining ownership interests in two Illinois-based retail stores. The shares issued resulted in an increase in the Company’s share capital and a corresponding increase in the net assets acquired.</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10800"/>
          </w:cols>
          <w:pgMar w:left="720" w:top="696" w:right="720" w:bottom="186"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440" w:hanging="820"/>
        <w:spacing w:after="0"/>
        <w:tabs>
          <w:tab w:leader="none" w:pos="1440" w:val="left"/>
        </w:tabs>
        <w:numPr>
          <w:ilvl w:val="2"/>
          <w:numId w:val="10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Distribution of Contingent Consideration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-436245</wp:posOffset>
                </wp:positionV>
                <wp:extent cx="6894830"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4.3499pt" to="541.45pt,-34.3499pt" o:allowincell="f" strokecolor="#000000" strokeweight="0.75pt"/>
            </w:pict>
          </mc:Fallback>
        </mc:AlternateContent>
      </w:r>
    </w:p>
    <w:p>
      <w:pPr>
        <w:spacing w:after="0" w:line="33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i w:val="1"/>
          <w:iCs w:val="1"/>
          <w:color w:val="auto"/>
        </w:rPr>
        <w:t>Dharma Pharmaceuticals, LLC</w:t>
      </w:r>
    </w:p>
    <w:p>
      <w:pPr>
        <w:spacing w:after="0" w:line="228" w:lineRule="exact"/>
        <w:rPr>
          <w:sz w:val="20"/>
          <w:szCs w:val="20"/>
          <w:color w:val="auto"/>
        </w:rPr>
      </w:pPr>
    </w:p>
    <w:p>
      <w:pPr>
        <w:ind w:left="860" w:right="40"/>
        <w:spacing w:after="0" w:line="249" w:lineRule="auto"/>
        <w:rPr>
          <w:sz w:val="20"/>
          <w:szCs w:val="20"/>
          <w:color w:val="auto"/>
        </w:rPr>
      </w:pPr>
      <w:r>
        <w:rPr>
          <w:rFonts w:ascii="Times New Roman" w:cs="Times New Roman" w:eastAsia="Times New Roman" w:hAnsi="Times New Roman"/>
          <w:sz w:val="20"/>
          <w:szCs w:val="20"/>
          <w:color w:val="auto"/>
        </w:rPr>
        <w:t>In connection with the Company’s 2021 acquisition of Dharma Pharmaceuticals, LLC (“Dharma”), the purchase agreement included contingent consideration of up to $65,000 thousand in Subordinate Voting Shares of Green Thumb, which was dependent upon 1) the successful opening of five retail stores in the Virginia area within the first three years of following the signing of the agreement and 2) the legal sale of adult-use cannabis in a retail store on or before January 1, 2025 (the “Recreational Sales Milestone”).</w:t>
      </w:r>
    </w:p>
    <w:p>
      <w:pPr>
        <w:spacing w:after="0" w:line="1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The following table provides an overview of store count, share quantities, and the fair value of shares at the issuance date: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Dharma Pharmaceuticals, LLC</w:t>
      </w:r>
    </w:p>
    <w:p>
      <w:pPr>
        <w:spacing w:after="0" w:line="23" w:lineRule="exact"/>
        <w:rPr>
          <w:sz w:val="20"/>
          <w:szCs w:val="20"/>
          <w:color w:val="auto"/>
        </w:rPr>
      </w:pPr>
    </w:p>
    <w:tbl>
      <w:tblPr>
        <w:tblLayout w:type="fixed"/>
        <w:tblInd w:w="1080" w:type="dxa"/>
        <w:tblCellMar>
          <w:top w:w="0" w:type="dxa"/>
          <w:left w:w="0" w:type="dxa"/>
          <w:bottom w:w="0" w:type="dxa"/>
          <w:right w:w="0" w:type="dxa"/>
        </w:tblCellMar>
      </w:tblPr>
      <w:tr>
        <w:trPr>
          <w:trHeight w:val="196"/>
        </w:trPr>
        <w:tc>
          <w:tcPr>
            <w:tcW w:w="23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Date of issuance</w:t>
            </w:r>
          </w:p>
        </w:tc>
        <w:tc>
          <w:tcPr>
            <w:tcW w:w="18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 of stores opened</w:t>
            </w:r>
          </w:p>
        </w:tc>
        <w:tc>
          <w:tcPr>
            <w:tcW w:w="2660" w:type="dxa"/>
            <w:vAlign w:val="bottom"/>
            <w:tcBorders>
              <w:top w:val="single" w:sz="8" w:color="auto"/>
            </w:tcBorders>
          </w:tcPr>
          <w:p>
            <w:pPr>
              <w:jc w:val="right"/>
              <w:ind w:right="320"/>
              <w:spacing w:after="0" w:line="197" w:lineRule="exact"/>
              <w:rPr>
                <w:sz w:val="20"/>
                <w:szCs w:val="20"/>
                <w:color w:val="auto"/>
              </w:rPr>
            </w:pPr>
            <w:r>
              <w:rPr>
                <w:rFonts w:ascii="Times New Roman" w:cs="Times New Roman" w:eastAsia="Times New Roman" w:hAnsi="Times New Roman"/>
                <w:sz w:val="20"/>
                <w:szCs w:val="20"/>
                <w:b w:val="1"/>
                <w:bCs w:val="1"/>
                <w:color w:val="auto"/>
              </w:rPr>
              <w:t>Number of Subordinate</w:t>
            </w:r>
          </w:p>
        </w:tc>
        <w:tc>
          <w:tcPr>
            <w:tcW w:w="1760" w:type="dxa"/>
            <w:vAlign w:val="bottom"/>
            <w:tcBorders>
              <w:top w:val="single" w:sz="8" w:color="auto"/>
            </w:tcBorders>
          </w:tcPr>
          <w:p>
            <w:pPr>
              <w:jc w:val="right"/>
              <w:ind w:right="320"/>
              <w:spacing w:after="0" w:line="197" w:lineRule="exact"/>
              <w:rPr>
                <w:sz w:val="20"/>
                <w:szCs w:val="20"/>
                <w:color w:val="auto"/>
              </w:rPr>
            </w:pPr>
            <w:r>
              <w:rPr>
                <w:rFonts w:ascii="Times New Roman" w:cs="Times New Roman" w:eastAsia="Times New Roman" w:hAnsi="Times New Roman"/>
                <w:sz w:val="20"/>
                <w:szCs w:val="20"/>
                <w:b w:val="1"/>
                <w:bCs w:val="1"/>
                <w:color w:val="auto"/>
              </w:rPr>
              <w:t>Fair Value in</w:t>
            </w:r>
          </w:p>
        </w:tc>
        <w:tc>
          <w:tcPr>
            <w:tcW w:w="0" w:type="dxa"/>
            <w:vAlign w:val="bottom"/>
          </w:tcPr>
          <w:p>
            <w:pPr>
              <w:spacing w:after="0"/>
              <w:rPr>
                <w:sz w:val="1"/>
                <w:szCs w:val="1"/>
                <w:color w:val="auto"/>
              </w:rPr>
            </w:pPr>
          </w:p>
        </w:tc>
      </w:tr>
      <w:tr>
        <w:trPr>
          <w:trHeight w:val="159"/>
        </w:trPr>
        <w:tc>
          <w:tcPr>
            <w:tcW w:w="238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2660" w:type="dxa"/>
            <w:vAlign w:val="bottom"/>
            <w:vMerge w:val="restart"/>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Voting Shares issued</w:t>
            </w:r>
          </w:p>
        </w:tc>
        <w:tc>
          <w:tcPr>
            <w:tcW w:w="1760" w:type="dxa"/>
            <w:vAlign w:val="bottom"/>
            <w:vMerge w:val="restart"/>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0" w:type="dxa"/>
            <w:vAlign w:val="bottom"/>
          </w:tcPr>
          <w:p>
            <w:pPr>
              <w:spacing w:after="0"/>
              <w:rPr>
                <w:sz w:val="1"/>
                <w:szCs w:val="1"/>
                <w:color w:val="auto"/>
              </w:rPr>
            </w:pPr>
          </w:p>
        </w:tc>
      </w:tr>
      <w:tr>
        <w:trPr>
          <w:trHeight w:val="94"/>
        </w:trPr>
        <w:tc>
          <w:tcPr>
            <w:tcW w:w="238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vMerge w:val="continue"/>
          </w:tcPr>
          <w:p>
            <w:pPr>
              <w:spacing w:after="0"/>
              <w:rPr>
                <w:sz w:val="8"/>
                <w:szCs w:val="8"/>
                <w:color w:val="auto"/>
              </w:rPr>
            </w:pPr>
          </w:p>
        </w:tc>
        <w:tc>
          <w:tcPr>
            <w:tcW w:w="1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380" w:type="dxa"/>
            <w:vAlign w:val="bottom"/>
            <w:shd w:val="clear" w:color="auto" w:fill="E6E6E6"/>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August 16, 2021</w:t>
            </w:r>
          </w:p>
        </w:tc>
        <w:tc>
          <w:tcPr>
            <w:tcW w:w="1840" w:type="dxa"/>
            <w:vAlign w:val="bottom"/>
            <w:shd w:val="clear" w:color="auto" w:fill="E6E6E6"/>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1</w:t>
            </w:r>
          </w:p>
        </w:tc>
        <w:tc>
          <w:tcPr>
            <w:tcW w:w="2660" w:type="dxa"/>
            <w:vAlign w:val="bottom"/>
            <w:shd w:val="clear" w:color="auto" w:fill="E6E6E6"/>
          </w:tcPr>
          <w:p>
            <w:pPr>
              <w:jc w:val="right"/>
              <w:ind w:right="120"/>
              <w:spacing w:after="0" w:line="220" w:lineRule="exact"/>
              <w:rPr>
                <w:sz w:val="20"/>
                <w:szCs w:val="20"/>
                <w:color w:val="auto"/>
              </w:rPr>
            </w:pPr>
            <w:r>
              <w:rPr>
                <w:rFonts w:ascii="Times New Roman" w:cs="Times New Roman" w:eastAsia="Times New Roman" w:hAnsi="Times New Roman"/>
                <w:sz w:val="20"/>
                <w:szCs w:val="20"/>
                <w:color w:val="auto"/>
              </w:rPr>
              <w:t>199,993</w:t>
            </w:r>
          </w:p>
        </w:tc>
        <w:tc>
          <w:tcPr>
            <w:tcW w:w="17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$5,949</w:t>
            </w:r>
          </w:p>
        </w:tc>
        <w:tc>
          <w:tcPr>
            <w:tcW w:w="0" w:type="dxa"/>
            <w:vAlign w:val="bottom"/>
          </w:tcPr>
          <w:p>
            <w:pPr>
              <w:spacing w:after="0"/>
              <w:rPr>
                <w:sz w:val="1"/>
                <w:szCs w:val="1"/>
                <w:color w:val="auto"/>
              </w:rPr>
            </w:pPr>
          </w:p>
        </w:tc>
      </w:tr>
      <w:tr>
        <w:trPr>
          <w:trHeight w:val="230"/>
        </w:trPr>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February 25, 2022</w:t>
            </w:r>
          </w:p>
        </w:tc>
        <w:tc>
          <w:tcPr>
            <w:tcW w:w="18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2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667,080</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13,111</w:t>
            </w:r>
          </w:p>
        </w:tc>
        <w:tc>
          <w:tcPr>
            <w:tcW w:w="0" w:type="dxa"/>
            <w:vAlign w:val="bottom"/>
          </w:tcPr>
          <w:p>
            <w:pPr>
              <w:spacing w:after="0"/>
              <w:rPr>
                <w:sz w:val="1"/>
                <w:szCs w:val="1"/>
                <w:color w:val="auto"/>
              </w:rPr>
            </w:pPr>
          </w:p>
        </w:tc>
      </w:tr>
      <w:tr>
        <w:trPr>
          <w:trHeight w:val="230"/>
        </w:trPr>
        <w:tc>
          <w:tcPr>
            <w:tcW w:w="238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June 1, 2023</w:t>
            </w:r>
          </w:p>
        </w:tc>
        <w:tc>
          <w:tcPr>
            <w:tcW w:w="184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660" w:type="dxa"/>
            <w:vAlign w:val="bottom"/>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822,447</w:t>
            </w:r>
          </w:p>
        </w:tc>
        <w:tc>
          <w:tcPr>
            <w:tcW w:w="17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6,070</w:t>
            </w:r>
          </w:p>
        </w:tc>
        <w:tc>
          <w:tcPr>
            <w:tcW w:w="0" w:type="dxa"/>
            <w:vAlign w:val="bottom"/>
          </w:tcPr>
          <w:p>
            <w:pPr>
              <w:spacing w:after="0"/>
              <w:rPr>
                <w:sz w:val="1"/>
                <w:szCs w:val="1"/>
                <w:color w:val="auto"/>
              </w:rPr>
            </w:pPr>
          </w:p>
        </w:tc>
      </w:tr>
      <w:tr>
        <w:trPr>
          <w:trHeight w:val="230"/>
        </w:trPr>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10, 2023</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1</w:t>
            </w:r>
          </w:p>
        </w:tc>
        <w:tc>
          <w:tcPr>
            <w:tcW w:w="26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792,424</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6,454</w:t>
            </w:r>
          </w:p>
        </w:tc>
        <w:tc>
          <w:tcPr>
            <w:tcW w:w="0" w:type="dxa"/>
            <w:vAlign w:val="bottom"/>
          </w:tcPr>
          <w:p>
            <w:pPr>
              <w:spacing w:after="0"/>
              <w:rPr>
                <w:sz w:val="1"/>
                <w:szCs w:val="1"/>
                <w:color w:val="auto"/>
              </w:rPr>
            </w:pPr>
          </w:p>
        </w:tc>
      </w:tr>
      <w:tr>
        <w:trPr>
          <w:trHeight w:val="220"/>
        </w:trPr>
        <w:tc>
          <w:tcPr>
            <w:tcW w:w="23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184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5</w:t>
            </w:r>
          </w:p>
        </w:tc>
        <w:tc>
          <w:tcPr>
            <w:tcW w:w="2660" w:type="dxa"/>
            <w:vAlign w:val="bottom"/>
            <w:tcBorders>
              <w:bottom w:val="single" w:sz="8" w:color="auto"/>
            </w:tcBorders>
          </w:tcPr>
          <w:p>
            <w:pPr>
              <w:jc w:val="right"/>
              <w:ind w:right="120"/>
              <w:spacing w:after="0" w:line="220" w:lineRule="exact"/>
              <w:rPr>
                <w:sz w:val="20"/>
                <w:szCs w:val="20"/>
                <w:color w:val="auto"/>
              </w:rPr>
            </w:pPr>
            <w:r>
              <w:rPr>
                <w:rFonts w:ascii="Times New Roman" w:cs="Times New Roman" w:eastAsia="Times New Roman" w:hAnsi="Times New Roman"/>
                <w:sz w:val="20"/>
                <w:szCs w:val="20"/>
                <w:b w:val="1"/>
                <w:bCs w:val="1"/>
                <w:color w:val="auto"/>
              </w:rPr>
              <w:t>2,481,944</w:t>
            </w:r>
          </w:p>
        </w:tc>
        <w:tc>
          <w:tcPr>
            <w:tcW w:w="17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$31,584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860" w:right="900"/>
        <w:spacing w:after="0" w:line="258" w:lineRule="auto"/>
        <w:rPr>
          <w:sz w:val="20"/>
          <w:szCs w:val="20"/>
          <w:color w:val="auto"/>
        </w:rPr>
      </w:pPr>
      <w:r>
        <w:rPr>
          <w:rFonts w:ascii="Times New Roman" w:cs="Times New Roman" w:eastAsia="Times New Roman" w:hAnsi="Times New Roman"/>
          <w:sz w:val="20"/>
          <w:szCs w:val="20"/>
          <w:color w:val="auto"/>
        </w:rPr>
        <w:t>As of December 31, 2023, the estimated fair value of the remaining contingent consideration associated with the Recreational Sales Milestone, which was valued based on a probability weighting of the potential payments, was $33,250 thousand and was included as a non-current liability on the Company’s consolidated balance sheets.</w:t>
      </w:r>
    </w:p>
    <w:p>
      <w:pPr>
        <w:spacing w:after="0" w:line="178" w:lineRule="exact"/>
        <w:rPr>
          <w:sz w:val="20"/>
          <w:szCs w:val="20"/>
          <w:color w:val="auto"/>
        </w:rPr>
      </w:pPr>
    </w:p>
    <w:p>
      <w:pPr>
        <w:ind w:left="860"/>
        <w:spacing w:after="0" w:line="245" w:lineRule="auto"/>
        <w:rPr>
          <w:sz w:val="20"/>
          <w:szCs w:val="20"/>
          <w:color w:val="auto"/>
        </w:rPr>
      </w:pPr>
      <w:r>
        <w:rPr>
          <w:rFonts w:ascii="Times New Roman" w:cs="Times New Roman" w:eastAsia="Times New Roman" w:hAnsi="Times New Roman"/>
          <w:sz w:val="20"/>
          <w:szCs w:val="20"/>
          <w:color w:val="auto"/>
        </w:rPr>
        <w:t>On February 9, 2024, the Company and the former owners of Dharma agreed to amend the conditions as set forth in the original purchase agreement in relation to the Recreational Sales Milestone (the “Amended Agreement”). Under the Amended Agreement, the former owners waived their right to the Recreational Sales Milestone in exchange for the delivery of 1,250,000 Subordinate Voting Shares of Green Thumb. As a result, the Company recorded a gain of $15,991 thousand within selling, general, and administrative expenses on the consolidated statement of operations. On February 15, 2024, the Company distributed the shares to the former owners of Dharma, which had a fair market value of $17,259 thousand, which was based on the value of the shares as traded on the Canadian Securities Exchange on the date of distribution. As of such date, the balance of contingent consideration was fully extinguished.</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10800"/>
          </w:cols>
          <w:pgMar w:left="720" w:top="696" w:right="720" w:bottom="186"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27" w:lineRule="exact"/>
        <w:rPr>
          <w:sz w:val="20"/>
          <w:szCs w:val="20"/>
          <w:color w:val="auto"/>
        </w:rPr>
      </w:pPr>
    </w:p>
    <w:p>
      <w:pPr>
        <w:ind w:left="980" w:hanging="490"/>
        <w:spacing w:after="0"/>
        <w:tabs>
          <w:tab w:leader="none" w:pos="980"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440" w:hanging="876"/>
        <w:spacing w:after="0"/>
        <w:tabs>
          <w:tab w:leader="none" w:pos="1440" w:val="left"/>
        </w:tabs>
        <w:numPr>
          <w:ilvl w:val="1"/>
          <w:numId w:val="10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Distribution of Deferred Shares</w:t>
      </w:r>
    </w:p>
    <w:p>
      <w:pPr>
        <w:spacing w:after="0" w:line="120" w:lineRule="exact"/>
        <w:rPr>
          <w:sz w:val="20"/>
          <w:szCs w:val="20"/>
          <w:color w:val="auto"/>
        </w:rPr>
      </w:pPr>
    </w:p>
    <w:p>
      <w:pPr>
        <w:ind w:left="820" w:right="180"/>
        <w:spacing w:after="0" w:line="258" w:lineRule="auto"/>
        <w:rPr>
          <w:sz w:val="20"/>
          <w:szCs w:val="20"/>
          <w:color w:val="auto"/>
        </w:rPr>
      </w:pPr>
      <w:r>
        <w:rPr>
          <w:rFonts w:ascii="Times New Roman" w:cs="Times New Roman" w:eastAsia="Times New Roman" w:hAnsi="Times New Roman"/>
          <w:sz w:val="20"/>
          <w:szCs w:val="20"/>
          <w:color w:val="auto"/>
        </w:rPr>
        <w:t>As part of the consideration exchanged for acquisitions completed in previous periods, the Company deferred the distribution of Subordinate Voting Shares to secure the Company’s indemnification rights associated with post-acquisition costs.</w:t>
      </w:r>
    </w:p>
    <w:p>
      <w:pPr>
        <w:spacing w:after="0" w:line="6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following table summarizes the activity during the years ended December 31, 2024, 2023 and 2022: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Related Acquisition</w:t>
            </w:r>
          </w:p>
        </w:tc>
        <w:tc>
          <w:tcPr>
            <w:tcW w:w="1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Dharma</w:t>
            </w:r>
          </w:p>
        </w:tc>
        <w:tc>
          <w:tcPr>
            <w:tcW w:w="20" w:type="dxa"/>
            <w:vAlign w:val="bottom"/>
          </w:tcPr>
          <w:p>
            <w:pPr>
              <w:spacing w:after="0"/>
              <w:rPr>
                <w:sz w:val="14"/>
                <w:szCs w:val="14"/>
                <w:color w:val="auto"/>
              </w:rPr>
            </w:pPr>
          </w:p>
        </w:tc>
        <w:tc>
          <w:tcPr>
            <w:tcW w:w="1600" w:type="dxa"/>
            <w:vAlign w:val="bottom"/>
          </w:tcPr>
          <w:p>
            <w:pPr>
              <w:jc w:val="center"/>
              <w:ind w:right="2"/>
              <w:spacing w:after="0" w:line="169" w:lineRule="exact"/>
              <w:rPr>
                <w:sz w:val="20"/>
                <w:szCs w:val="20"/>
                <w:color w:val="auto"/>
              </w:rPr>
            </w:pPr>
            <w:r>
              <w:rPr>
                <w:rFonts w:ascii="Times New Roman" w:cs="Times New Roman" w:eastAsia="Times New Roman" w:hAnsi="Times New Roman"/>
                <w:sz w:val="16"/>
                <w:szCs w:val="16"/>
                <w:b w:val="1"/>
                <w:bCs w:val="1"/>
                <w:color w:val="auto"/>
              </w:rPr>
              <w:t>Mobley Pain</w:t>
            </w:r>
          </w:p>
        </w:tc>
        <w:tc>
          <w:tcPr>
            <w:tcW w:w="10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0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9"/>
              </w:rPr>
              <w:t>LeafLine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7"/>
                <w:szCs w:val="7"/>
                <w:color w:val="auto"/>
              </w:rPr>
            </w:pPr>
          </w:p>
        </w:tc>
        <w:tc>
          <w:tcPr>
            <w:tcW w:w="1400" w:type="dxa"/>
            <w:vAlign w:val="bottom"/>
            <w:vMerge w:val="restart"/>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Liberty</w:t>
            </w:r>
          </w:p>
        </w:tc>
        <w:tc>
          <w:tcPr>
            <w:tcW w:w="13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rPr>
              <w:t>Management and</w:t>
            </w:r>
          </w:p>
        </w:tc>
        <w:tc>
          <w:tcPr>
            <w:tcW w:w="102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GreenStar</w:t>
            </w:r>
          </w:p>
        </w:tc>
        <w:tc>
          <w:tcPr>
            <w:tcW w:w="122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3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Health and</w:t>
            </w:r>
          </w:p>
        </w:tc>
        <w:tc>
          <w:tcPr>
            <w:tcW w:w="1020" w:type="dxa"/>
            <w:vAlign w:val="bottom"/>
            <w:vMerge w:val="continue"/>
          </w:tcPr>
          <w:p>
            <w:pPr>
              <w:spacing w:after="0"/>
              <w:rPr>
                <w:sz w:val="8"/>
                <w:szCs w:val="8"/>
                <w:color w:val="auto"/>
              </w:rPr>
            </w:pPr>
          </w:p>
        </w:tc>
        <w:tc>
          <w:tcPr>
            <w:tcW w:w="86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92"/>
        </w:trPr>
        <w:tc>
          <w:tcPr>
            <w:tcW w:w="23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Pharmaceuticals,</w:t>
            </w:r>
          </w:p>
        </w:tc>
        <w:tc>
          <w:tcPr>
            <w:tcW w:w="20" w:type="dxa"/>
            <w:vAlign w:val="bottom"/>
          </w:tcPr>
          <w:p>
            <w:pPr>
              <w:spacing w:after="0"/>
              <w:rPr>
                <w:sz w:val="7"/>
                <w:szCs w:val="7"/>
                <w:color w:val="auto"/>
              </w:rPr>
            </w:pPr>
          </w:p>
        </w:tc>
        <w:tc>
          <w:tcPr>
            <w:tcW w:w="160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9"/>
              </w:rPr>
              <w:t>Wellness Center, LLC</w:t>
            </w:r>
          </w:p>
        </w:tc>
        <w:tc>
          <w:tcPr>
            <w:tcW w:w="10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20" w:type="dxa"/>
            <w:vAlign w:val="bottom"/>
            <w:vMerge w:val="restart"/>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Industries,</w:t>
            </w: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1400" w:type="dxa"/>
            <w:vAlign w:val="bottom"/>
          </w:tcPr>
          <w:p>
            <w:pPr>
              <w:jc w:val="right"/>
              <w:ind w:right="60"/>
              <w:spacing w:after="0" w:line="168" w:lineRule="exact"/>
              <w:rPr>
                <w:sz w:val="20"/>
                <w:szCs w:val="20"/>
                <w:color w:val="auto"/>
              </w:rPr>
            </w:pPr>
            <w:r>
              <w:rPr>
                <w:rFonts w:ascii="Times New Roman" w:cs="Times New Roman" w:eastAsia="Times New Roman" w:hAnsi="Times New Roman"/>
                <w:sz w:val="16"/>
                <w:szCs w:val="16"/>
                <w:b w:val="1"/>
                <w:bCs w:val="1"/>
                <w:color w:val="auto"/>
              </w:rPr>
              <w:t>Compassion, Inc.</w:t>
            </w:r>
          </w:p>
        </w:tc>
        <w:tc>
          <w:tcPr>
            <w:tcW w:w="13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020" w:type="dxa"/>
            <w:vAlign w:val="bottom"/>
          </w:tcPr>
          <w:p>
            <w:pPr>
              <w:jc w:val="right"/>
              <w:ind w:right="20"/>
              <w:spacing w:after="0" w:line="168" w:lineRule="exact"/>
              <w:rPr>
                <w:sz w:val="20"/>
                <w:szCs w:val="20"/>
                <w:color w:val="auto"/>
              </w:rPr>
            </w:pPr>
            <w:r>
              <w:rPr>
                <w:rFonts w:ascii="Times New Roman" w:cs="Times New Roman" w:eastAsia="Times New Roman" w:hAnsi="Times New Roman"/>
                <w:sz w:val="16"/>
                <w:szCs w:val="16"/>
                <w:b w:val="1"/>
                <w:bCs w:val="1"/>
                <w:color w:val="auto"/>
              </w:rPr>
              <w:t>Herbals, Inc.</w:t>
            </w: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Wellness Center,</w:t>
            </w:r>
          </w:p>
        </w:tc>
        <w:tc>
          <w:tcPr>
            <w:tcW w:w="10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32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LLC</w:t>
            </w:r>
          </w:p>
        </w:tc>
        <w:tc>
          <w:tcPr>
            <w:tcW w:w="20" w:type="dxa"/>
            <w:vAlign w:val="bottom"/>
          </w:tcPr>
          <w:p>
            <w:pPr>
              <w:spacing w:after="0"/>
              <w:rPr>
                <w:sz w:val="9"/>
                <w:szCs w:val="9"/>
                <w:color w:val="auto"/>
              </w:rPr>
            </w:pPr>
          </w:p>
        </w:tc>
        <w:tc>
          <w:tcPr>
            <w:tcW w:w="160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and Canwell</w:t>
            </w:r>
          </w:p>
        </w:tc>
        <w:tc>
          <w:tcPr>
            <w:tcW w:w="1020" w:type="dxa"/>
            <w:vAlign w:val="bottom"/>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020" w:type="dxa"/>
            <w:vAlign w:val="bottom"/>
          </w:tcPr>
          <w:p>
            <w:pPr>
              <w:jc w:val="center"/>
              <w:ind w:right="102"/>
              <w:spacing w:after="0" w:line="107" w:lineRule="exact"/>
              <w:rPr>
                <w:sz w:val="20"/>
                <w:szCs w:val="20"/>
                <w:color w:val="auto"/>
              </w:rPr>
            </w:pPr>
            <w:r>
              <w:rPr>
                <w:rFonts w:ascii="Times New Roman" w:cs="Times New Roman" w:eastAsia="Times New Roman" w:hAnsi="Times New Roman"/>
                <w:sz w:val="12"/>
                <w:szCs w:val="12"/>
                <w:b w:val="1"/>
                <w:bCs w:val="1"/>
                <w:color w:val="auto"/>
              </w:rPr>
              <w:t>LLC</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Processing, LLC</w:t>
            </w:r>
          </w:p>
        </w:tc>
        <w:tc>
          <w:tcPr>
            <w:tcW w:w="10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40" w:type="dxa"/>
            <w:vAlign w:val="bottom"/>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As at January 1, 2022</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216,471</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229,878</w:t>
            </w:r>
          </w:p>
        </w:tc>
        <w:tc>
          <w:tcPr>
            <w:tcW w:w="20" w:type="dxa"/>
            <w:vAlign w:val="bottom"/>
            <w:vMerge w:val="continue"/>
          </w:tcPr>
          <w:p>
            <w:pPr>
              <w:spacing w:after="0"/>
              <w:rPr>
                <w:sz w:val="17"/>
                <w:szCs w:val="17"/>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264,760</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161,306</w:t>
            </w: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1020" w:type="dxa"/>
            <w:vAlign w:val="bottom"/>
            <w:shd w:val="clear" w:color="auto" w:fill="E6E6E6"/>
          </w:tcPr>
          <w:p>
            <w:pPr>
              <w:jc w:val="right"/>
              <w:ind w:right="82"/>
              <w:spacing w:after="0"/>
              <w:rPr>
                <w:sz w:val="20"/>
                <w:szCs w:val="20"/>
                <w:color w:val="auto"/>
              </w:rPr>
            </w:pPr>
            <w:r>
              <w:rPr>
                <w:rFonts w:ascii="Times New Roman" w:cs="Times New Roman" w:eastAsia="Times New Roman" w:hAnsi="Times New Roman"/>
                <w:sz w:val="16"/>
                <w:szCs w:val="16"/>
                <w:color w:val="auto"/>
              </w:rPr>
              <w:t>386,002</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1,320,249</w:t>
            </w:r>
          </w:p>
        </w:tc>
        <w:tc>
          <w:tcPr>
            <w:tcW w:w="0" w:type="dxa"/>
            <w:vAlign w:val="bottom"/>
          </w:tcPr>
          <w:p>
            <w:pPr>
              <w:spacing w:after="0"/>
              <w:rPr>
                <w:sz w:val="1"/>
                <w:szCs w:val="1"/>
                <w:color w:val="auto"/>
              </w:rPr>
            </w:pPr>
          </w:p>
        </w:tc>
      </w:tr>
      <w:tr>
        <w:trPr>
          <w:trHeight w:val="198"/>
        </w:trPr>
        <w:tc>
          <w:tcPr>
            <w:tcW w:w="23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0" w:type="dxa"/>
            <w:vAlign w:val="bottom"/>
          </w:tcPr>
          <w:p>
            <w:pPr>
              <w:spacing w:after="0"/>
              <w:rPr>
                <w:sz w:val="1"/>
                <w:szCs w:val="1"/>
                <w:color w:val="auto"/>
              </w:rPr>
            </w:pPr>
          </w:p>
        </w:tc>
      </w:tr>
      <w:tr>
        <w:trPr>
          <w:trHeight w:val="188"/>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As at December 31, 2022</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214,768</w:t>
            </w:r>
          </w:p>
        </w:tc>
        <w:tc>
          <w:tcPr>
            <w:tcW w:w="1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229,878</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264,760</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161,306</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1020" w:type="dxa"/>
            <w:vAlign w:val="bottom"/>
            <w:tcBorders>
              <w:bottom w:val="single" w:sz="8" w:color="auto"/>
            </w:tcBorders>
            <w:shd w:val="clear" w:color="auto" w:fill="E6E6E6"/>
          </w:tcPr>
          <w:p>
            <w:pPr>
              <w:jc w:val="right"/>
              <w:ind w:right="82"/>
              <w:spacing w:after="0"/>
              <w:rPr>
                <w:sz w:val="20"/>
                <w:szCs w:val="20"/>
                <w:color w:val="auto"/>
              </w:rPr>
            </w:pPr>
            <w:r>
              <w:rPr>
                <w:rFonts w:ascii="Times New Roman" w:cs="Times New Roman" w:eastAsia="Times New Roman" w:hAnsi="Times New Roman"/>
                <w:sz w:val="16"/>
                <w:szCs w:val="16"/>
                <w:color w:val="auto"/>
              </w:rPr>
              <w:t>386,002</w:t>
            </w: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1,318,546</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As at January 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214,768</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229,878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264,760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161,306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386,002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1,318,546</w:t>
            </w:r>
          </w:p>
        </w:tc>
        <w:tc>
          <w:tcPr>
            <w:tcW w:w="0" w:type="dxa"/>
            <w:vAlign w:val="bottom"/>
          </w:tcPr>
          <w:p>
            <w:pPr>
              <w:spacing w:after="0"/>
              <w:rPr>
                <w:sz w:val="1"/>
                <w:szCs w:val="1"/>
                <w:color w:val="auto"/>
              </w:rPr>
            </w:pPr>
          </w:p>
        </w:tc>
      </w:tr>
      <w:tr>
        <w:trPr>
          <w:trHeight w:val="198"/>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Distributed Shares</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(214,768)</w:t>
            </w:r>
          </w:p>
        </w:tc>
        <w:tc>
          <w:tcPr>
            <w:tcW w:w="13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(229,878)</w:t>
            </w:r>
          </w:p>
        </w:tc>
        <w:tc>
          <w:tcPr>
            <w:tcW w:w="20" w:type="dxa"/>
            <w:vAlign w:val="bottom"/>
          </w:tcPr>
          <w:p>
            <w:pPr>
              <w:spacing w:after="0"/>
              <w:rPr>
                <w:sz w:val="17"/>
                <w:szCs w:val="17"/>
                <w:color w:val="auto"/>
              </w:rPr>
            </w:pPr>
          </w:p>
        </w:tc>
        <w:tc>
          <w:tcPr>
            <w:tcW w:w="16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(161,306)</w:t>
            </w:r>
          </w:p>
        </w:tc>
        <w:tc>
          <w:tcPr>
            <w:tcW w:w="1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(61,832)</w:t>
            </w:r>
          </w:p>
        </w:tc>
        <w:tc>
          <w:tcPr>
            <w:tcW w:w="1020" w:type="dxa"/>
            <w:vAlign w:val="bottom"/>
            <w:shd w:val="clear" w:color="auto" w:fill="E6E6E6"/>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(680,089)</w:t>
            </w:r>
          </w:p>
        </w:tc>
        <w:tc>
          <w:tcPr>
            <w:tcW w:w="0" w:type="dxa"/>
            <w:vAlign w:val="bottom"/>
          </w:tcPr>
          <w:p>
            <w:pPr>
              <w:spacing w:after="0"/>
              <w:rPr>
                <w:sz w:val="1"/>
                <w:szCs w:val="1"/>
                <w:color w:val="auto"/>
              </w:rPr>
            </w:pPr>
          </w:p>
        </w:tc>
      </w:tr>
      <w:tr>
        <w:trPr>
          <w:trHeight w:val="198"/>
        </w:trPr>
        <w:tc>
          <w:tcPr>
            <w:tcW w:w="23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(84,122)</w:t>
            </w:r>
          </w:p>
        </w:tc>
        <w:tc>
          <w:tcPr>
            <w:tcW w:w="0" w:type="dxa"/>
            <w:vAlign w:val="bottom"/>
          </w:tcPr>
          <w:p>
            <w:pPr>
              <w:spacing w:after="0"/>
              <w:rPr>
                <w:sz w:val="1"/>
                <w:szCs w:val="1"/>
                <w:color w:val="auto"/>
              </w:rPr>
            </w:pPr>
          </w:p>
        </w:tc>
      </w:tr>
      <w:tr>
        <w:trPr>
          <w:trHeight w:val="188"/>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As at December 31, 2023</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168,333</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E6E6E6"/>
          </w:tcPr>
          <w:p>
            <w:pPr>
              <w:jc w:val="right"/>
              <w:ind w:right="82"/>
              <w:spacing w:after="0"/>
              <w:rPr>
                <w:sz w:val="20"/>
                <w:szCs w:val="20"/>
                <w:color w:val="auto"/>
              </w:rPr>
            </w:pPr>
            <w:r>
              <w:rPr>
                <w:rFonts w:ascii="Times New Roman" w:cs="Times New Roman" w:eastAsia="Times New Roman" w:hAnsi="Times New Roman"/>
                <w:sz w:val="16"/>
                <w:szCs w:val="16"/>
                <w:color w:val="auto"/>
              </w:rPr>
              <w:t>386,002</w:t>
            </w: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554,335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As at January 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168,333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386,002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554,335</w:t>
            </w:r>
          </w:p>
        </w:tc>
        <w:tc>
          <w:tcPr>
            <w:tcW w:w="0" w:type="dxa"/>
            <w:vAlign w:val="bottom"/>
          </w:tcPr>
          <w:p>
            <w:pPr>
              <w:spacing w:after="0"/>
              <w:rPr>
                <w:sz w:val="1"/>
                <w:szCs w:val="1"/>
                <w:color w:val="auto"/>
              </w:rPr>
            </w:pPr>
          </w:p>
        </w:tc>
      </w:tr>
      <w:tr>
        <w:trPr>
          <w:trHeight w:val="198"/>
        </w:trPr>
        <w:tc>
          <w:tcPr>
            <w:tcW w:w="234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Distributed Shares</w:t>
            </w: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E6E6E6"/>
          </w:tcPr>
          <w:p>
            <w:pPr>
              <w:jc w:val="right"/>
              <w:ind w:right="82"/>
              <w:spacing w:after="0"/>
              <w:rPr>
                <w:sz w:val="20"/>
                <w:szCs w:val="20"/>
                <w:color w:val="auto"/>
              </w:rPr>
            </w:pPr>
            <w:r>
              <w:rPr>
                <w:rFonts w:ascii="Times New Roman" w:cs="Times New Roman" w:eastAsia="Times New Roman" w:hAnsi="Times New Roman"/>
                <w:sz w:val="16"/>
                <w:szCs w:val="16"/>
                <w:color w:val="auto"/>
              </w:rPr>
              <w:t>(309,337)</w:t>
            </w:r>
          </w:p>
        </w:tc>
        <w:tc>
          <w:tcPr>
            <w:tcW w:w="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(309,337)</w:t>
            </w:r>
          </w:p>
        </w:tc>
        <w:tc>
          <w:tcPr>
            <w:tcW w:w="0" w:type="dxa"/>
            <w:vAlign w:val="bottom"/>
          </w:tcPr>
          <w:p>
            <w:pPr>
              <w:spacing w:after="0"/>
              <w:rPr>
                <w:sz w:val="1"/>
                <w:szCs w:val="1"/>
                <w:color w:val="auto"/>
              </w:rPr>
            </w:pPr>
          </w:p>
        </w:tc>
      </w:tr>
      <w:tr>
        <w:trPr>
          <w:trHeight w:val="18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As at December 31, 2024</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168,333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76,665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244,998</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820" w:right="1220"/>
        <w:spacing w:after="0" w:line="277" w:lineRule="auto"/>
        <w:rPr>
          <w:sz w:val="20"/>
          <w:szCs w:val="20"/>
          <w:color w:val="auto"/>
        </w:rPr>
      </w:pPr>
      <w:r>
        <w:rPr>
          <w:rFonts w:ascii="Times New Roman" w:cs="Times New Roman" w:eastAsia="Times New Roman" w:hAnsi="Times New Roman"/>
          <w:sz w:val="20"/>
          <w:szCs w:val="20"/>
          <w:color w:val="auto"/>
        </w:rPr>
        <w:t>As of December 31, 2024 and 2023, the Company held deferred shares in the amount of $6,362 thousand and $12,973 thousand, respectively.</w:t>
      </w:r>
    </w:p>
    <w:p>
      <w:pPr>
        <w:spacing w:after="0" w:line="49" w:lineRule="exact"/>
        <w:rPr>
          <w:sz w:val="20"/>
          <w:szCs w:val="20"/>
          <w:color w:val="auto"/>
        </w:rPr>
      </w:pPr>
    </w:p>
    <w:p>
      <w:pPr>
        <w:ind w:left="820" w:right="100"/>
        <w:spacing w:after="0" w:line="249" w:lineRule="auto"/>
        <w:rPr>
          <w:sz w:val="20"/>
          <w:szCs w:val="20"/>
          <w:color w:val="auto"/>
        </w:rPr>
      </w:pPr>
      <w:r>
        <w:rPr>
          <w:rFonts w:ascii="Times New Roman" w:cs="Times New Roman" w:eastAsia="Times New Roman" w:hAnsi="Times New Roman"/>
          <w:sz w:val="20"/>
          <w:szCs w:val="20"/>
          <w:color w:val="auto"/>
        </w:rPr>
        <w:t>As of December 31, 2023, in accordance with the relevant acquisition agreement, a portion of the outstanding deferred shares were cancelled in order to indemnify the Company for post-acquisition costs. As the cancellation of the deferred shares occurred outside of the purchase price allocation measurement period (generally one year from the acquisition date), the Company recorded a gain of $2,784 thousand within selling general and administrative expenses on the Company’s consolidated statements of operations during the year ended December 31, 2023.</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10800"/>
          </w:cols>
          <w:pgMar w:left="720" w:top="696" w:right="720" w:bottom="186"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47" w:lineRule="exact"/>
        <w:rPr>
          <w:rFonts w:ascii="Times New Roman" w:cs="Times New Roman" w:eastAsia="Times New Roman" w:hAnsi="Times New Roman"/>
          <w:sz w:val="20"/>
          <w:szCs w:val="20"/>
          <w:b w:val="1"/>
          <w:bCs w:val="1"/>
          <w:color w:val="auto"/>
        </w:rPr>
      </w:pPr>
    </w:p>
    <w:p>
      <w:pPr>
        <w:ind w:left="980" w:hanging="490"/>
        <w:spacing w:after="0"/>
        <w:tabs>
          <w:tab w:leader="none" w:pos="980" w:val="left"/>
        </w:tabs>
        <w:numPr>
          <w:ilvl w:val="1"/>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Issued and Outstanding </w:t>
      </w:r>
      <w:r>
        <w:rPr>
          <w:rFonts w:ascii="Times New Roman" w:cs="Times New Roman" w:eastAsia="Times New Roman" w:hAnsi="Times New Roman"/>
          <w:sz w:val="20"/>
          <w:szCs w:val="20"/>
          <w:i w:val="1"/>
          <w:iCs w:val="1"/>
          <w:color w:val="auto"/>
        </w:rPr>
        <w:t>(Continued)</w:t>
      </w:r>
    </w:p>
    <w:p>
      <w:pPr>
        <w:spacing w:after="0" w:line="124" w:lineRule="exact"/>
        <w:rPr>
          <w:rFonts w:ascii="Times New Roman" w:cs="Times New Roman" w:eastAsia="Times New Roman" w:hAnsi="Times New Roman"/>
          <w:sz w:val="20"/>
          <w:szCs w:val="20"/>
          <w:b w:val="1"/>
          <w:bCs w:val="1"/>
          <w:color w:val="auto"/>
        </w:rPr>
      </w:pPr>
    </w:p>
    <w:p>
      <w:pPr>
        <w:ind w:left="1340" w:hanging="519"/>
        <w:spacing w:after="0"/>
        <w:tabs>
          <w:tab w:leader="none" w:pos="1340" w:val="left"/>
        </w:tabs>
        <w:numPr>
          <w:ilvl w:val="2"/>
          <w:numId w:val="10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Repurchase of Subordinate Voting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-436245</wp:posOffset>
                </wp:positionV>
                <wp:extent cx="689483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34.3499pt" to="541.45pt,-34.3499pt" o:allowincell="f" strokecolor="#000000" strokeweight="0.75pt"/>
            </w:pict>
          </mc:Fallback>
        </mc:AlternateContent>
      </w:r>
    </w:p>
    <w:p>
      <w:pPr>
        <w:spacing w:after="0" w:line="330" w:lineRule="exact"/>
        <w:rPr>
          <w:sz w:val="20"/>
          <w:szCs w:val="20"/>
          <w:color w:val="auto"/>
        </w:rPr>
      </w:pPr>
    </w:p>
    <w:p>
      <w:pPr>
        <w:ind w:left="500" w:right="60"/>
        <w:spacing w:after="0" w:line="249" w:lineRule="auto"/>
        <w:rPr>
          <w:sz w:val="20"/>
          <w:szCs w:val="20"/>
          <w:color w:val="auto"/>
        </w:rPr>
      </w:pPr>
      <w:r>
        <w:rPr>
          <w:rFonts w:ascii="Times New Roman" w:cs="Times New Roman" w:eastAsia="Times New Roman" w:hAnsi="Times New Roman"/>
          <w:sz w:val="20"/>
          <w:szCs w:val="20"/>
          <w:color w:val="auto"/>
        </w:rPr>
        <w:t>On September 5, 2023, the Company announced that its Board of Directors authorized the repurchase of 10,486,951 of its Subordinate Voting Shares over a 12-month period at a cost of up to $50,000 thousand, which was subsequently increased to up to $100,000 thousand on February 28, 2024. By the time the program expired on September 10, 2024, the Company had repurchased a total of 6,568,125 Subordinate Voting Shares for $73,304 thousand including 2,725,000 Subordinate Voting Shares for $33,448 thousand during nine months ended September 30, 2024.</w:t>
      </w:r>
    </w:p>
    <w:p>
      <w:pPr>
        <w:spacing w:after="0" w:line="77" w:lineRule="exact"/>
        <w:rPr>
          <w:sz w:val="20"/>
          <w:szCs w:val="20"/>
          <w:color w:val="auto"/>
        </w:rPr>
      </w:pPr>
    </w:p>
    <w:p>
      <w:pPr>
        <w:ind w:left="500" w:right="140"/>
        <w:spacing w:after="0" w:line="249" w:lineRule="auto"/>
        <w:rPr>
          <w:sz w:val="20"/>
          <w:szCs w:val="20"/>
          <w:color w:val="auto"/>
        </w:rPr>
      </w:pPr>
      <w:r>
        <w:rPr>
          <w:rFonts w:ascii="Times New Roman" w:cs="Times New Roman" w:eastAsia="Times New Roman" w:hAnsi="Times New Roman"/>
          <w:sz w:val="20"/>
          <w:szCs w:val="20"/>
          <w:color w:val="auto"/>
        </w:rPr>
        <w:t>Following the expiration of the Company’s previous share program on September 10, 2024, the Company’s Board of Directors authorized a new share repurchase program on September 13, 2024, allowing the repurchase of up to 10,573,860 of its Subordinate Voting Shares over a 12-month period at an aggregate cost of up to $50,000 thousand. From September 13, 2024 through December 31, 2024, the Company purchased a total of 1,247,000 Subordinate Voting Shares at an average price of $7.72 per share, bringing the total remaining repurchase ability to approximately $40,400 thousand.</w:t>
      </w:r>
    </w:p>
    <w:p>
      <w:pPr>
        <w:spacing w:after="0" w:line="303" w:lineRule="exact"/>
        <w:rPr>
          <w:sz w:val="20"/>
          <w:szCs w:val="20"/>
          <w:color w:val="auto"/>
        </w:rPr>
      </w:pPr>
    </w:p>
    <w:p>
      <w:pPr>
        <w:ind w:left="1020" w:hanging="530"/>
        <w:spacing w:after="0"/>
        <w:tabs>
          <w:tab w:leader="none" w:pos="1020"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124" w:lineRule="exact"/>
        <w:rPr>
          <w:sz w:val="20"/>
          <w:szCs w:val="20"/>
          <w:color w:val="auto"/>
        </w:rPr>
      </w:pPr>
    </w:p>
    <w:p>
      <w:pPr>
        <w:ind w:left="500" w:right="120"/>
        <w:spacing w:after="0" w:line="246" w:lineRule="auto"/>
        <w:rPr>
          <w:sz w:val="20"/>
          <w:szCs w:val="20"/>
          <w:color w:val="auto"/>
        </w:rPr>
      </w:pPr>
      <w:r>
        <w:rPr>
          <w:rFonts w:ascii="Times New Roman" w:cs="Times New Roman" w:eastAsia="Times New Roman" w:hAnsi="Times New Roman"/>
          <w:sz w:val="20"/>
          <w:szCs w:val="20"/>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80" w:lineRule="exact"/>
        <w:rPr>
          <w:sz w:val="20"/>
          <w:szCs w:val="20"/>
          <w:color w:val="auto"/>
        </w:rPr>
      </w:pPr>
    </w:p>
    <w:p>
      <w:pPr>
        <w:jc w:val="both"/>
        <w:ind w:left="500" w:right="40"/>
        <w:spacing w:after="0" w:line="258" w:lineRule="auto"/>
        <w:rPr>
          <w:sz w:val="20"/>
          <w:szCs w:val="20"/>
          <w:color w:val="auto"/>
        </w:rPr>
      </w:pPr>
      <w:r>
        <w:rPr>
          <w:rFonts w:ascii="Times New Roman" w:cs="Times New Roman" w:eastAsia="Times New Roman" w:hAnsi="Times New Roman"/>
          <w:sz w:val="20"/>
          <w:szCs w:val="20"/>
          <w:color w:val="auto"/>
        </w:rPr>
        <w:t>In June 2018, the Company established the Green Thumb Industries Inc. 2018 Stock and Incentive Plan, which was amended by Amendment No. 1 and Amendment No. 2 thereto (as amended, the “Plan”). The maximum number of RSUs and options issued under the Plan shall not exceed 10% of the Company’s issued and outstanding shares on an as-converted basis.</w:t>
      </w:r>
    </w:p>
    <w:p>
      <w:pPr>
        <w:spacing w:after="0" w:line="68" w:lineRule="exact"/>
        <w:rPr>
          <w:sz w:val="20"/>
          <w:szCs w:val="20"/>
          <w:color w:val="auto"/>
        </w:rPr>
      </w:pPr>
    </w:p>
    <w:p>
      <w:pPr>
        <w:jc w:val="both"/>
        <w:ind w:left="500" w:right="160"/>
        <w:spacing w:after="0" w:line="249" w:lineRule="auto"/>
        <w:rPr>
          <w:sz w:val="20"/>
          <w:szCs w:val="20"/>
          <w:color w:val="auto"/>
        </w:rPr>
      </w:pPr>
      <w:r>
        <w:rPr>
          <w:rFonts w:ascii="Times New Roman" w:cs="Times New Roman" w:eastAsia="Times New Roman" w:hAnsi="Times New Roman"/>
          <w:sz w:val="20"/>
          <w:szCs w:val="20"/>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7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Option and RSU grants generally vest over three years, and options typically have a life of seven to ten years. Option grants are determined by the Compensation Committee of the Company’s Board of Directors with the option price set at no less than 100% of the fair market value of a share on the date of grant.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Stock option activity is summarized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6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60" w:type="dxa"/>
            <w:vAlign w:val="bottom"/>
            <w:vMerge w:val="restart"/>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Weighted Average Exercise</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07"/>
        </w:trPr>
        <w:tc>
          <w:tcPr>
            <w:tcW w:w="3660" w:type="dxa"/>
            <w:vAlign w:val="bottom"/>
          </w:tcPr>
          <w:p>
            <w:pPr>
              <w:spacing w:after="0"/>
              <w:rPr>
                <w:sz w:val="9"/>
                <w:szCs w:val="9"/>
                <w:color w:val="auto"/>
              </w:rPr>
            </w:pPr>
          </w:p>
        </w:tc>
        <w:tc>
          <w:tcPr>
            <w:tcW w:w="2180" w:type="dxa"/>
            <w:vAlign w:val="bottom"/>
            <w:vMerge w:val="restart"/>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060" w:type="dxa"/>
            <w:vAlign w:val="bottom"/>
            <w:vMerge w:val="continue"/>
          </w:tcPr>
          <w:p>
            <w:pPr>
              <w:spacing w:after="0"/>
              <w:rPr>
                <w:sz w:val="9"/>
                <w:szCs w:val="9"/>
                <w:color w:val="auto"/>
              </w:rPr>
            </w:pPr>
          </w:p>
        </w:tc>
        <w:tc>
          <w:tcPr>
            <w:tcW w:w="14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460" w:type="dxa"/>
            <w:vAlign w:val="bottom"/>
            <w:vMerge w:val="restart"/>
          </w:tcPr>
          <w:p>
            <w:pPr>
              <w:jc w:val="right"/>
              <w:ind w:right="468"/>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2060" w:type="dxa"/>
            <w:vAlign w:val="bottom"/>
            <w:vMerge w:val="restart"/>
          </w:tcPr>
          <w:p>
            <w:pPr>
              <w:jc w:val="right"/>
              <w:ind w:right="76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660" w:type="dxa"/>
            <w:vAlign w:val="bottom"/>
            <w:tcBorders>
              <w:bottom w:val="single" w:sz="8" w:color="E6E6E6"/>
            </w:tcBorders>
          </w:tcPr>
          <w:p>
            <w:pPr>
              <w:spacing w:after="0"/>
              <w:rPr>
                <w:sz w:val="6"/>
                <w:szCs w:val="6"/>
                <w:color w:val="auto"/>
              </w:rPr>
            </w:pPr>
          </w:p>
        </w:tc>
        <w:tc>
          <w:tcPr>
            <w:tcW w:w="2180" w:type="dxa"/>
            <w:vAlign w:val="bottom"/>
            <w:tcBorders>
              <w:bottom w:val="single" w:sz="8" w:color="auto"/>
            </w:tcBorders>
            <w:vMerge w:val="continue"/>
          </w:tcPr>
          <w:p>
            <w:pPr>
              <w:spacing w:after="0"/>
              <w:rPr>
                <w:sz w:val="6"/>
                <w:szCs w:val="6"/>
                <w:color w:val="auto"/>
              </w:rPr>
            </w:pPr>
          </w:p>
        </w:tc>
        <w:tc>
          <w:tcPr>
            <w:tcW w:w="206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as of December 31, 2023</w:t>
            </w:r>
          </w:p>
        </w:tc>
        <w:tc>
          <w:tcPr>
            <w:tcW w:w="2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10,071,467</w:t>
            </w:r>
          </w:p>
        </w:tc>
        <w:tc>
          <w:tcPr>
            <w:tcW w:w="20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$11.75</w:t>
            </w:r>
          </w:p>
        </w:tc>
        <w:tc>
          <w:tcPr>
            <w:tcW w:w="14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4.31</w:t>
            </w:r>
          </w:p>
        </w:tc>
        <w:tc>
          <w:tcPr>
            <w:tcW w:w="14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$22,442</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836,353</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w:t>
            </w:r>
          </w:p>
        </w:tc>
        <w:tc>
          <w:tcPr>
            <w:tcW w:w="1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Exercised</w:t>
            </w:r>
          </w:p>
        </w:tc>
        <w:tc>
          <w:tcPr>
            <w:tcW w:w="21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(1,504,764)</w:t>
            </w:r>
          </w:p>
        </w:tc>
        <w:tc>
          <w:tcPr>
            <w:tcW w:w="2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8.59</w:t>
            </w:r>
          </w:p>
        </w:tc>
        <w:tc>
          <w:tcPr>
            <w:tcW w:w="1440" w:type="dxa"/>
            <w:vAlign w:val="bottom"/>
            <w:shd w:val="clear" w:color="auto" w:fill="E6E6E6"/>
          </w:tcPr>
          <w:p>
            <w:pPr>
              <w:spacing w:after="0"/>
              <w:rPr>
                <w:sz w:val="19"/>
                <w:szCs w:val="19"/>
                <w:color w:val="auto"/>
              </w:rPr>
            </w:pPr>
          </w:p>
        </w:tc>
        <w:tc>
          <w:tcPr>
            <w:tcW w:w="146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Forfeited</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(1,164,584)</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14.21</w:t>
            </w:r>
          </w:p>
        </w:tc>
        <w:tc>
          <w:tcPr>
            <w:tcW w:w="1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Balance as of December 31, 2024</w:t>
            </w:r>
          </w:p>
        </w:tc>
        <w:tc>
          <w:tcPr>
            <w:tcW w:w="21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8,238,472</w:t>
            </w:r>
          </w:p>
        </w:tc>
        <w:tc>
          <w:tcPr>
            <w:tcW w:w="20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$10.10</w:t>
            </w:r>
          </w:p>
        </w:tc>
        <w:tc>
          <w:tcPr>
            <w:tcW w:w="14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4.07</w:t>
            </w:r>
          </w:p>
        </w:tc>
        <w:tc>
          <w:tcPr>
            <w:tcW w:w="14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$2,664</w:t>
            </w:r>
          </w:p>
        </w:tc>
        <w:tc>
          <w:tcPr>
            <w:tcW w:w="0" w:type="dxa"/>
            <w:vAlign w:val="bottom"/>
          </w:tcPr>
          <w:p>
            <w:pPr>
              <w:spacing w:after="0"/>
              <w:rPr>
                <w:sz w:val="1"/>
                <w:szCs w:val="1"/>
                <w:color w:val="auto"/>
              </w:rPr>
            </w:pPr>
          </w:p>
        </w:tc>
      </w:tr>
      <w:tr>
        <w:trPr>
          <w:trHeight w:val="266"/>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Exercisable as of December 31, 2024</w:t>
            </w: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5,592,683</w:t>
            </w:r>
          </w:p>
        </w:tc>
        <w:tc>
          <w:tcPr>
            <w:tcW w:w="2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500" w:right="140"/>
        <w:spacing w:after="0" w:line="249" w:lineRule="auto"/>
        <w:rPr>
          <w:sz w:val="20"/>
          <w:szCs w:val="20"/>
          <w:color w:val="auto"/>
        </w:rPr>
      </w:pPr>
      <w:r>
        <w:rPr>
          <w:rFonts w:ascii="Times New Roman" w:cs="Times New Roman" w:eastAsia="Times New Roman" w:hAnsi="Times New Roman"/>
          <w:sz w:val="20"/>
          <w:szCs w:val="20"/>
          <w:color w:val="auto"/>
        </w:rPr>
        <w:t>The aggregate intrinsic value in the table above represents the total pre-tax intrinsic value (the difference between the Company’s closing stock price on December 31, 2024 and 2023, respectively, and the exercise price, multiplied by the number of in-the-money options) that would have been received by the option holders had all option holders exercised their in-the-money options on December 31, 2024 and 2023, respectively. This amount will change in future periods based on the fair market value of the Company’s Subordinate Voting Shares and the number of options outstanding.</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F-36</w:t>
      </w:r>
    </w:p>
    <w:p>
      <w:pPr>
        <w:sectPr>
          <w:pgSz w:w="12240" w:h="15840" w:orient="portrait"/>
          <w:cols w:equalWidth="0" w:num="1">
            <w:col w:w="10800"/>
          </w:cols>
          <w:pgMar w:left="720" w:top="696" w:right="720" w:bottom="175"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CAPITAL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27" w:lineRule="exact"/>
        <w:rPr>
          <w:sz w:val="20"/>
          <w:szCs w:val="20"/>
          <w:color w:val="auto"/>
        </w:rPr>
      </w:pPr>
    </w:p>
    <w:p>
      <w:pPr>
        <w:ind w:left="1020" w:hanging="531"/>
        <w:spacing w:after="0"/>
        <w:tabs>
          <w:tab w:leader="none" w:pos="102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i w:val="1"/>
          <w:iCs w:val="1"/>
          <w:color w:val="auto"/>
        </w:rPr>
        <w:t>(Continued)</w:t>
      </w:r>
    </w:p>
    <w:p>
      <w:pPr>
        <w:spacing w:after="0" w:line="124" w:lineRule="exact"/>
        <w:rPr>
          <w:sz w:val="20"/>
          <w:szCs w:val="20"/>
          <w:color w:val="auto"/>
        </w:rPr>
      </w:pPr>
    </w:p>
    <w:p>
      <w:pPr>
        <w:ind w:left="500" w:right="16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weighted average grant date fair value and intrinsic value of options exercised for the year ended December 31, 2024,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3240" w:type="dxa"/>
            <w:vAlign w:val="bottom"/>
            <w:tcBorders>
              <w:bottom w:val="single" w:sz="8" w:color="auto"/>
            </w:tcBorders>
            <w:gridSpan w:val="3"/>
          </w:tcPr>
          <w:p>
            <w:pPr>
              <w:jc w:val="right"/>
              <w:ind w:right="607"/>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E6E6E6"/>
            </w:tcBorders>
          </w:tcPr>
          <w:p>
            <w:pPr>
              <w:spacing w:after="0"/>
              <w:rPr>
                <w:sz w:val="15"/>
                <w:szCs w:val="15"/>
                <w:color w:val="auto"/>
              </w:rPr>
            </w:pPr>
          </w:p>
        </w:tc>
        <w:tc>
          <w:tcPr>
            <w:tcW w:w="1280" w:type="dxa"/>
            <w:vAlign w:val="bottom"/>
            <w:tcBorders>
              <w:bottom w:val="single" w:sz="8" w:color="auto"/>
            </w:tcBorders>
          </w:tcPr>
          <w:p>
            <w:pPr>
              <w:jc w:val="right"/>
              <w:ind w:right="490"/>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jc w:val="right"/>
              <w:ind w:right="487"/>
              <w:spacing w:after="0" w:line="174" w:lineRule="exact"/>
              <w:rPr>
                <w:sz w:val="20"/>
                <w:szCs w:val="20"/>
                <w:color w:val="auto"/>
              </w:rPr>
            </w:pPr>
            <w:r>
              <w:rPr>
                <w:rFonts w:ascii="Times New Roman" w:cs="Times New Roman" w:eastAsia="Times New Roman" w:hAnsi="Times New Roman"/>
                <w:sz w:val="16"/>
                <w:szCs w:val="16"/>
                <w:b w:val="1"/>
                <w:bCs w:val="1"/>
                <w:color w:val="auto"/>
              </w:rPr>
              <w:t>2023</w:t>
            </w:r>
          </w:p>
        </w:tc>
        <w:tc>
          <w:tcPr>
            <w:tcW w:w="880" w:type="dxa"/>
            <w:vAlign w:val="bottom"/>
            <w:tcBorders>
              <w:bottom w:val="single" w:sz="8" w:color="auto"/>
            </w:tcBorders>
          </w:tcPr>
          <w:p>
            <w:pPr>
              <w:jc w:val="right"/>
              <w:ind w:right="287"/>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Weighted average grant date fair value (per share) of stock option units granted</w:t>
            </w:r>
          </w:p>
        </w:tc>
        <w:tc>
          <w:tcPr>
            <w:tcW w:w="1280" w:type="dxa"/>
            <w:vAlign w:val="bottom"/>
            <w:shd w:val="clear" w:color="auto" w:fill="E6E6E6"/>
          </w:tcPr>
          <w:p>
            <w:pPr>
              <w:jc w:val="right"/>
              <w:ind w:right="110"/>
              <w:spacing w:after="0" w:line="220" w:lineRule="exact"/>
              <w:rPr>
                <w:sz w:val="20"/>
                <w:szCs w:val="20"/>
                <w:color w:val="auto"/>
              </w:rPr>
            </w:pPr>
            <w:r>
              <w:rPr>
                <w:rFonts w:ascii="Times New Roman" w:cs="Times New Roman" w:eastAsia="Times New Roman" w:hAnsi="Times New Roman"/>
                <w:sz w:val="20"/>
                <w:szCs w:val="20"/>
                <w:color w:val="auto"/>
              </w:rPr>
              <w:t>$7.79</w:t>
            </w:r>
          </w:p>
        </w:tc>
        <w:tc>
          <w:tcPr>
            <w:tcW w:w="1080" w:type="dxa"/>
            <w:vAlign w:val="bottom"/>
            <w:shd w:val="clear" w:color="auto" w:fill="E6E6E6"/>
          </w:tcPr>
          <w:p>
            <w:pPr>
              <w:jc w:val="right"/>
              <w:ind w:right="107"/>
              <w:spacing w:after="0" w:line="220" w:lineRule="exact"/>
              <w:rPr>
                <w:sz w:val="20"/>
                <w:szCs w:val="20"/>
                <w:color w:val="auto"/>
              </w:rPr>
            </w:pPr>
            <w:r>
              <w:rPr>
                <w:rFonts w:ascii="Times New Roman" w:cs="Times New Roman" w:eastAsia="Times New Roman" w:hAnsi="Times New Roman"/>
                <w:sz w:val="20"/>
                <w:szCs w:val="20"/>
                <w:color w:val="auto"/>
              </w:rPr>
              <w:t>$4.24</w:t>
            </w:r>
          </w:p>
        </w:tc>
        <w:tc>
          <w:tcPr>
            <w:tcW w:w="8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$5.37</w:t>
            </w:r>
          </w:p>
        </w:tc>
        <w:tc>
          <w:tcPr>
            <w:tcW w:w="0" w:type="dxa"/>
            <w:vAlign w:val="bottom"/>
          </w:tcPr>
          <w:p>
            <w:pPr>
              <w:spacing w:after="0"/>
              <w:rPr>
                <w:sz w:val="1"/>
                <w:szCs w:val="1"/>
                <w:color w:val="auto"/>
              </w:rPr>
            </w:pPr>
          </w:p>
        </w:tc>
      </w:tr>
      <w:tr>
        <w:trPr>
          <w:trHeight w:val="213"/>
        </w:trPr>
        <w:tc>
          <w:tcPr>
            <w:tcW w:w="75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 xml:space="preserve">Intrinsic value of stock option units exercised, using market price at exercise date </w:t>
            </w:r>
            <w:r>
              <w:rPr>
                <w:rFonts w:ascii="Times New Roman" w:cs="Times New Roman" w:eastAsia="Times New Roman" w:hAnsi="Times New Roman"/>
                <w:sz w:val="20"/>
                <w:szCs w:val="20"/>
                <w:i w:val="1"/>
                <w:iCs w:val="1"/>
                <w:color w:val="auto"/>
              </w:rPr>
              <w:t>(in</w:t>
            </w:r>
          </w:p>
        </w:tc>
        <w:tc>
          <w:tcPr>
            <w:tcW w:w="1280" w:type="dxa"/>
            <w:vAlign w:val="bottom"/>
            <w:vMerge w:val="restart"/>
          </w:tcPr>
          <w:p>
            <w:pPr>
              <w:jc w:val="right"/>
              <w:ind w:right="110"/>
              <w:spacing w:after="0"/>
              <w:rPr>
                <w:sz w:val="20"/>
                <w:szCs w:val="20"/>
                <w:color w:val="auto"/>
              </w:rPr>
            </w:pPr>
            <w:r>
              <w:rPr>
                <w:rFonts w:ascii="Times New Roman" w:cs="Times New Roman" w:eastAsia="Times New Roman" w:hAnsi="Times New Roman"/>
                <w:sz w:val="20"/>
                <w:szCs w:val="20"/>
                <w:color w:val="auto"/>
              </w:rPr>
              <w:t>$7,505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20"/>
                <w:szCs w:val="20"/>
                <w:color w:val="auto"/>
              </w:rPr>
              <w:t>$996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$2,390</w:t>
            </w:r>
          </w:p>
        </w:tc>
        <w:tc>
          <w:tcPr>
            <w:tcW w:w="0" w:type="dxa"/>
            <w:vAlign w:val="bottom"/>
          </w:tcPr>
          <w:p>
            <w:pPr>
              <w:spacing w:after="0"/>
              <w:rPr>
                <w:sz w:val="1"/>
                <w:szCs w:val="1"/>
                <w:color w:val="auto"/>
              </w:rPr>
            </w:pPr>
          </w:p>
        </w:tc>
      </w:tr>
      <w:tr>
        <w:trPr>
          <w:trHeight w:val="264"/>
        </w:trPr>
        <w:tc>
          <w:tcPr>
            <w:tcW w:w="75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thousands)</w:t>
            </w:r>
          </w:p>
        </w:tc>
        <w:tc>
          <w:tcPr>
            <w:tcW w:w="128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00" w:right="300"/>
        <w:spacing w:after="0" w:line="277" w:lineRule="auto"/>
        <w:rPr>
          <w:sz w:val="20"/>
          <w:szCs w:val="20"/>
          <w:color w:val="auto"/>
        </w:rPr>
      </w:pPr>
      <w:r>
        <w:rPr>
          <w:rFonts w:ascii="Times New Roman" w:cs="Times New Roman" w:eastAsia="Times New Roman" w:hAnsi="Times New Roman"/>
          <w:sz w:val="20"/>
          <w:szCs w:val="20"/>
          <w:color w:val="auto"/>
        </w:rPr>
        <w:t>The Company used the Black-Scholes Option Pricing model to estimate the fair value of the options granted during the years ended December 31, 2024 and 2023, using the following ranges of assumptions: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5940" w:type="dxa"/>
            <w:vAlign w:val="bottom"/>
            <w:tcBorders>
              <w:bottom w:val="single" w:sz="8" w:color="E6E6E6"/>
            </w:tcBorders>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0"/>
        </w:trPr>
        <w:tc>
          <w:tcPr>
            <w:tcW w:w="59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2460" w:type="dxa"/>
            <w:vAlign w:val="bottom"/>
            <w:shd w:val="clear" w:color="auto" w:fill="E6E6E6"/>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2.72% - 3.92%</w:t>
            </w:r>
          </w:p>
        </w:tc>
        <w:tc>
          <w:tcPr>
            <w:tcW w:w="2400" w:type="dxa"/>
            <w:vAlign w:val="bottom"/>
            <w:shd w:val="clear" w:color="auto" w:fill="E6E6E6"/>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3.06% - 4.32%</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230"/>
        </w:trPr>
        <w:tc>
          <w:tcPr>
            <w:tcW w:w="59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46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w w:val="99"/>
              </w:rPr>
              <w:t>62% - 64%</w:t>
            </w:r>
          </w:p>
        </w:tc>
        <w:tc>
          <w:tcPr>
            <w:tcW w:w="2400" w:type="dxa"/>
            <w:vAlign w:val="bottom"/>
            <w:shd w:val="clear" w:color="auto" w:fill="E6E6E6"/>
          </w:tcPr>
          <w:p>
            <w:pPr>
              <w:jc w:val="center"/>
              <w:spacing w:after="0"/>
              <w:rPr>
                <w:sz w:val="20"/>
                <w:szCs w:val="20"/>
                <w:color w:val="auto"/>
              </w:rPr>
            </w:pPr>
            <w:r>
              <w:rPr>
                <w:rFonts w:ascii="Times New Roman" w:cs="Times New Roman" w:eastAsia="Times New Roman" w:hAnsi="Times New Roman"/>
                <w:sz w:val="20"/>
                <w:szCs w:val="20"/>
                <w:color w:val="auto"/>
              </w:rPr>
              <w:t>64%</w:t>
            </w:r>
          </w:p>
        </w:tc>
      </w:tr>
      <w:tr>
        <w:trPr>
          <w:trHeight w:val="266"/>
        </w:trPr>
        <w:tc>
          <w:tcPr>
            <w:tcW w:w="5940" w:type="dxa"/>
            <w:vAlign w:val="bottom"/>
          </w:tcPr>
          <w:p>
            <w:pPr>
              <w:spacing w:after="0"/>
              <w:rPr>
                <w:sz w:val="20"/>
                <w:szCs w:val="20"/>
                <w:color w:val="auto"/>
              </w:rPr>
            </w:pPr>
            <w:r>
              <w:rPr>
                <w:rFonts w:ascii="Times New Roman" w:cs="Times New Roman" w:eastAsia="Times New Roman" w:hAnsi="Times New Roman"/>
                <w:sz w:val="20"/>
                <w:szCs w:val="20"/>
                <w:color w:val="auto"/>
              </w:rPr>
              <w:t>Expected option life</w:t>
            </w: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4.46 - 4.5 years</w:t>
            </w:r>
          </w:p>
        </w:tc>
        <w:tc>
          <w:tcPr>
            <w:tcW w:w="2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3.5 – 4.5 years</w:t>
            </w:r>
          </w:p>
        </w:tc>
      </w:tr>
    </w:tbl>
    <w:p>
      <w:pPr>
        <w:spacing w:after="0" w:line="220" w:lineRule="exact"/>
        <w:rPr>
          <w:sz w:val="20"/>
          <w:szCs w:val="20"/>
          <w:color w:val="auto"/>
        </w:rPr>
      </w:pPr>
    </w:p>
    <w:p>
      <w:pPr>
        <w:ind w:left="500" w:right="860"/>
        <w:spacing w:after="0" w:line="277" w:lineRule="auto"/>
        <w:rPr>
          <w:sz w:val="20"/>
          <w:szCs w:val="20"/>
          <w:color w:val="auto"/>
        </w:rPr>
      </w:pPr>
      <w:r>
        <w:rPr>
          <w:rFonts w:ascii="Times New Roman" w:cs="Times New Roman" w:eastAsia="Times New Roman" w:hAnsi="Times New Roman"/>
          <w:sz w:val="20"/>
          <w:szCs w:val="20"/>
          <w:color w:val="auto"/>
        </w:rPr>
        <w:t xml:space="preserve">As permitted under </w:t>
      </w:r>
      <w:r>
        <w:rPr>
          <w:rFonts w:ascii="Times New Roman" w:cs="Times New Roman" w:eastAsia="Times New Roman" w:hAnsi="Times New Roman"/>
          <w:sz w:val="20"/>
          <w:szCs w:val="20"/>
          <w:i w:val="1"/>
          <w:iCs w:val="1"/>
          <w:color w:val="auto"/>
        </w:rPr>
        <w:t>ASC 718, Stock Compensation</w:t>
      </w:r>
      <w:r>
        <w:rPr>
          <w:rFonts w:ascii="Times New Roman" w:cs="Times New Roman" w:eastAsia="Times New Roman" w:hAnsi="Times New Roman"/>
          <w:sz w:val="20"/>
          <w:szCs w:val="20"/>
          <w:color w:val="auto"/>
        </w:rPr>
        <w:t>, the Company has made an accounting policy choice to account for forfeitures when they occur.</w:t>
      </w:r>
    </w:p>
    <w:p>
      <w:pPr>
        <w:spacing w:after="0" w:line="49" w:lineRule="exact"/>
        <w:rPr>
          <w:sz w:val="20"/>
          <w:szCs w:val="20"/>
          <w:color w:val="auto"/>
        </w:rPr>
      </w:pPr>
    </w:p>
    <w:p>
      <w:pPr>
        <w:ind w:left="500" w:right="4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number of non-vested RSU awards as of December 31, 2024 and 2023 and the changes during the year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280" w:type="dxa"/>
            <w:vAlign w:val="bottom"/>
            <w:vMerge w:val="restart"/>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20" w:type="dxa"/>
            <w:vAlign w:val="bottom"/>
          </w:tcPr>
          <w:p>
            <w:pPr>
              <w:spacing w:after="0"/>
              <w:rPr>
                <w:sz w:val="16"/>
                <w:szCs w:val="16"/>
                <w:color w:val="auto"/>
              </w:rPr>
            </w:pPr>
          </w:p>
        </w:tc>
        <w:tc>
          <w:tcPr>
            <w:tcW w:w="2260" w:type="dxa"/>
            <w:vAlign w:val="bottom"/>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Weighted Average Grant Date</w:t>
            </w:r>
          </w:p>
        </w:tc>
        <w:tc>
          <w:tcPr>
            <w:tcW w:w="0" w:type="dxa"/>
            <w:vAlign w:val="bottom"/>
          </w:tcPr>
          <w:p>
            <w:pPr>
              <w:spacing w:after="0"/>
              <w:rPr>
                <w:sz w:val="1"/>
                <w:szCs w:val="1"/>
                <w:color w:val="auto"/>
              </w:rPr>
            </w:pPr>
          </w:p>
        </w:tc>
      </w:tr>
      <w:tr>
        <w:trPr>
          <w:trHeight w:val="129"/>
        </w:trPr>
        <w:tc>
          <w:tcPr>
            <w:tcW w:w="604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vMerge w:val="restart"/>
          </w:tcPr>
          <w:p>
            <w:pPr>
              <w:jc w:val="right"/>
              <w:ind w:right="66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75"/>
        </w:trPr>
        <w:tc>
          <w:tcPr>
            <w:tcW w:w="6040" w:type="dxa"/>
            <w:vAlign w:val="bottom"/>
            <w:tcBorders>
              <w:bottom w:val="single" w:sz="8" w:color="E6E6E6"/>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220" w:type="dxa"/>
            <w:vAlign w:val="bottom"/>
            <w:tcBorders>
              <w:bottom w:val="single" w:sz="8" w:color="E6E6E6"/>
            </w:tcBorders>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60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Unvested Shares at December 31, 2023</w:t>
            </w:r>
          </w:p>
        </w:tc>
        <w:tc>
          <w:tcPr>
            <w:tcW w:w="22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3,620,638</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9.25</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2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6,076,176</w:t>
            </w:r>
          </w:p>
        </w:tc>
        <w:tc>
          <w:tcPr>
            <w:tcW w:w="22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0" w:type="dxa"/>
            <w:vAlign w:val="bottom"/>
          </w:tcPr>
          <w:p>
            <w:pPr>
              <w:spacing w:after="0"/>
              <w:rPr>
                <w:sz w:val="1"/>
                <w:szCs w:val="1"/>
                <w:color w:val="auto"/>
              </w:rPr>
            </w:pPr>
          </w:p>
        </w:tc>
      </w:tr>
      <w:tr>
        <w:trPr>
          <w:trHeight w:val="230"/>
        </w:trPr>
        <w:tc>
          <w:tcPr>
            <w:tcW w:w="60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Forfeited</w:t>
            </w:r>
          </w:p>
        </w:tc>
        <w:tc>
          <w:tcPr>
            <w:tcW w:w="22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(980,692)</w:t>
            </w:r>
          </w:p>
        </w:tc>
        <w:tc>
          <w:tcPr>
            <w:tcW w:w="220" w:type="dxa"/>
            <w:vAlign w:val="bottom"/>
            <w:shd w:val="clear" w:color="auto" w:fill="E6E6E6"/>
          </w:tcPr>
          <w:p>
            <w:pPr>
              <w:spacing w:after="0"/>
              <w:rPr>
                <w:sz w:val="19"/>
                <w:szCs w:val="19"/>
                <w:color w:val="auto"/>
              </w:rPr>
            </w:pPr>
          </w:p>
        </w:tc>
        <w:tc>
          <w:tcPr>
            <w:tcW w:w="2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11.81</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Vested</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(1,037,812)</w:t>
            </w: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9.95</w:t>
            </w:r>
          </w:p>
        </w:tc>
        <w:tc>
          <w:tcPr>
            <w:tcW w:w="0" w:type="dxa"/>
            <w:vAlign w:val="bottom"/>
          </w:tcPr>
          <w:p>
            <w:pPr>
              <w:spacing w:after="0"/>
              <w:rPr>
                <w:sz w:val="1"/>
                <w:szCs w:val="1"/>
                <w:color w:val="auto"/>
              </w:rPr>
            </w:pPr>
          </w:p>
        </w:tc>
      </w:tr>
      <w:tr>
        <w:trPr>
          <w:trHeight w:val="220"/>
        </w:trPr>
        <w:tc>
          <w:tcPr>
            <w:tcW w:w="60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Unvested Shares at December 31, 2024</w:t>
            </w:r>
          </w:p>
        </w:tc>
        <w:tc>
          <w:tcPr>
            <w:tcW w:w="22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7,678,310</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11.14</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00" w:right="20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weighted average grant date fair value of RSUs granted for the years ended December 31, 2024, 2023 and 2022: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00" w:type="dxa"/>
            <w:vAlign w:val="bottom"/>
            <w:tcBorders>
              <w:bottom w:val="single" w:sz="8" w:color="auto"/>
            </w:tcBorders>
          </w:tcPr>
          <w:p>
            <w:pPr>
              <w:spacing w:after="0"/>
              <w:rPr>
                <w:sz w:val="19"/>
                <w:szCs w:val="19"/>
                <w:color w:val="auto"/>
              </w:rPr>
            </w:pPr>
          </w:p>
        </w:tc>
      </w:tr>
      <w:tr>
        <w:trPr>
          <w:trHeight w:val="220"/>
        </w:trPr>
        <w:tc>
          <w:tcPr>
            <w:tcW w:w="5000" w:type="dxa"/>
            <w:vAlign w:val="bottom"/>
          </w:tcPr>
          <w:p>
            <w:pPr>
              <w:spacing w:after="0"/>
              <w:rPr>
                <w:sz w:val="19"/>
                <w:szCs w:val="19"/>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3"/>
        </w:trPr>
        <w:tc>
          <w:tcPr>
            <w:tcW w:w="5000" w:type="dxa"/>
            <w:vAlign w:val="bottom"/>
            <w:tcBorders>
              <w:top w:val="single" w:sz="8" w:color="E6E6E6"/>
            </w:tcBorders>
            <w:shd w:val="clear" w:color="auto" w:fill="E6E6E6"/>
          </w:tcPr>
          <w:p>
            <w:pPr>
              <w:spacing w:after="0" w:line="204" w:lineRule="exact"/>
              <w:rPr>
                <w:sz w:val="20"/>
                <w:szCs w:val="20"/>
                <w:color w:val="auto"/>
              </w:rPr>
            </w:pPr>
            <w:r>
              <w:rPr>
                <w:rFonts w:ascii="Times New Roman" w:cs="Times New Roman" w:eastAsia="Times New Roman" w:hAnsi="Times New Roman"/>
                <w:sz w:val="20"/>
                <w:szCs w:val="20"/>
                <w:color w:val="auto"/>
              </w:rPr>
              <w:t>Weighted average grant date fair value (per share)</w:t>
            </w:r>
          </w:p>
        </w:tc>
        <w:tc>
          <w:tcPr>
            <w:tcW w:w="1140" w:type="dxa"/>
            <w:vAlign w:val="bottom"/>
            <w:tcBorders>
              <w:top w:val="single" w:sz="8" w:color="E6E6E6"/>
            </w:tcBorders>
            <w:shd w:val="clear" w:color="auto" w:fill="E6E6E6"/>
          </w:tcPr>
          <w:p>
            <w:pPr>
              <w:spacing w:after="0"/>
              <w:rPr>
                <w:sz w:val="17"/>
                <w:szCs w:val="17"/>
                <w:color w:val="auto"/>
              </w:rPr>
            </w:pPr>
          </w:p>
        </w:tc>
        <w:tc>
          <w:tcPr>
            <w:tcW w:w="900" w:type="dxa"/>
            <w:vAlign w:val="bottom"/>
            <w:tcBorders>
              <w:top w:val="single" w:sz="8" w:color="auto"/>
            </w:tcBorders>
            <w:shd w:val="clear" w:color="auto" w:fill="E6E6E6"/>
          </w:tcPr>
          <w:p>
            <w:pPr>
              <w:spacing w:after="0"/>
              <w:rPr>
                <w:sz w:val="17"/>
                <w:szCs w:val="17"/>
                <w:color w:val="auto"/>
              </w:rPr>
            </w:pPr>
          </w:p>
        </w:tc>
        <w:tc>
          <w:tcPr>
            <w:tcW w:w="480" w:type="dxa"/>
            <w:vAlign w:val="bottom"/>
            <w:tcBorders>
              <w:top w:val="single" w:sz="8" w:color="auto"/>
            </w:tcBorders>
            <w:shd w:val="clear" w:color="auto" w:fill="E6E6E6"/>
          </w:tcPr>
          <w:p>
            <w:pPr>
              <w:spacing w:after="0"/>
              <w:rPr>
                <w:sz w:val="17"/>
                <w:szCs w:val="17"/>
                <w:color w:val="auto"/>
              </w:rPr>
            </w:pPr>
          </w:p>
        </w:tc>
        <w:tc>
          <w:tcPr>
            <w:tcW w:w="260" w:type="dxa"/>
            <w:vAlign w:val="bottom"/>
            <w:tcBorders>
              <w:top w:val="single" w:sz="8" w:color="E6E6E6"/>
            </w:tcBorders>
            <w:shd w:val="clear" w:color="auto" w:fill="E6E6E6"/>
          </w:tcPr>
          <w:p>
            <w:pPr>
              <w:spacing w:after="0"/>
              <w:rPr>
                <w:sz w:val="17"/>
                <w:szCs w:val="17"/>
                <w:color w:val="auto"/>
              </w:rPr>
            </w:pPr>
          </w:p>
        </w:tc>
        <w:tc>
          <w:tcPr>
            <w:tcW w:w="1400" w:type="dxa"/>
            <w:vAlign w:val="bottom"/>
            <w:tcBorders>
              <w:top w:val="single" w:sz="8" w:color="auto"/>
            </w:tcBorders>
            <w:shd w:val="clear" w:color="auto" w:fill="E6E6E6"/>
          </w:tcPr>
          <w:p>
            <w:pPr>
              <w:spacing w:after="0"/>
              <w:rPr>
                <w:sz w:val="17"/>
                <w:szCs w:val="17"/>
                <w:color w:val="auto"/>
              </w:rPr>
            </w:pPr>
          </w:p>
        </w:tc>
        <w:tc>
          <w:tcPr>
            <w:tcW w:w="220" w:type="dxa"/>
            <w:vAlign w:val="bottom"/>
            <w:tcBorders>
              <w:top w:val="single" w:sz="8" w:color="E6E6E6"/>
            </w:tcBorders>
            <w:shd w:val="clear" w:color="auto" w:fill="E6E6E6"/>
          </w:tcPr>
          <w:p>
            <w:pPr>
              <w:spacing w:after="0"/>
              <w:rPr>
                <w:sz w:val="17"/>
                <w:szCs w:val="17"/>
                <w:color w:val="auto"/>
              </w:rPr>
            </w:pPr>
          </w:p>
        </w:tc>
        <w:tc>
          <w:tcPr>
            <w:tcW w:w="1400" w:type="dxa"/>
            <w:vAlign w:val="bottom"/>
            <w:tcBorders>
              <w:top w:val="single" w:sz="8" w:color="auto"/>
            </w:tcBorders>
            <w:shd w:val="clear" w:color="auto" w:fill="E6E6E6"/>
          </w:tcPr>
          <w:p>
            <w:pPr>
              <w:spacing w:after="0"/>
              <w:rPr>
                <w:sz w:val="17"/>
                <w:szCs w:val="17"/>
                <w:color w:val="auto"/>
              </w:rPr>
            </w:pPr>
          </w:p>
        </w:tc>
      </w:tr>
      <w:tr>
        <w:trPr>
          <w:trHeight w:val="249"/>
        </w:trPr>
        <w:tc>
          <w:tcPr>
            <w:tcW w:w="500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of RSUs granted</w:t>
            </w: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6E6E6"/>
          </w:tcPr>
          <w:p>
            <w:pPr>
              <w:spacing w:after="0"/>
              <w:rPr>
                <w:sz w:val="21"/>
                <w:szCs w:val="21"/>
                <w:color w:val="auto"/>
              </w:rPr>
            </w:pPr>
          </w:p>
        </w:tc>
        <w:tc>
          <w:tcPr>
            <w:tcW w:w="4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12.07</w:t>
            </w:r>
          </w:p>
        </w:tc>
        <w:tc>
          <w:tcPr>
            <w:tcW w:w="2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7.87</w:t>
            </w:r>
          </w:p>
        </w:tc>
        <w:tc>
          <w:tcPr>
            <w:tcW w:w="2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17.84</w:t>
            </w:r>
          </w:p>
        </w:tc>
      </w:tr>
    </w:tbl>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stock-based compensation expense for the years ended December 31, 2024, 2023 and 2022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5"/>
          </w:tcPr>
          <w:p>
            <w:pPr>
              <w:jc w:val="center"/>
              <w:ind w:left="16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174"/>
        </w:trPr>
        <w:tc>
          <w:tcPr>
            <w:tcW w:w="46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Borders>
              <w:bottom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5"/>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4680" w:type="dxa"/>
            <w:vAlign w:val="bottom"/>
            <w:tcBorders>
              <w:bottom w:val="single" w:sz="8" w:color="E6E6E6"/>
            </w:tcBorders>
          </w:tcPr>
          <w:p>
            <w:pPr>
              <w:spacing w:after="0"/>
              <w:rPr>
                <w:sz w:val="19"/>
                <w:szCs w:val="19"/>
                <w:color w:val="auto"/>
              </w:rPr>
            </w:pPr>
          </w:p>
        </w:tc>
        <w:tc>
          <w:tcPr>
            <w:tcW w:w="142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0"/>
        </w:trPr>
        <w:tc>
          <w:tcPr>
            <w:tcW w:w="46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Stock options expense</w:t>
            </w:r>
          </w:p>
        </w:tc>
        <w:tc>
          <w:tcPr>
            <w:tcW w:w="14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6E6E6"/>
          </w:tcPr>
          <w:p>
            <w:pPr>
              <w:spacing w:after="0"/>
              <w:rPr>
                <w:sz w:val="19"/>
                <w:szCs w:val="19"/>
                <w:color w:val="auto"/>
              </w:rPr>
            </w:pPr>
          </w:p>
        </w:tc>
        <w:tc>
          <w:tcPr>
            <w:tcW w:w="56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10,270</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16,826</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19,062</w:t>
            </w:r>
          </w:p>
        </w:tc>
      </w:tr>
      <w:tr>
        <w:trPr>
          <w:trHeight w:val="230"/>
        </w:trPr>
        <w:tc>
          <w:tcPr>
            <w:tcW w:w="468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1420" w:type="dxa"/>
            <w:vAlign w:val="bottom"/>
            <w:tcBorders>
              <w:bottom w:val="single" w:sz="8" w:color="E6E6E6"/>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23,042</w:t>
            </w:r>
          </w:p>
        </w:tc>
        <w:tc>
          <w:tcPr>
            <w:tcW w:w="200" w:type="dxa"/>
            <w:vAlign w:val="bottom"/>
            <w:tcBorders>
              <w:bottom w:val="single" w:sz="8" w:color="E6E6E6"/>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11,363</w:t>
            </w:r>
          </w:p>
        </w:tc>
        <w:tc>
          <w:tcPr>
            <w:tcW w:w="200" w:type="dxa"/>
            <w:vAlign w:val="bottom"/>
            <w:tcBorders>
              <w:bottom w:val="single" w:sz="8" w:color="E6E6E6"/>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8,078</w:t>
            </w:r>
          </w:p>
        </w:tc>
      </w:tr>
      <w:tr>
        <w:trPr>
          <w:trHeight w:val="220"/>
        </w:trPr>
        <w:tc>
          <w:tcPr>
            <w:tcW w:w="46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Total Stock Based Compensation Expense</w:t>
            </w:r>
          </w:p>
        </w:tc>
        <w:tc>
          <w:tcPr>
            <w:tcW w:w="14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E6E6E6"/>
          </w:tcPr>
          <w:p>
            <w:pPr>
              <w:spacing w:after="0"/>
              <w:rPr>
                <w:sz w:val="19"/>
                <w:szCs w:val="19"/>
                <w:color w:val="auto"/>
              </w:rPr>
            </w:pPr>
          </w:p>
        </w:tc>
        <w:tc>
          <w:tcPr>
            <w:tcW w:w="56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w w:val="98"/>
              </w:rPr>
              <w:t>33,312</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28,189</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shd w:val="clear" w:color="auto" w:fill="E6E6E6"/>
          </w:tcPr>
          <w:p>
            <w:pPr>
              <w:spacing w:after="0"/>
              <w:rPr>
                <w:sz w:val="19"/>
                <w:szCs w:val="19"/>
                <w:color w:val="auto"/>
              </w:rPr>
            </w:pPr>
          </w:p>
        </w:tc>
        <w:tc>
          <w:tcPr>
            <w:tcW w:w="11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27,140</w:t>
            </w:r>
          </w:p>
        </w:tc>
      </w:tr>
      <w:tr>
        <w:trPr>
          <w:trHeight w:val="20"/>
        </w:trPr>
        <w:tc>
          <w:tcPr>
            <w:tcW w:w="4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right="520"/>
        <w:spacing w:after="0" w:line="277" w:lineRule="auto"/>
        <w:rPr>
          <w:sz w:val="20"/>
          <w:szCs w:val="20"/>
          <w:color w:val="auto"/>
        </w:rPr>
      </w:pPr>
      <w:r>
        <w:rPr>
          <w:rFonts w:ascii="Times New Roman" w:cs="Times New Roman" w:eastAsia="Times New Roman" w:hAnsi="Times New Roman"/>
          <w:sz w:val="20"/>
          <w:szCs w:val="20"/>
          <w:color w:val="auto"/>
        </w:rPr>
        <w:t>As of December 31, 2024, $77,500 thousand of total unrecognized expense related to stock-based compensation awards is expected to be recognized over a weighted-average period of 2.26 years.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F-37</w:t>
      </w:r>
    </w:p>
    <w:p>
      <w:pPr>
        <w:sectPr>
          <w:pgSz w:w="12240" w:h="15840" w:orient="portrait"/>
          <w:cols w:equalWidth="0" w:num="1">
            <w:col w:w="10800"/>
          </w:cols>
          <w:pgMar w:left="720" w:top="696" w:right="720" w:bottom="175"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6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under which deferred tax assets and liabilities are recognized based upon anticipated future tax consequences attributable to differences between financial statement carrying values of assets and liabilities and the respective tax basis.</w:t>
      </w:r>
    </w:p>
    <w:p>
      <w:pPr>
        <w:spacing w:after="0" w:line="1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color w:val="auto"/>
        </w:rPr>
        <w:t>Green Thumb Industries Inc. is organized in Canada but maintains all of its operations in the United States. Due to this inverted entity structure, the Company is subject to both US and Canadian taxation.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2024, 2023 and 2022, income taxes expense consisted of:</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20"/>
        </w:trPr>
        <w:tc>
          <w:tcPr>
            <w:tcW w:w="36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9"/>
                <w:szCs w:val="19"/>
                <w:color w:val="auto"/>
              </w:rPr>
            </w:pPr>
          </w:p>
        </w:tc>
        <w:tc>
          <w:tcPr>
            <w:tcW w:w="142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0"/>
        </w:trPr>
        <w:tc>
          <w:tcPr>
            <w:tcW w:w="3640" w:type="dxa"/>
            <w:vAlign w:val="bottom"/>
            <w:tcBorders>
              <w:bottom w:val="single" w:sz="8" w:color="E6E6E6"/>
            </w:tcBorders>
          </w:tcPr>
          <w:p>
            <w:pPr>
              <w:spacing w:after="0"/>
              <w:rPr>
                <w:sz w:val="19"/>
                <w:szCs w:val="19"/>
                <w:color w:val="auto"/>
              </w:rPr>
            </w:pPr>
          </w:p>
        </w:tc>
        <w:tc>
          <w:tcPr>
            <w:tcW w:w="250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20"/>
        </w:trPr>
        <w:tc>
          <w:tcPr>
            <w:tcW w:w="36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Current:</w:t>
            </w:r>
          </w:p>
        </w:tc>
        <w:tc>
          <w:tcPr>
            <w:tcW w:w="2500" w:type="dxa"/>
            <w:vAlign w:val="bottom"/>
            <w:shd w:val="clear" w:color="auto" w:fill="E6E6E6"/>
          </w:tcPr>
          <w:p>
            <w:pPr>
              <w:spacing w:after="0"/>
              <w:rPr>
                <w:sz w:val="19"/>
                <w:szCs w:val="19"/>
                <w:color w:val="auto"/>
              </w:rPr>
            </w:pPr>
          </w:p>
        </w:tc>
        <w:tc>
          <w:tcPr>
            <w:tcW w:w="14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420" w:type="dxa"/>
            <w:vAlign w:val="bottom"/>
            <w:shd w:val="clear" w:color="auto" w:fill="E6E6E6"/>
          </w:tcPr>
          <w:p>
            <w:pPr>
              <w:spacing w:after="0"/>
              <w:rPr>
                <w:sz w:val="19"/>
                <w:szCs w:val="19"/>
                <w:color w:val="auto"/>
              </w:rPr>
            </w:pP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spacing w:after="0"/>
              <w:rPr>
                <w:sz w:val="19"/>
                <w:szCs w:val="19"/>
                <w:color w:val="auto"/>
              </w:rPr>
            </w:pPr>
          </w:p>
        </w:tc>
      </w:tr>
      <w:tr>
        <w:trPr>
          <w:trHeight w:val="230"/>
        </w:trPr>
        <w:tc>
          <w:tcPr>
            <w:tcW w:w="3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Federal</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109,826</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108,399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106,425</w:t>
            </w:r>
          </w:p>
        </w:tc>
      </w:tr>
      <w:tr>
        <w:trPr>
          <w:trHeight w:val="230"/>
        </w:trPr>
        <w:tc>
          <w:tcPr>
            <w:tcW w:w="36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State</w:t>
            </w:r>
          </w:p>
        </w:tc>
        <w:tc>
          <w:tcPr>
            <w:tcW w:w="250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22,512</w:t>
            </w:r>
          </w:p>
        </w:tc>
        <w:tc>
          <w:tcPr>
            <w:tcW w:w="20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24,674</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36,436</w:t>
            </w:r>
          </w:p>
        </w:tc>
      </w:tr>
      <w:tr>
        <w:trPr>
          <w:trHeight w:val="230"/>
        </w:trPr>
        <w:tc>
          <w:tcPr>
            <w:tcW w:w="3640" w:type="dxa"/>
            <w:vAlign w:val="bottom"/>
            <w:tcBorders>
              <w:bottom w:val="single" w:sz="8" w:color="E6E6E6"/>
            </w:tcBorders>
          </w:tcPr>
          <w:p>
            <w:pPr>
              <w:ind w:left="300"/>
              <w:spacing w:after="0"/>
              <w:rPr>
                <w:sz w:val="20"/>
                <w:szCs w:val="20"/>
                <w:color w:val="auto"/>
              </w:rPr>
            </w:pPr>
            <w:r>
              <w:rPr>
                <w:rFonts w:ascii="Times New Roman" w:cs="Times New Roman" w:eastAsia="Times New Roman" w:hAnsi="Times New Roman"/>
                <w:sz w:val="20"/>
                <w:szCs w:val="20"/>
                <w:color w:val="auto"/>
              </w:rPr>
              <w:t>Foreign</w:t>
            </w:r>
          </w:p>
        </w:tc>
        <w:tc>
          <w:tcPr>
            <w:tcW w:w="250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0"/>
        </w:trPr>
        <w:tc>
          <w:tcPr>
            <w:tcW w:w="3640" w:type="dxa"/>
            <w:vAlign w:val="bottom"/>
            <w:tcBorders>
              <w:bottom w:val="single" w:sz="8" w:color="E6E6E6"/>
            </w:tcBorders>
            <w:shd w:val="clear" w:color="auto" w:fill="E6E6E6"/>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Current</w:t>
            </w:r>
          </w:p>
        </w:tc>
        <w:tc>
          <w:tcPr>
            <w:tcW w:w="2500" w:type="dxa"/>
            <w:vAlign w:val="bottom"/>
            <w:tcBorders>
              <w:bottom w:val="single" w:sz="8" w:color="E6E6E6"/>
            </w:tcBorders>
            <w:shd w:val="clear" w:color="auto" w:fill="E6E6E6"/>
          </w:tcPr>
          <w:p>
            <w:pPr>
              <w:spacing w:after="0"/>
              <w:rPr>
                <w:sz w:val="20"/>
                <w:szCs w:val="20"/>
                <w:color w:val="auto"/>
              </w:rPr>
            </w:pPr>
          </w:p>
        </w:tc>
        <w:tc>
          <w:tcPr>
            <w:tcW w:w="14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132,338</w:t>
            </w:r>
          </w:p>
        </w:tc>
        <w:tc>
          <w:tcPr>
            <w:tcW w:w="200" w:type="dxa"/>
            <w:vAlign w:val="bottom"/>
            <w:tcBorders>
              <w:bottom w:val="single" w:sz="8" w:color="E6E6E6"/>
            </w:tcBorders>
            <w:shd w:val="clear" w:color="auto" w:fill="E6E6E6"/>
          </w:tcPr>
          <w:p>
            <w:pPr>
              <w:spacing w:after="0"/>
              <w:rPr>
                <w:sz w:val="20"/>
                <w:szCs w:val="20"/>
                <w:color w:val="auto"/>
              </w:rPr>
            </w:pPr>
          </w:p>
        </w:tc>
        <w:tc>
          <w:tcPr>
            <w:tcW w:w="14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133,073</w:t>
            </w:r>
          </w:p>
        </w:tc>
        <w:tc>
          <w:tcPr>
            <w:tcW w:w="220" w:type="dxa"/>
            <w:vAlign w:val="bottom"/>
            <w:tcBorders>
              <w:bottom w:val="single" w:sz="8" w:color="E6E6E6"/>
            </w:tcBorders>
            <w:shd w:val="clear" w:color="auto" w:fill="E6E6E6"/>
          </w:tcPr>
          <w:p>
            <w:pPr>
              <w:spacing w:after="0"/>
              <w:rPr>
                <w:sz w:val="20"/>
                <w:szCs w:val="20"/>
                <w:color w:val="auto"/>
              </w:rPr>
            </w:pPr>
          </w:p>
        </w:tc>
        <w:tc>
          <w:tcPr>
            <w:tcW w:w="280" w:type="dxa"/>
            <w:vAlign w:val="bottom"/>
            <w:tcBorders>
              <w:bottom w:val="single" w:sz="8" w:color="auto"/>
            </w:tcBorders>
            <w:shd w:val="clear" w:color="auto" w:fill="E6E6E6"/>
          </w:tcPr>
          <w:p>
            <w:pPr>
              <w:spacing w:after="0"/>
              <w:rPr>
                <w:sz w:val="20"/>
                <w:szCs w:val="20"/>
                <w:color w:val="auto"/>
              </w:rPr>
            </w:pPr>
          </w:p>
        </w:tc>
        <w:tc>
          <w:tcPr>
            <w:tcW w:w="11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142,861</w:t>
            </w:r>
          </w:p>
        </w:tc>
      </w:tr>
      <w:tr>
        <w:trPr>
          <w:trHeight w:val="200"/>
        </w:trPr>
        <w:tc>
          <w:tcPr>
            <w:tcW w:w="364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Deferred:</w:t>
            </w:r>
          </w:p>
        </w:tc>
        <w:tc>
          <w:tcPr>
            <w:tcW w:w="2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3640" w:type="dxa"/>
            <w:vAlign w:val="bottom"/>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Federal</w:t>
            </w:r>
          </w:p>
        </w:tc>
        <w:tc>
          <w:tcPr>
            <w:tcW w:w="250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(4,604)</w:t>
            </w:r>
          </w:p>
        </w:tc>
        <w:tc>
          <w:tcPr>
            <w:tcW w:w="200" w:type="dxa"/>
            <w:vAlign w:val="bottom"/>
            <w:shd w:val="clear" w:color="auto" w:fill="E6E6E6"/>
          </w:tcPr>
          <w:p>
            <w:pPr>
              <w:spacing w:after="0"/>
              <w:rPr>
                <w:sz w:val="19"/>
                <w:szCs w:val="19"/>
                <w:color w:val="auto"/>
              </w:rPr>
            </w:pPr>
          </w:p>
        </w:tc>
        <w:tc>
          <w:tcPr>
            <w:tcW w:w="14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(10,694)</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(37,362)</w:t>
            </w:r>
          </w:p>
        </w:tc>
      </w:tr>
      <w:tr>
        <w:trPr>
          <w:trHeight w:val="230"/>
        </w:trPr>
        <w:tc>
          <w:tcPr>
            <w:tcW w:w="36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State</w:t>
            </w:r>
          </w:p>
        </w:tc>
        <w:tc>
          <w:tcPr>
            <w:tcW w:w="2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(1,446)</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(10,722)</w:t>
            </w:r>
          </w:p>
        </w:tc>
      </w:tr>
      <w:tr>
        <w:trPr>
          <w:trHeight w:val="250"/>
        </w:trPr>
        <w:tc>
          <w:tcPr>
            <w:tcW w:w="3640" w:type="dxa"/>
            <w:vAlign w:val="bottom"/>
            <w:tcBorders>
              <w:bottom w:val="single" w:sz="8" w:color="E6E6E6"/>
            </w:tcBorders>
            <w:shd w:val="clear" w:color="auto" w:fill="E6E6E6"/>
          </w:tcPr>
          <w:p>
            <w:pPr>
              <w:ind w:left="300"/>
              <w:spacing w:after="0"/>
              <w:rPr>
                <w:sz w:val="20"/>
                <w:szCs w:val="20"/>
                <w:color w:val="auto"/>
              </w:rPr>
            </w:pPr>
            <w:r>
              <w:rPr>
                <w:rFonts w:ascii="Times New Roman" w:cs="Times New Roman" w:eastAsia="Times New Roman" w:hAnsi="Times New Roman"/>
                <w:sz w:val="20"/>
                <w:szCs w:val="20"/>
                <w:color w:val="auto"/>
              </w:rPr>
              <w:t>Foreign</w:t>
            </w:r>
          </w:p>
        </w:tc>
        <w:tc>
          <w:tcPr>
            <w:tcW w:w="2500" w:type="dxa"/>
            <w:vAlign w:val="bottom"/>
            <w:tcBorders>
              <w:bottom w:val="single" w:sz="8" w:color="E6E6E6"/>
            </w:tcBorders>
            <w:shd w:val="clear" w:color="auto" w:fill="E6E6E6"/>
          </w:tcPr>
          <w:p>
            <w:pPr>
              <w:spacing w:after="0"/>
              <w:rPr>
                <w:sz w:val="21"/>
                <w:szCs w:val="21"/>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E6E6E6"/>
            </w:tcBorders>
            <w:shd w:val="clear" w:color="auto" w:fill="E6E6E6"/>
          </w:tcPr>
          <w:p>
            <w:pPr>
              <w:spacing w:after="0"/>
              <w:rPr>
                <w:sz w:val="21"/>
                <w:szCs w:val="21"/>
                <w:color w:val="auto"/>
              </w:rPr>
            </w:pPr>
          </w:p>
        </w:tc>
        <w:tc>
          <w:tcPr>
            <w:tcW w:w="14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6E6E6"/>
            </w:tcBorders>
            <w:shd w:val="clear" w:color="auto" w:fill="E6E6E6"/>
          </w:tcPr>
          <w:p>
            <w:pPr>
              <w:spacing w:after="0"/>
              <w:rPr>
                <w:sz w:val="21"/>
                <w:szCs w:val="21"/>
                <w:color w:val="auto"/>
              </w:rPr>
            </w:pPr>
          </w:p>
        </w:tc>
        <w:tc>
          <w:tcPr>
            <w:tcW w:w="280" w:type="dxa"/>
            <w:vAlign w:val="bottom"/>
            <w:tcBorders>
              <w:bottom w:val="single" w:sz="8" w:color="auto"/>
            </w:tcBorders>
            <w:shd w:val="clear" w:color="auto" w:fill="E6E6E6"/>
          </w:tcPr>
          <w:p>
            <w:pPr>
              <w:spacing w:after="0"/>
              <w:rPr>
                <w:sz w:val="21"/>
                <w:szCs w:val="21"/>
                <w:color w:val="auto"/>
              </w:rPr>
            </w:pPr>
          </w:p>
        </w:tc>
        <w:tc>
          <w:tcPr>
            <w:tcW w:w="11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0"/>
        </w:trPr>
        <w:tc>
          <w:tcPr>
            <w:tcW w:w="3640" w:type="dxa"/>
            <w:vAlign w:val="bottom"/>
            <w:tcBorders>
              <w:bottom w:val="single" w:sz="8" w:color="E6E6E6"/>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Total Deferred</w:t>
            </w:r>
          </w:p>
        </w:tc>
        <w:tc>
          <w:tcPr>
            <w:tcW w:w="2500" w:type="dxa"/>
            <w:vAlign w:val="bottom"/>
            <w:tcBorders>
              <w:bottom w:val="single" w:sz="8" w:color="E6E6E6"/>
            </w:tcBorders>
          </w:tcPr>
          <w:p>
            <w:pPr>
              <w:spacing w:after="0"/>
              <w:rPr>
                <w:sz w:val="17"/>
                <w:szCs w:val="17"/>
                <w:color w:val="auto"/>
              </w:rPr>
            </w:pPr>
          </w:p>
        </w:tc>
        <w:tc>
          <w:tcPr>
            <w:tcW w:w="14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(6,050)</w:t>
            </w:r>
          </w:p>
        </w:tc>
        <w:tc>
          <w:tcPr>
            <w:tcW w:w="200" w:type="dxa"/>
            <w:vAlign w:val="bottom"/>
            <w:tcBorders>
              <w:bottom w:val="single" w:sz="8" w:color="E6E6E6"/>
            </w:tcBorders>
          </w:tcPr>
          <w:p>
            <w:pPr>
              <w:spacing w:after="0"/>
              <w:rPr>
                <w:sz w:val="17"/>
                <w:szCs w:val="17"/>
                <w:color w:val="auto"/>
              </w:rPr>
            </w:pPr>
          </w:p>
        </w:tc>
        <w:tc>
          <w:tcPr>
            <w:tcW w:w="14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(14,443)</w:t>
            </w:r>
          </w:p>
        </w:tc>
        <w:tc>
          <w:tcPr>
            <w:tcW w:w="220" w:type="dxa"/>
            <w:vAlign w:val="bottom"/>
            <w:tcBorders>
              <w:bottom w:val="single" w:sz="8" w:color="E6E6E6"/>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(48,084)</w:t>
            </w:r>
          </w:p>
        </w:tc>
      </w:tr>
      <w:tr>
        <w:trPr>
          <w:trHeight w:val="220"/>
        </w:trPr>
        <w:tc>
          <w:tcPr>
            <w:tcW w:w="36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Total</w:t>
            </w:r>
          </w:p>
        </w:tc>
        <w:tc>
          <w:tcPr>
            <w:tcW w:w="25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126,288</w:t>
            </w:r>
          </w:p>
        </w:tc>
        <w:tc>
          <w:tcPr>
            <w:tcW w:w="2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4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118,630</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Borders>
              <w:bottom w:val="single" w:sz="8" w:color="auto"/>
            </w:tcBorders>
            <w:shd w:val="clear" w:color="auto" w:fill="E6E6E6"/>
          </w:tcPr>
          <w:p>
            <w:pPr>
              <w:spacing w:after="0"/>
              <w:rPr>
                <w:sz w:val="19"/>
                <w:szCs w:val="19"/>
                <w:color w:val="auto"/>
              </w:rPr>
            </w:pPr>
          </w:p>
        </w:tc>
        <w:tc>
          <w:tcPr>
            <w:tcW w:w="114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94,777</w:t>
            </w:r>
          </w:p>
        </w:tc>
      </w:tr>
      <w:tr>
        <w:trPr>
          <w:trHeight w:val="20"/>
        </w:trPr>
        <w:tc>
          <w:tcPr>
            <w:tcW w:w="3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The difference between the income tax expense for the years ended December 31, 2024, 2023 and 2022 and the expected income taxes based on the statutory tax rate applied to earnings (loss) arises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20" w:type="dxa"/>
            <w:vAlign w:val="bottom"/>
            <w:tcBorders>
              <w:bottom w:val="single" w:sz="8" w:color="auto"/>
            </w:tcBorders>
            <w:gridSpan w:val="5"/>
          </w:tcPr>
          <w:p>
            <w:pPr>
              <w:ind w:left="13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43"/>
        </w:trPr>
        <w:tc>
          <w:tcPr>
            <w:tcW w:w="48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4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43"/>
        </w:trPr>
        <w:tc>
          <w:tcPr>
            <w:tcW w:w="4840" w:type="dxa"/>
            <w:vAlign w:val="bottom"/>
            <w:tcBorders>
              <w:bottom w:val="single" w:sz="8" w:color="E6E6E6"/>
            </w:tcBorders>
          </w:tcPr>
          <w:p>
            <w:pPr>
              <w:spacing w:after="0"/>
              <w:rPr>
                <w:sz w:val="21"/>
                <w:szCs w:val="21"/>
                <w:color w:val="auto"/>
              </w:rPr>
            </w:pPr>
          </w:p>
        </w:tc>
        <w:tc>
          <w:tcPr>
            <w:tcW w:w="1320" w:type="dxa"/>
            <w:vAlign w:val="bottom"/>
            <w:tcBorders>
              <w:bottom w:val="single" w:sz="8" w:color="E6E6E6"/>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20"/>
        </w:trPr>
        <w:tc>
          <w:tcPr>
            <w:tcW w:w="48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Income before Income Taxes</w:t>
            </w:r>
          </w:p>
        </w:tc>
        <w:tc>
          <w:tcPr>
            <w:tcW w:w="13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200,139</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156,049</w:t>
            </w:r>
          </w:p>
        </w:tc>
        <w:tc>
          <w:tcPr>
            <w:tcW w:w="2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auto"/>
            </w:tcBorders>
            <w:shd w:val="clear" w:color="auto" w:fill="E6E6E6"/>
          </w:tcPr>
          <w:p>
            <w:pPr>
              <w:spacing w:after="0"/>
              <w:rPr>
                <w:sz w:val="19"/>
                <w:szCs w:val="19"/>
                <w:color w:val="auto"/>
              </w:rPr>
            </w:pPr>
          </w:p>
        </w:tc>
        <w:tc>
          <w:tcPr>
            <w:tcW w:w="1120" w:type="dxa"/>
            <w:vAlign w:val="bottom"/>
            <w:tcBorders>
              <w:bottom w:val="single" w:sz="8" w:color="auto"/>
            </w:tcBorders>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108,432</w:t>
            </w:r>
          </w:p>
        </w:tc>
      </w:tr>
      <w:tr>
        <w:trPr>
          <w:trHeight w:val="220"/>
        </w:trPr>
        <w:tc>
          <w:tcPr>
            <w:tcW w:w="4840" w:type="dxa"/>
            <w:vAlign w:val="bottom"/>
            <w:tcBorders>
              <w:bottom w:val="single" w:sz="8" w:color="E6E6E6"/>
            </w:tcBorders>
          </w:tcPr>
          <w:p>
            <w:pPr>
              <w:spacing w:after="0" w:line="220" w:lineRule="exact"/>
              <w:rPr>
                <w:sz w:val="20"/>
                <w:szCs w:val="20"/>
                <w:color w:val="auto"/>
              </w:rPr>
            </w:pPr>
            <w:r>
              <w:rPr>
                <w:rFonts w:ascii="Times New Roman" w:cs="Times New Roman" w:eastAsia="Times New Roman" w:hAnsi="Times New Roman"/>
                <w:sz w:val="20"/>
                <w:szCs w:val="20"/>
                <w:color w:val="auto"/>
              </w:rPr>
              <w:t>Statutory Tax Rates</w:t>
            </w:r>
          </w:p>
        </w:tc>
        <w:tc>
          <w:tcPr>
            <w:tcW w:w="132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220" w:type="dxa"/>
            <w:vAlign w:val="bottom"/>
            <w:tcBorders>
              <w:bottom w:val="single" w:sz="8" w:color="E6E6E6"/>
            </w:tcBorders>
          </w:tcPr>
          <w:p>
            <w:pPr>
              <w:spacing w:after="0"/>
              <w:rPr>
                <w:sz w:val="19"/>
                <w:szCs w:val="19"/>
                <w:color w:val="auto"/>
              </w:rPr>
            </w:pP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22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w:t>
            </w:r>
          </w:p>
        </w:tc>
      </w:tr>
      <w:tr>
        <w:trPr>
          <w:trHeight w:val="220"/>
        </w:trPr>
        <w:tc>
          <w:tcPr>
            <w:tcW w:w="484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color w:val="auto"/>
              </w:rPr>
              <w:t>Expense/(Recovery) based on Statutory Rates</w:t>
            </w:r>
          </w:p>
        </w:tc>
        <w:tc>
          <w:tcPr>
            <w:tcW w:w="13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42,029</w:t>
            </w:r>
          </w:p>
        </w:tc>
        <w:tc>
          <w:tcPr>
            <w:tcW w:w="2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32,770</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color w:val="auto"/>
              </w:rPr>
              <w:t>22,771</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State Taxes</w:t>
            </w:r>
          </w:p>
        </w:tc>
        <w:tc>
          <w:tcPr>
            <w:tcW w:w="1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22,646</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24,077</w:t>
            </w:r>
          </w:p>
        </w:tc>
      </w:tr>
      <w:tr>
        <w:trPr>
          <w:trHeight w:val="230"/>
        </w:trPr>
        <w:tc>
          <w:tcPr>
            <w:tcW w:w="4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Provision to Return Adjustment</w:t>
            </w:r>
          </w:p>
        </w:tc>
        <w:tc>
          <w:tcPr>
            <w:tcW w:w="13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(5,810)</w:t>
            </w:r>
          </w:p>
        </w:tc>
        <w:tc>
          <w:tcPr>
            <w:tcW w:w="2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(9,188)</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499</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for Stock Compensation</w:t>
            </w:r>
          </w:p>
        </w:tc>
        <w:tc>
          <w:tcPr>
            <w:tcW w:w="1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5,291</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30"/>
        </w:trPr>
        <w:tc>
          <w:tcPr>
            <w:tcW w:w="4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13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52,578</w:t>
            </w:r>
          </w:p>
        </w:tc>
        <w:tc>
          <w:tcPr>
            <w:tcW w:w="2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49,635</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40,870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Change in State Rate Reconciliation</w:t>
            </w:r>
          </w:p>
        </w:tc>
        <w:tc>
          <w:tcPr>
            <w:tcW w:w="1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30"/>
        </w:trPr>
        <w:tc>
          <w:tcPr>
            <w:tcW w:w="4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22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shd w:val="clear" w:color="auto" w:fill="E6E6E6"/>
          </w:tcPr>
          <w:p>
            <w:pPr>
              <w:spacing w:after="0"/>
              <w:rPr>
                <w:sz w:val="19"/>
                <w:szCs w:val="19"/>
                <w:color w:val="auto"/>
              </w:rPr>
            </w:pPr>
          </w:p>
        </w:tc>
        <w:tc>
          <w:tcPr>
            <w:tcW w:w="280" w:type="dxa"/>
            <w:vAlign w:val="bottom"/>
            <w:shd w:val="clear" w:color="auto" w:fill="E6E6E6"/>
          </w:tcPr>
          <w:p>
            <w:pPr>
              <w:spacing w:after="0"/>
              <w:rPr>
                <w:sz w:val="19"/>
                <w:szCs w:val="19"/>
                <w:color w:val="auto"/>
              </w:rPr>
            </w:pPr>
          </w:p>
        </w:tc>
        <w:tc>
          <w:tcPr>
            <w:tcW w:w="11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(25,970)</w:t>
            </w: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Change in Uncertain Tax Position</w:t>
            </w:r>
          </w:p>
        </w:tc>
        <w:tc>
          <w:tcPr>
            <w:tcW w:w="1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10,290</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30,607</w:t>
            </w:r>
          </w:p>
        </w:tc>
      </w:tr>
      <w:tr>
        <w:trPr>
          <w:trHeight w:val="230"/>
        </w:trPr>
        <w:tc>
          <w:tcPr>
            <w:tcW w:w="4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Other Differences</w:t>
            </w:r>
          </w:p>
        </w:tc>
        <w:tc>
          <w:tcPr>
            <w:tcW w:w="1320" w:type="dxa"/>
            <w:vAlign w:val="bottom"/>
            <w:shd w:val="clear" w:color="auto" w:fill="E6E6E6"/>
          </w:tcPr>
          <w:p>
            <w:pPr>
              <w:spacing w:after="0"/>
              <w:rPr>
                <w:sz w:val="19"/>
                <w:szCs w:val="19"/>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(2,367)</w:t>
            </w:r>
          </w:p>
        </w:tc>
        <w:tc>
          <w:tcPr>
            <w:tcW w:w="220" w:type="dxa"/>
            <w:vAlign w:val="bottom"/>
            <w:shd w:val="clear" w:color="auto" w:fill="E6E6E6"/>
          </w:tcPr>
          <w:p>
            <w:pPr>
              <w:spacing w:after="0"/>
              <w:rPr>
                <w:sz w:val="19"/>
                <w:szCs w:val="19"/>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(1,550)</w:t>
            </w:r>
          </w:p>
        </w:tc>
        <w:tc>
          <w:tcPr>
            <w:tcW w:w="220" w:type="dxa"/>
            <w:vAlign w:val="bottom"/>
            <w:shd w:val="clear" w:color="auto" w:fill="E6E6E6"/>
          </w:tcPr>
          <w:p>
            <w:pPr>
              <w:spacing w:after="0"/>
              <w:rPr>
                <w:sz w:val="19"/>
                <w:szCs w:val="19"/>
                <w:color w:val="auto"/>
              </w:rPr>
            </w:pPr>
          </w:p>
        </w:tc>
        <w:tc>
          <w:tcPr>
            <w:tcW w:w="280" w:type="dxa"/>
            <w:vAlign w:val="bottom"/>
            <w:tcBorders>
              <w:bottom w:val="single" w:sz="8" w:color="auto"/>
            </w:tcBorders>
            <w:shd w:val="clear" w:color="auto" w:fill="E6E6E6"/>
          </w:tcPr>
          <w:p>
            <w:pPr>
              <w:spacing w:after="0"/>
              <w:rPr>
                <w:sz w:val="19"/>
                <w:szCs w:val="19"/>
                <w:color w:val="auto"/>
              </w:rPr>
            </w:pPr>
          </w:p>
        </w:tc>
        <w:tc>
          <w:tcPr>
            <w:tcW w:w="11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1,553</w:t>
            </w:r>
          </w:p>
        </w:tc>
      </w:tr>
      <w:tr>
        <w:trPr>
          <w:trHeight w:val="220"/>
        </w:trPr>
        <w:tc>
          <w:tcPr>
            <w:tcW w:w="484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Income Tax Expense</w:t>
            </w:r>
          </w:p>
        </w:tc>
        <w:tc>
          <w:tcPr>
            <w:tcW w:w="13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126,288</w:t>
            </w: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118,630</w:t>
            </w:r>
          </w:p>
        </w:tc>
        <w:tc>
          <w:tcPr>
            <w:tcW w:w="2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94,777</w:t>
            </w:r>
          </w:p>
        </w:tc>
      </w:tr>
      <w:tr>
        <w:trPr>
          <w:trHeight w:val="20"/>
        </w:trPr>
        <w:tc>
          <w:tcPr>
            <w:tcW w:w="4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Income taxes paid for the years ended December 31, 2024, 2023 and 2022 were $130,583 thousand, $99,535 thousand and $118,176 thousand, respectively.</w:t>
      </w:r>
    </w:p>
    <w:p>
      <w:pPr>
        <w:spacing w:after="0" w:line="15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F-38</w:t>
      </w:r>
    </w:p>
    <w:p>
      <w:pPr>
        <w:sectPr>
          <w:pgSz w:w="12240" w:h="15840" w:orient="portrait"/>
          <w:cols w:equalWidth="0" w:num="1">
            <w:col w:w="10800"/>
          </w:cols>
          <w:pgMar w:left="720" w:top="696" w:right="720" w:bottom="186"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INCOME TAX EXPENSE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Deferred taxes are provided using an asset and liability method whereby deferred tax assets are recognized based on the rates at which they are expected to reverse in the future. Temporary differences are the differences between the reported amounts of assets and liabilities and their tax basis. The effect on deferred tax assets and liabilities of a change in tax law or tax rates is recognized in income in the period that enactment occurs.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2024 and 2023, the components of deferred tax assets and liabilities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7"/>
                <w:szCs w:val="17"/>
                <w:color w:val="auto"/>
              </w:rPr>
            </w:pPr>
          </w:p>
        </w:tc>
      </w:tr>
      <w:tr>
        <w:trPr>
          <w:trHeight w:val="257"/>
        </w:trPr>
        <w:tc>
          <w:tcPr>
            <w:tcW w:w="41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92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7"/>
        </w:trPr>
        <w:tc>
          <w:tcPr>
            <w:tcW w:w="4180" w:type="dxa"/>
            <w:vAlign w:val="bottom"/>
            <w:tcBorders>
              <w:bottom w:val="single" w:sz="8" w:color="E6E6E6"/>
            </w:tcBorders>
          </w:tcPr>
          <w:p>
            <w:pPr>
              <w:spacing w:after="0"/>
              <w:rPr>
                <w:sz w:val="21"/>
                <w:szCs w:val="21"/>
                <w:color w:val="auto"/>
              </w:rPr>
            </w:pPr>
          </w:p>
        </w:tc>
        <w:tc>
          <w:tcPr>
            <w:tcW w:w="1860" w:type="dxa"/>
            <w:vAlign w:val="bottom"/>
            <w:tcBorders>
              <w:bottom w:val="single" w:sz="8" w:color="E6E6E6"/>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40" w:type="dxa"/>
            <w:vAlign w:val="bottom"/>
            <w:tcBorders>
              <w:bottom w:val="single" w:sz="8" w:color="auto"/>
            </w:tcBorders>
          </w:tcPr>
          <w:p>
            <w:pPr>
              <w:spacing w:after="0"/>
              <w:rPr>
                <w:sz w:val="21"/>
                <w:szCs w:val="21"/>
                <w:color w:val="auto"/>
              </w:rPr>
            </w:pPr>
          </w:p>
        </w:tc>
      </w:tr>
      <w:tr>
        <w:trPr>
          <w:trHeight w:val="234"/>
        </w:trPr>
        <w:tc>
          <w:tcPr>
            <w:tcW w:w="4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860" w:type="dxa"/>
            <w:vAlign w:val="bottom"/>
            <w:shd w:val="clear" w:color="auto" w:fill="E6E6E6"/>
          </w:tcPr>
          <w:p>
            <w:pPr>
              <w:spacing w:after="0"/>
              <w:rPr>
                <w:sz w:val="20"/>
                <w:szCs w:val="20"/>
                <w:color w:val="auto"/>
              </w:rPr>
            </w:pPr>
          </w:p>
        </w:tc>
        <w:tc>
          <w:tcPr>
            <w:tcW w:w="1360" w:type="dxa"/>
            <w:vAlign w:val="bottom"/>
            <w:shd w:val="clear" w:color="auto" w:fill="E6E6E6"/>
          </w:tcPr>
          <w:p>
            <w:pPr>
              <w:spacing w:after="0"/>
              <w:rPr>
                <w:sz w:val="20"/>
                <w:szCs w:val="20"/>
                <w:color w:val="auto"/>
              </w:rPr>
            </w:pPr>
          </w:p>
        </w:tc>
        <w:tc>
          <w:tcPr>
            <w:tcW w:w="920" w:type="dxa"/>
            <w:vAlign w:val="bottom"/>
            <w:shd w:val="clear" w:color="auto" w:fill="E6E6E6"/>
          </w:tcPr>
          <w:p>
            <w:pPr>
              <w:spacing w:after="0"/>
              <w:rPr>
                <w:sz w:val="20"/>
                <w:szCs w:val="20"/>
                <w:color w:val="auto"/>
              </w:rPr>
            </w:pPr>
          </w:p>
        </w:tc>
        <w:tc>
          <w:tcPr>
            <w:tcW w:w="380" w:type="dxa"/>
            <w:vAlign w:val="bottom"/>
            <w:shd w:val="clear" w:color="auto" w:fill="E6E6E6"/>
          </w:tcPr>
          <w:p>
            <w:pPr>
              <w:spacing w:after="0"/>
              <w:rPr>
                <w:sz w:val="20"/>
                <w:szCs w:val="20"/>
                <w:color w:val="auto"/>
              </w:rPr>
            </w:pPr>
          </w:p>
        </w:tc>
        <w:tc>
          <w:tcPr>
            <w:tcW w:w="760" w:type="dxa"/>
            <w:vAlign w:val="bottom"/>
            <w:shd w:val="clear" w:color="auto" w:fill="E6E6E6"/>
          </w:tcPr>
          <w:p>
            <w:pPr>
              <w:spacing w:after="0"/>
              <w:rPr>
                <w:sz w:val="20"/>
                <w:szCs w:val="20"/>
                <w:color w:val="auto"/>
              </w:rPr>
            </w:pPr>
          </w:p>
        </w:tc>
        <w:tc>
          <w:tcPr>
            <w:tcW w:w="1340" w:type="dxa"/>
            <w:vAlign w:val="bottom"/>
            <w:shd w:val="clear" w:color="auto" w:fill="E6E6E6"/>
          </w:tcPr>
          <w:p>
            <w:pPr>
              <w:spacing w:after="0"/>
              <w:rPr>
                <w:sz w:val="20"/>
                <w:szCs w:val="20"/>
                <w:color w:val="auto"/>
              </w:rPr>
            </w:pP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62,753</w:t>
            </w: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58,591</w:t>
            </w:r>
          </w:p>
        </w:tc>
      </w:tr>
      <w:tr>
        <w:trPr>
          <w:trHeight w:val="244"/>
        </w:trPr>
        <w:tc>
          <w:tcPr>
            <w:tcW w:w="4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Net Operating Losses</w:t>
            </w:r>
          </w:p>
        </w:tc>
        <w:tc>
          <w:tcPr>
            <w:tcW w:w="186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38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163(j) Interest Limitation</w:t>
            </w:r>
          </w:p>
        </w:tc>
        <w:tc>
          <w:tcPr>
            <w:tcW w:w="1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8,395</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7,313</w:t>
            </w:r>
          </w:p>
        </w:tc>
      </w:tr>
      <w:tr>
        <w:trPr>
          <w:trHeight w:val="244"/>
        </w:trPr>
        <w:tc>
          <w:tcPr>
            <w:tcW w:w="4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Stock-based Compensation</w:t>
            </w:r>
          </w:p>
        </w:tc>
        <w:tc>
          <w:tcPr>
            <w:tcW w:w="186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12,076</w:t>
            </w:r>
          </w:p>
        </w:tc>
        <w:tc>
          <w:tcPr>
            <w:tcW w:w="38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14,166</w:t>
            </w: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Capitalized Inventory</w:t>
            </w:r>
          </w:p>
        </w:tc>
        <w:tc>
          <w:tcPr>
            <w:tcW w:w="1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8,509</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7,725</w:t>
            </w:r>
          </w:p>
        </w:tc>
      </w:tr>
      <w:tr>
        <w:trPr>
          <w:trHeight w:val="244"/>
        </w:trPr>
        <w:tc>
          <w:tcPr>
            <w:tcW w:w="4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Fair Value Investments</w:t>
            </w:r>
          </w:p>
        </w:tc>
        <w:tc>
          <w:tcPr>
            <w:tcW w:w="186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11,190</w:t>
            </w:r>
          </w:p>
        </w:tc>
        <w:tc>
          <w:tcPr>
            <w:tcW w:w="38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8,875</w:t>
            </w: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Accrued Bonus</w:t>
            </w:r>
          </w:p>
        </w:tc>
        <w:tc>
          <w:tcPr>
            <w:tcW w:w="1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6,541</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4"/>
        </w:trPr>
        <w:tc>
          <w:tcPr>
            <w:tcW w:w="4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1860" w:type="dxa"/>
            <w:vAlign w:val="bottom"/>
            <w:shd w:val="clear" w:color="auto" w:fill="E6E6E6"/>
          </w:tcPr>
          <w:p>
            <w:pPr>
              <w:spacing w:after="0"/>
              <w:rPr>
                <w:sz w:val="21"/>
                <w:szCs w:val="21"/>
                <w:color w:val="auto"/>
              </w:rPr>
            </w:pPr>
          </w:p>
        </w:tc>
        <w:tc>
          <w:tcPr>
            <w:tcW w:w="13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2,682</w:t>
            </w:r>
          </w:p>
        </w:tc>
        <w:tc>
          <w:tcPr>
            <w:tcW w:w="380" w:type="dxa"/>
            <w:vAlign w:val="bottom"/>
            <w:shd w:val="clear" w:color="auto" w:fill="E6E6E6"/>
          </w:tcPr>
          <w:p>
            <w:pPr>
              <w:spacing w:after="0"/>
              <w:rPr>
                <w:sz w:val="21"/>
                <w:szCs w:val="21"/>
                <w:color w:val="auto"/>
              </w:rPr>
            </w:pPr>
          </w:p>
        </w:tc>
        <w:tc>
          <w:tcPr>
            <w:tcW w:w="7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7,084</w:t>
            </w:r>
          </w:p>
        </w:tc>
      </w:tr>
      <w:tr>
        <w:trPr>
          <w:trHeight w:val="244"/>
        </w:trPr>
        <w:tc>
          <w:tcPr>
            <w:tcW w:w="4180" w:type="dxa"/>
            <w:vAlign w:val="bottom"/>
            <w:tcBorders>
              <w:bottom w:val="single" w:sz="8" w:color="E6E6E6"/>
            </w:tcBorders>
          </w:tcPr>
          <w:p>
            <w:pPr>
              <w:ind w:left="100"/>
              <w:spacing w:after="0"/>
              <w:rPr>
                <w:sz w:val="20"/>
                <w:szCs w:val="20"/>
                <w:color w:val="auto"/>
              </w:rPr>
            </w:pPr>
            <w:r>
              <w:rPr>
                <w:rFonts w:ascii="Times New Roman" w:cs="Times New Roman" w:eastAsia="Times New Roman" w:hAnsi="Times New Roman"/>
                <w:sz w:val="20"/>
                <w:szCs w:val="20"/>
                <w:color w:val="auto"/>
              </w:rPr>
              <w:t>Valuation Allowance</w:t>
            </w:r>
          </w:p>
        </w:tc>
        <w:tc>
          <w:tcPr>
            <w:tcW w:w="1860" w:type="dxa"/>
            <w:vAlign w:val="bottom"/>
            <w:tcBorders>
              <w:bottom w:val="single" w:sz="8" w:color="E6E6E6"/>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380" w:type="dxa"/>
            <w:vAlign w:val="bottom"/>
            <w:tcBorders>
              <w:bottom w:val="single" w:sz="8" w:color="E6E6E6"/>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54"/>
        </w:trPr>
        <w:tc>
          <w:tcPr>
            <w:tcW w:w="4180" w:type="dxa"/>
            <w:vAlign w:val="bottom"/>
            <w:tcBorders>
              <w:bottom w:val="single" w:sz="8" w:color="E6E6E6"/>
            </w:tcBorders>
            <w:shd w:val="clear" w:color="auto" w:fill="E6E6E6"/>
          </w:tcPr>
          <w:p>
            <w:pPr>
              <w:ind w:left="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60" w:type="dxa"/>
            <w:vAlign w:val="bottom"/>
            <w:tcBorders>
              <w:bottom w:val="single" w:sz="8" w:color="E6E6E6"/>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111,202</w:t>
            </w:r>
          </w:p>
        </w:tc>
        <w:tc>
          <w:tcPr>
            <w:tcW w:w="380" w:type="dxa"/>
            <w:vAlign w:val="bottom"/>
            <w:tcBorders>
              <w:bottom w:val="single" w:sz="8" w:color="E6E6E6"/>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103,754</w:t>
            </w:r>
          </w:p>
        </w:tc>
      </w:tr>
      <w:tr>
        <w:trPr>
          <w:trHeight w:val="214"/>
        </w:trPr>
        <w:tc>
          <w:tcPr>
            <w:tcW w:w="4180" w:type="dxa"/>
            <w:vAlign w:val="bottom"/>
          </w:tcPr>
          <w:p>
            <w:pPr>
              <w:ind w:left="60"/>
              <w:spacing w:after="0" w:line="214" w:lineRule="exact"/>
              <w:rPr>
                <w:sz w:val="20"/>
                <w:szCs w:val="20"/>
                <w:color w:val="auto"/>
              </w:rPr>
            </w:pPr>
            <w:r>
              <w:rPr>
                <w:rFonts w:ascii="Times New Roman" w:cs="Times New Roman" w:eastAsia="Times New Roman" w:hAnsi="Times New Roman"/>
                <w:sz w:val="20"/>
                <w:szCs w:val="20"/>
                <w:color w:val="auto"/>
              </w:rPr>
              <w:t>Deferred Tax Liabilities</w:t>
            </w:r>
          </w:p>
        </w:tc>
        <w:tc>
          <w:tcPr>
            <w:tcW w:w="1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4"/>
        </w:trPr>
        <w:tc>
          <w:tcPr>
            <w:tcW w:w="4180" w:type="dxa"/>
            <w:vAlign w:val="bottom"/>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Operating Right of Use Assets</w:t>
            </w:r>
          </w:p>
        </w:tc>
        <w:tc>
          <w:tcPr>
            <w:tcW w:w="186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6E6E6"/>
          </w:tcPr>
          <w:p>
            <w:pPr>
              <w:spacing w:after="0"/>
              <w:rPr>
                <w:sz w:val="21"/>
                <w:szCs w:val="21"/>
                <w:color w:val="auto"/>
              </w:rPr>
            </w:pPr>
          </w:p>
        </w:tc>
        <w:tc>
          <w:tcPr>
            <w:tcW w:w="9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(55,645)</w:t>
            </w:r>
          </w:p>
        </w:tc>
        <w:tc>
          <w:tcPr>
            <w:tcW w:w="38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6E6E6"/>
          </w:tcPr>
          <w:p>
            <w:pPr>
              <w:spacing w:after="0"/>
              <w:rPr>
                <w:sz w:val="21"/>
                <w:szCs w:val="21"/>
                <w:color w:val="auto"/>
              </w:rPr>
            </w:pPr>
          </w:p>
        </w:tc>
        <w:tc>
          <w:tcPr>
            <w:tcW w:w="13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(53,040)</w:t>
            </w:r>
          </w:p>
        </w:tc>
      </w:tr>
      <w:tr>
        <w:trPr>
          <w:trHeight w:val="244"/>
        </w:trPr>
        <w:tc>
          <w:tcPr>
            <w:tcW w:w="4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Warrant Fair Value Derivative</w:t>
            </w:r>
          </w:p>
        </w:tc>
        <w:tc>
          <w:tcPr>
            <w:tcW w:w="1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(5,735)</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(5,097)</w:t>
            </w:r>
          </w:p>
        </w:tc>
      </w:tr>
      <w:tr>
        <w:trPr>
          <w:trHeight w:val="264"/>
        </w:trPr>
        <w:tc>
          <w:tcPr>
            <w:tcW w:w="4180" w:type="dxa"/>
            <w:vAlign w:val="bottom"/>
            <w:tcBorders>
              <w:bottom w:val="single" w:sz="8" w:color="E6E6E6"/>
            </w:tcBorders>
            <w:shd w:val="clear" w:color="auto" w:fill="E6E6E6"/>
          </w:tcPr>
          <w:p>
            <w:pPr>
              <w:ind w:left="100"/>
              <w:spacing w:after="0"/>
              <w:rPr>
                <w:sz w:val="20"/>
                <w:szCs w:val="20"/>
                <w:color w:val="auto"/>
              </w:rPr>
            </w:pPr>
            <w:r>
              <w:rPr>
                <w:rFonts w:ascii="Times New Roman" w:cs="Times New Roman" w:eastAsia="Times New Roman" w:hAnsi="Times New Roman"/>
                <w:sz w:val="20"/>
                <w:szCs w:val="20"/>
                <w:color w:val="auto"/>
              </w:rPr>
              <w:t>Intangibles</w:t>
            </w:r>
          </w:p>
        </w:tc>
        <w:tc>
          <w:tcPr>
            <w:tcW w:w="1860" w:type="dxa"/>
            <w:vAlign w:val="bottom"/>
            <w:tcBorders>
              <w:bottom w:val="single" w:sz="8" w:color="E6E6E6"/>
            </w:tcBorders>
            <w:shd w:val="clear" w:color="auto" w:fill="E6E6E6"/>
          </w:tcPr>
          <w:p>
            <w:pPr>
              <w:spacing w:after="0"/>
              <w:rPr>
                <w:sz w:val="22"/>
                <w:szCs w:val="22"/>
                <w:color w:val="auto"/>
              </w:rPr>
            </w:pPr>
          </w:p>
        </w:tc>
        <w:tc>
          <w:tcPr>
            <w:tcW w:w="1360" w:type="dxa"/>
            <w:vAlign w:val="bottom"/>
            <w:tcBorders>
              <w:bottom w:val="single" w:sz="8" w:color="auto"/>
            </w:tcBorders>
            <w:shd w:val="clear" w:color="auto" w:fill="E6E6E6"/>
          </w:tcPr>
          <w:p>
            <w:pPr>
              <w:spacing w:after="0"/>
              <w:rPr>
                <w:sz w:val="22"/>
                <w:szCs w:val="22"/>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(49,142)</w:t>
            </w:r>
          </w:p>
        </w:tc>
        <w:tc>
          <w:tcPr>
            <w:tcW w:w="380" w:type="dxa"/>
            <w:vAlign w:val="bottom"/>
            <w:tcBorders>
              <w:bottom w:val="single" w:sz="8" w:color="E6E6E6"/>
            </w:tcBorders>
            <w:shd w:val="clear" w:color="auto" w:fill="E6E6E6"/>
          </w:tcPr>
          <w:p>
            <w:pPr>
              <w:spacing w:after="0"/>
              <w:rPr>
                <w:sz w:val="22"/>
                <w:szCs w:val="22"/>
                <w:color w:val="auto"/>
              </w:rPr>
            </w:pPr>
          </w:p>
        </w:tc>
        <w:tc>
          <w:tcPr>
            <w:tcW w:w="760" w:type="dxa"/>
            <w:vAlign w:val="bottom"/>
            <w:tcBorders>
              <w:bottom w:val="single" w:sz="8" w:color="auto"/>
            </w:tcBorders>
            <w:shd w:val="clear" w:color="auto" w:fill="E6E6E6"/>
          </w:tcPr>
          <w:p>
            <w:pPr>
              <w:spacing w:after="0"/>
              <w:rPr>
                <w:sz w:val="22"/>
                <w:szCs w:val="22"/>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(50,594)</w:t>
            </w:r>
          </w:p>
        </w:tc>
      </w:tr>
      <w:tr>
        <w:trPr>
          <w:trHeight w:val="214"/>
        </w:trPr>
        <w:tc>
          <w:tcPr>
            <w:tcW w:w="4180" w:type="dxa"/>
            <w:vAlign w:val="bottom"/>
            <w:tcBorders>
              <w:bottom w:val="single" w:sz="8" w:color="E6E6E6"/>
            </w:tcBorders>
          </w:tcPr>
          <w:p>
            <w:pPr>
              <w:ind w:left="160"/>
              <w:spacing w:after="0" w:line="214"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1860" w:type="dxa"/>
            <w:vAlign w:val="bottom"/>
            <w:tcBorders>
              <w:bottom w:val="single" w:sz="8" w:color="E6E6E6"/>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(110,522)</w:t>
            </w:r>
          </w:p>
        </w:tc>
        <w:tc>
          <w:tcPr>
            <w:tcW w:w="380" w:type="dxa"/>
            <w:vAlign w:val="bottom"/>
            <w:tcBorders>
              <w:bottom w:val="single" w:sz="8" w:color="E6E6E6"/>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(108,731)</w:t>
            </w:r>
          </w:p>
        </w:tc>
      </w:tr>
      <w:tr>
        <w:trPr>
          <w:trHeight w:val="234"/>
        </w:trPr>
        <w:tc>
          <w:tcPr>
            <w:tcW w:w="41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Net Deferred Tax Liabilities</w:t>
            </w:r>
          </w:p>
        </w:tc>
        <w:tc>
          <w:tcPr>
            <w:tcW w:w="186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360" w:type="dxa"/>
            <w:vAlign w:val="bottom"/>
            <w:tcBorders>
              <w:bottom w:val="single" w:sz="8" w:color="auto"/>
            </w:tcBorders>
            <w:shd w:val="clear" w:color="auto" w:fill="E6E6E6"/>
          </w:tcPr>
          <w:p>
            <w:pPr>
              <w:spacing w:after="0"/>
              <w:rPr>
                <w:sz w:val="20"/>
                <w:szCs w:val="20"/>
                <w:color w:val="auto"/>
              </w:rPr>
            </w:pPr>
          </w:p>
        </w:tc>
        <w:tc>
          <w:tcPr>
            <w:tcW w:w="9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680</w:t>
            </w:r>
          </w:p>
        </w:tc>
        <w:tc>
          <w:tcPr>
            <w:tcW w:w="380" w:type="dxa"/>
            <w:vAlign w:val="bottom"/>
            <w:shd w:val="clear" w:color="auto" w:fill="E6E6E6"/>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shd w:val="clear" w:color="auto" w:fill="E6E6E6"/>
          </w:tcPr>
          <w:p>
            <w:pPr>
              <w:spacing w:after="0"/>
              <w:rPr>
                <w:sz w:val="20"/>
                <w:szCs w:val="20"/>
                <w:color w:val="auto"/>
              </w:rPr>
            </w:pPr>
          </w:p>
        </w:tc>
        <w:tc>
          <w:tcPr>
            <w:tcW w:w="13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(4,977)</w:t>
            </w:r>
          </w:p>
        </w:tc>
      </w:tr>
      <w:tr>
        <w:trPr>
          <w:trHeight w:val="20"/>
        </w:trPr>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Deferred tax assets are reduced by a valuation allowance when, in the opinion of management, it is more likely than not that some portion or all of the deferred tax assets will not be realized. The Company assessed the positive and negative evidence to determine if sufficient future taxable income will be generated to use the existing deferred tax assets. A valuation allowance is maintained as of December 31, 2024 and 2023 in the amount of $1,126 thousand and $734 thousand, respectively.</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As of December 31, 2024, the Company had no federal net operating loss carryforwards. Additionally, the Company had $2,108 thousand of gross state net operating loss carryforwards, if not claimed, begin to expire in 2031. The Company’s evaluation concluded that the majority of the net operating losses will be realized.</w:t>
      </w:r>
    </w:p>
    <w:p>
      <w:pPr>
        <w:spacing w:after="0" w:line="178"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Pursuant to IRC Sections 382 and 383 of the Internal Revenue Code of 1986, as amended, utilization of net operating losses and credits may be subject to annual limitations in the event of any significant future changes in its ownership structure. These annual limitations may result in the expiration of net operating losses and credits prior to utilization.</w:t>
      </w:r>
    </w:p>
    <w:p>
      <w:pPr>
        <w:spacing w:after="0" w:line="17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 xml:space="preserve">The Company operates in a number of tax jurisdictions and is subject to examination of its income tax returns by tax authorities in those jurisdictions who may challenge any item on these returns. Because the tax matters challenged by tax authorities are typically complex, the ultimate outcome of these challenges is uncertain. In accordance with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the Company recognizes the benefits of uncertain tax positions in our consolidated financial statements only after determining that it is more likely than not that the uncertain tax positions will be sustained.</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10800"/>
          </w:cols>
          <w:pgMar w:left="720" w:top="696" w:right="720" w:bottom="186"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INCOME TAX EXPENSE </w:t>
      </w:r>
      <w:r>
        <w:rPr>
          <w:rFonts w:ascii="Times New Roman" w:cs="Times New Roman" w:eastAsia="Times New Roman" w:hAnsi="Times New Roman"/>
          <w:sz w:val="20"/>
          <w:szCs w:val="20"/>
          <w:i w:val="1"/>
          <w:iCs w:val="1"/>
          <w:color w:val="auto"/>
        </w:rPr>
        <w:t>(Continued)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80" w:type="dxa"/>
            <w:vAlign w:val="bottom"/>
          </w:tcPr>
          <w:p>
            <w:pPr>
              <w:spacing w:after="0"/>
              <w:rPr>
                <w:sz w:val="22"/>
                <w:szCs w:val="22"/>
                <w:color w:val="auto"/>
              </w:rPr>
            </w:pPr>
          </w:p>
        </w:tc>
        <w:tc>
          <w:tcPr>
            <w:tcW w:w="10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20"/>
        </w:trPr>
        <w:tc>
          <w:tcPr>
            <w:tcW w:w="6480" w:type="dxa"/>
            <w:vAlign w:val="bottom"/>
            <w:tcBorders>
              <w:bottom w:val="single" w:sz="8" w:color="E6E6E6"/>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120"/>
              <w:spacing w:after="0" w:line="220" w:lineRule="exact"/>
              <w:rPr>
                <w:sz w:val="20"/>
                <w:szCs w:val="20"/>
                <w:color w:val="auto"/>
              </w:rPr>
            </w:pPr>
            <w:r>
              <w:rPr>
                <w:rFonts w:ascii="Times New Roman" w:cs="Times New Roman" w:eastAsia="Times New Roman" w:hAnsi="Times New Roman"/>
                <w:sz w:val="20"/>
                <w:szCs w:val="20"/>
                <w:b w:val="1"/>
                <w:bCs w:val="1"/>
                <w:color w:val="auto"/>
              </w:rPr>
              <w:t>(in thousands)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0"/>
        </w:trPr>
        <w:tc>
          <w:tcPr>
            <w:tcW w:w="6480" w:type="dxa"/>
            <w:vAlign w:val="bottom"/>
            <w:shd w:val="clear" w:color="auto" w:fill="E6E6E6"/>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at Beginning of Year</w:t>
            </w:r>
          </w:p>
        </w:tc>
        <w:tc>
          <w:tcPr>
            <w:tcW w:w="2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66,492</w:t>
            </w:r>
          </w:p>
        </w:tc>
        <w:tc>
          <w:tcPr>
            <w:tcW w:w="2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43,130</w:t>
            </w:r>
          </w:p>
        </w:tc>
        <w:tc>
          <w:tcPr>
            <w:tcW w:w="28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shd w:val="clear" w:color="auto" w:fill="E6E6E6"/>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13,117</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related to tax positions in a prior period</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9,531</w:t>
            </w:r>
          </w:p>
        </w:tc>
      </w:tr>
      <w:tr>
        <w:trPr>
          <w:trHeight w:val="230"/>
        </w:trPr>
        <w:tc>
          <w:tcPr>
            <w:tcW w:w="6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decreases related to tax positions in a prior period</w:t>
            </w:r>
          </w:p>
        </w:tc>
        <w:tc>
          <w:tcPr>
            <w:tcW w:w="280" w:type="dxa"/>
            <w:vAlign w:val="bottom"/>
            <w:shd w:val="clear" w:color="auto" w:fill="E6E6E6"/>
          </w:tcPr>
          <w:p>
            <w:pPr>
              <w:spacing w:after="0"/>
              <w:rPr>
                <w:sz w:val="19"/>
                <w:szCs w:val="19"/>
                <w:color w:val="auto"/>
              </w:rPr>
            </w:pPr>
          </w:p>
        </w:tc>
        <w:tc>
          <w:tcPr>
            <w:tcW w:w="140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(6,795)</w:t>
            </w:r>
          </w:p>
        </w:tc>
        <w:tc>
          <w:tcPr>
            <w:tcW w:w="2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(3,193)</w:t>
            </w:r>
          </w:p>
        </w:tc>
        <w:tc>
          <w:tcPr>
            <w:tcW w:w="280" w:type="dxa"/>
            <w:vAlign w:val="bottom"/>
            <w:shd w:val="clear" w:color="auto" w:fill="E6E6E6"/>
          </w:tcPr>
          <w:p>
            <w:pPr>
              <w:spacing w:after="0"/>
              <w:rPr>
                <w:sz w:val="19"/>
                <w:szCs w:val="19"/>
                <w:color w:val="auto"/>
              </w:rPr>
            </w:pPr>
          </w:p>
        </w:tc>
        <w:tc>
          <w:tcPr>
            <w:tcW w:w="10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(1,100)</w:t>
            </w: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20"/>
                <w:szCs w:val="20"/>
                <w:color w:val="auto"/>
              </w:rPr>
              <w:t>Gross increases related to tax positions in the current period</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14,218</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17,676</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21,582</w:t>
            </w:r>
          </w:p>
        </w:tc>
      </w:tr>
      <w:tr>
        <w:trPr>
          <w:trHeight w:val="230"/>
        </w:trPr>
        <w:tc>
          <w:tcPr>
            <w:tcW w:w="648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Gross decreases related to tax positions in a current period</w:t>
            </w:r>
          </w:p>
        </w:tc>
        <w:tc>
          <w:tcPr>
            <w:tcW w:w="280" w:type="dxa"/>
            <w:vAlign w:val="bottom"/>
            <w:shd w:val="clear" w:color="auto" w:fill="E6E6E6"/>
          </w:tcPr>
          <w:p>
            <w:pPr>
              <w:spacing w:after="0"/>
              <w:rPr>
                <w:sz w:val="19"/>
                <w:szCs w:val="19"/>
                <w:color w:val="auto"/>
              </w:rPr>
            </w:pPr>
          </w:p>
        </w:tc>
        <w:tc>
          <w:tcPr>
            <w:tcW w:w="140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280" w:type="dxa"/>
            <w:vAlign w:val="bottom"/>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280" w:type="dxa"/>
            <w:vAlign w:val="bottom"/>
            <w:shd w:val="clear" w:color="auto" w:fill="E6E6E6"/>
          </w:tcPr>
          <w:p>
            <w:pPr>
              <w:spacing w:after="0"/>
              <w:rPr>
                <w:sz w:val="19"/>
                <w:szCs w:val="19"/>
                <w:color w:val="auto"/>
              </w:rPr>
            </w:pPr>
          </w:p>
        </w:tc>
        <w:tc>
          <w:tcPr>
            <w:tcW w:w="104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20"/>
        </w:trPr>
        <w:tc>
          <w:tcPr>
            <w:tcW w:w="648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Balance at End of Year</w:t>
            </w:r>
          </w:p>
        </w:tc>
        <w:tc>
          <w:tcPr>
            <w:tcW w:w="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76,782</w:t>
            </w:r>
          </w:p>
        </w:tc>
        <w:tc>
          <w:tcPr>
            <w:tcW w:w="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66,492</w:t>
            </w:r>
          </w:p>
        </w:tc>
        <w:tc>
          <w:tcPr>
            <w:tcW w:w="2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43,130</w:t>
            </w:r>
          </w:p>
        </w:tc>
      </w:tr>
      <w:tr>
        <w:trPr>
          <w:trHeight w:val="20"/>
        </w:trPr>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As of December 31, 2024, 2023 and 2022, we recognized $4,726 thousand, $10,042 thousand and $3,555 thousand of interest and penalties, respectively. As of December 31, 2024 and 2023 we have accrued for interest and penalties of $19,344 thousand and</w:t>
      </w:r>
    </w:p>
    <w:p>
      <w:pPr>
        <w:spacing w:after="0" w:line="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$14,617 thousand of interest and penalties, respectively. As of December 31, 2024, $15,874 thousand of unrecognized tax benefits are expected to be recovered over the next 12 months. We file income tax returns in the US, various state jurisdictions, and Canada, which jurisdictions have varying statutes of limitations. The US federal statute of limitation remains open for the 2021 tax year to the present. The state income tax returns generally remain open for the 2021 tax year through the present. Net operating loss arising prior to these years are also open to examination if and when utilized.</w:t>
      </w:r>
    </w:p>
    <w:p>
      <w:pPr>
        <w:spacing w:after="0" w:line="228" w:lineRule="exact"/>
        <w:rPr>
          <w:sz w:val="20"/>
          <w:szCs w:val="20"/>
          <w:color w:val="auto"/>
        </w:rPr>
      </w:pPr>
    </w:p>
    <w:p>
      <w:pPr>
        <w:ind w:left="600" w:hanging="600"/>
        <w:spacing w:after="0"/>
        <w:tabs>
          <w:tab w:leader="none" w:pos="600"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INCOME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2024, 2023 and 2022 other income (expense) was comprised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80" w:type="dxa"/>
            <w:vAlign w:val="bottom"/>
            <w:tcBorders>
              <w:bottom w:val="single" w:sz="8" w:color="auto"/>
            </w:tcBorders>
          </w:tcPr>
          <w:p>
            <w:pPr>
              <w:spacing w:after="0"/>
              <w:rPr>
                <w:sz w:val="17"/>
                <w:szCs w:val="17"/>
                <w:color w:val="auto"/>
              </w:rPr>
            </w:pPr>
          </w:p>
        </w:tc>
      </w:tr>
      <w:tr>
        <w:trPr>
          <w:trHeight w:val="211"/>
        </w:trPr>
        <w:tc>
          <w:tcPr>
            <w:tcW w:w="4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60" w:type="dxa"/>
            <w:vAlign w:val="bottom"/>
          </w:tcPr>
          <w:p>
            <w:pPr>
              <w:spacing w:after="0"/>
              <w:rPr>
                <w:sz w:val="18"/>
                <w:szCs w:val="18"/>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4"/>
        </w:trPr>
        <w:tc>
          <w:tcPr>
            <w:tcW w:w="4620" w:type="dxa"/>
            <w:vAlign w:val="bottom"/>
            <w:tcBorders>
              <w:bottom w:val="single" w:sz="8" w:color="E6E6E6"/>
            </w:tcBorders>
          </w:tcPr>
          <w:p>
            <w:pPr>
              <w:spacing w:after="0"/>
              <w:rPr>
                <w:sz w:val="18"/>
                <w:szCs w:val="18"/>
                <w:color w:val="auto"/>
              </w:rPr>
            </w:pPr>
          </w:p>
        </w:tc>
        <w:tc>
          <w:tcPr>
            <w:tcW w:w="1100" w:type="dxa"/>
            <w:vAlign w:val="bottom"/>
            <w:tcBorders>
              <w:bottom w:val="single" w:sz="8" w:color="E6E6E6"/>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46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11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340" w:type="dxa"/>
            <w:vAlign w:val="bottom"/>
            <w:shd w:val="clear" w:color="auto" w:fill="E6E6E6"/>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36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E6E6E6"/>
          </w:tcPr>
          <w:p>
            <w:pPr>
              <w:jc w:val="right"/>
              <w:ind w:right="31"/>
              <w:spacing w:after="0"/>
              <w:rPr>
                <w:sz w:val="20"/>
                <w:szCs w:val="20"/>
                <w:color w:val="auto"/>
              </w:rPr>
            </w:pPr>
            <w:r>
              <w:rPr>
                <w:rFonts w:ascii="Times New Roman" w:cs="Times New Roman" w:eastAsia="Times New Roman" w:hAnsi="Times New Roman"/>
                <w:sz w:val="18"/>
                <w:szCs w:val="18"/>
                <w:color w:val="auto"/>
              </w:rPr>
              <w:t>(23,270)</w:t>
            </w: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on equity method investment</w:t>
            </w:r>
          </w:p>
        </w:tc>
        <w:tc>
          <w:tcPr>
            <w:tcW w:w="1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10,955</w:t>
            </w:r>
          </w:p>
        </w:tc>
      </w:tr>
      <w:tr>
        <w:trPr>
          <w:trHeight w:val="221"/>
        </w:trPr>
        <w:tc>
          <w:tcPr>
            <w:tcW w:w="46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100" w:type="dxa"/>
            <w:vAlign w:val="bottom"/>
            <w:shd w:val="clear" w:color="auto" w:fill="E6E6E6"/>
          </w:tcPr>
          <w:p>
            <w:pPr>
              <w:spacing w:after="0"/>
              <w:rPr>
                <w:sz w:val="19"/>
                <w:szCs w:val="19"/>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E6E6E6"/>
          </w:tcPr>
          <w:p>
            <w:pPr>
              <w:spacing w:after="0"/>
              <w:rPr>
                <w:sz w:val="19"/>
                <w:szCs w:val="19"/>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60" w:type="dxa"/>
            <w:vAlign w:val="bottom"/>
            <w:shd w:val="clear" w:color="auto" w:fill="E6E6E6"/>
          </w:tcPr>
          <w:p>
            <w:pPr>
              <w:spacing w:after="0"/>
              <w:rPr>
                <w:sz w:val="19"/>
                <w:szCs w:val="19"/>
                <w:color w:val="auto"/>
              </w:rPr>
            </w:pPr>
          </w:p>
        </w:tc>
        <w:tc>
          <w:tcPr>
            <w:tcW w:w="1480" w:type="dxa"/>
            <w:vAlign w:val="bottom"/>
            <w:shd w:val="clear" w:color="auto" w:fill="E6E6E6"/>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adjustments on warrants liability</w:t>
            </w:r>
          </w:p>
        </w:tc>
        <w:tc>
          <w:tcPr>
            <w:tcW w:w="1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36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20,357</w:t>
            </w:r>
          </w:p>
        </w:tc>
      </w:tr>
      <w:tr>
        <w:trPr>
          <w:trHeight w:val="221"/>
        </w:trPr>
        <w:tc>
          <w:tcPr>
            <w:tcW w:w="46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100" w:type="dxa"/>
            <w:vAlign w:val="bottom"/>
            <w:shd w:val="clear" w:color="auto" w:fill="E6E6E6"/>
          </w:tcPr>
          <w:p>
            <w:pPr>
              <w:spacing w:after="0"/>
              <w:rPr>
                <w:sz w:val="19"/>
                <w:szCs w:val="19"/>
                <w:color w:val="auto"/>
              </w:rPr>
            </w:pPr>
          </w:p>
        </w:tc>
        <w:tc>
          <w:tcPr>
            <w:tcW w:w="13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(8,686)</w:t>
            </w:r>
          </w:p>
        </w:tc>
        <w:tc>
          <w:tcPr>
            <w:tcW w:w="340" w:type="dxa"/>
            <w:vAlign w:val="bottom"/>
            <w:shd w:val="clear" w:color="auto" w:fill="E6E6E6"/>
          </w:tcPr>
          <w:p>
            <w:pPr>
              <w:spacing w:after="0"/>
              <w:rPr>
                <w:sz w:val="19"/>
                <w:szCs w:val="19"/>
                <w:color w:val="auto"/>
              </w:rPr>
            </w:pPr>
          </w:p>
        </w:tc>
        <w:tc>
          <w:tcPr>
            <w:tcW w:w="15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360" w:type="dxa"/>
            <w:vAlign w:val="bottom"/>
            <w:shd w:val="clear" w:color="auto" w:fill="E6E6E6"/>
          </w:tcPr>
          <w:p>
            <w:pPr>
              <w:spacing w:after="0"/>
              <w:rPr>
                <w:sz w:val="19"/>
                <w:szCs w:val="19"/>
                <w:color w:val="auto"/>
              </w:rPr>
            </w:pPr>
          </w:p>
        </w:tc>
        <w:tc>
          <w:tcPr>
            <w:tcW w:w="1480" w:type="dxa"/>
            <w:vAlign w:val="bottom"/>
            <w:shd w:val="clear" w:color="auto" w:fill="E6E6E6"/>
          </w:tcPr>
          <w:p>
            <w:pPr>
              <w:jc w:val="right"/>
              <w:ind w:right="31"/>
              <w:spacing w:after="0"/>
              <w:rPr>
                <w:sz w:val="20"/>
                <w:szCs w:val="20"/>
                <w:color w:val="auto"/>
              </w:rPr>
            </w:pPr>
            <w:r>
              <w:rPr>
                <w:rFonts w:ascii="Times New Roman" w:cs="Times New Roman" w:eastAsia="Times New Roman" w:hAnsi="Times New Roman"/>
                <w:sz w:val="18"/>
                <w:szCs w:val="18"/>
                <w:color w:val="auto"/>
              </w:rPr>
              <w:t>(4,259)</w:t>
            </w:r>
          </w:p>
        </w:tc>
      </w:tr>
      <w:tr>
        <w:trPr>
          <w:trHeight w:val="221"/>
        </w:trPr>
        <w:tc>
          <w:tcPr>
            <w:tcW w:w="462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E6E6E6"/>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tcBorders>
              <w:bottom w:val="single" w:sz="8" w:color="E6E6E6"/>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tcBorders>
              <w:bottom w:val="single" w:sz="8" w:color="E6E6E6"/>
            </w:tcBorders>
          </w:tcPr>
          <w:p>
            <w:pPr>
              <w:spacing w:after="0"/>
              <w:rPr>
                <w:sz w:val="19"/>
                <w:szCs w:val="19"/>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716</w:t>
            </w:r>
          </w:p>
        </w:tc>
      </w:tr>
      <w:tr>
        <w:trPr>
          <w:trHeight w:val="211"/>
        </w:trPr>
        <w:tc>
          <w:tcPr>
            <w:tcW w:w="462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10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(9,094)</w:t>
            </w:r>
          </w:p>
        </w:tc>
        <w:tc>
          <w:tcPr>
            <w:tcW w:w="340" w:type="dxa"/>
            <w:vAlign w:val="bottom"/>
            <w:shd w:val="clear" w:color="auto" w:fill="E6E6E6"/>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b w:val="1"/>
                <w:bCs w:val="1"/>
                <w:color w:val="auto"/>
              </w:rPr>
              <w:t>(16,207)</w:t>
            </w:r>
          </w:p>
        </w:tc>
        <w:tc>
          <w:tcPr>
            <w:tcW w:w="360" w:type="dxa"/>
            <w:vAlign w:val="bottom"/>
            <w:shd w:val="clear" w:color="auto" w:fill="E6E6E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E6E6E6"/>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4,499</w:t>
            </w:r>
          </w:p>
        </w:tc>
      </w:tr>
      <w:tr>
        <w:trPr>
          <w:trHeight w:val="20"/>
        </w:trPr>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10800"/>
          </w:cols>
          <w:pgMar w:left="720" w:top="696" w:right="720" w:bottom="186"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4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reasonably estimated, such amount is recognized in other liabilities.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consolidated statements of operations.</w:t>
      </w:r>
    </w:p>
    <w:p>
      <w:pPr>
        <w:spacing w:after="0" w:line="73" w:lineRule="exact"/>
        <w:rPr>
          <w:sz w:val="20"/>
          <w:szCs w:val="20"/>
          <w:color w:val="auto"/>
        </w:rPr>
      </w:pPr>
    </w:p>
    <w:p>
      <w:pPr>
        <w:ind w:left="980" w:hanging="491"/>
        <w:spacing w:after="0"/>
        <w:tabs>
          <w:tab w:leader="none" w:pos="980" w:val="left"/>
        </w:tabs>
        <w:numPr>
          <w:ilvl w:val="0"/>
          <w:numId w:val="1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Contingencies</w:t>
      </w:r>
    </w:p>
    <w:p>
      <w:pPr>
        <w:spacing w:after="0" w:line="124" w:lineRule="exact"/>
        <w:rPr>
          <w:sz w:val="20"/>
          <w:szCs w:val="20"/>
          <w:color w:val="auto"/>
        </w:rPr>
      </w:pPr>
    </w:p>
    <w:p>
      <w:pPr>
        <w:ind w:left="500" w:right="40"/>
        <w:spacing w:after="0" w:line="247" w:lineRule="auto"/>
        <w:rPr>
          <w:sz w:val="20"/>
          <w:szCs w:val="20"/>
          <w:color w:val="auto"/>
        </w:rPr>
      </w:pPr>
      <w:r>
        <w:rPr>
          <w:rFonts w:ascii="Times New Roman" w:cs="Times New Roman" w:eastAsia="Times New Roman" w:hAnsi="Times New Roman"/>
          <w:sz w:val="20"/>
          <w:szCs w:val="20"/>
          <w:color w:val="auto"/>
        </w:rPr>
        <w:t>The Company’s operations are subject to a variety of local and state regulations. Failure to comply with one or more of those regulations could result in fines, sanctions, restrictions on its operations, or losses of licenses and permits that could result in the Company ceasing operations in that specific state or local jurisdiction. While management believes that the Company is in compliance with applicable local and state regulations at December 31, 2024 and 2023, cannabis and other regulations continue to evolve and are subject to differing interpretations. As a result, the Company may be subject to regulatory fines, penalties, or restrictions in the future.</w:t>
      </w:r>
    </w:p>
    <w:p>
      <w:pPr>
        <w:spacing w:after="0" w:line="76" w:lineRule="exact"/>
        <w:rPr>
          <w:sz w:val="20"/>
          <w:szCs w:val="20"/>
          <w:color w:val="auto"/>
        </w:rPr>
      </w:pPr>
    </w:p>
    <w:p>
      <w:pPr>
        <w:ind w:left="980" w:hanging="491"/>
        <w:spacing w:after="0"/>
        <w:tabs>
          <w:tab w:leader="none" w:pos="980" w:val="left"/>
        </w:tabs>
        <w:numPr>
          <w:ilvl w:val="0"/>
          <w:numId w:val="1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Claims and Litigation</w:t>
      </w:r>
    </w:p>
    <w:p>
      <w:pPr>
        <w:spacing w:after="0" w:line="124" w:lineRule="exact"/>
        <w:rPr>
          <w:sz w:val="20"/>
          <w:szCs w:val="20"/>
          <w:color w:val="auto"/>
        </w:rPr>
      </w:pPr>
    </w:p>
    <w:p>
      <w:pPr>
        <w:ind w:left="500" w:right="180"/>
        <w:spacing w:after="0" w:line="277" w:lineRule="auto"/>
        <w:rPr>
          <w:sz w:val="20"/>
          <w:szCs w:val="20"/>
          <w:color w:val="auto"/>
        </w:rPr>
      </w:pPr>
      <w:r>
        <w:rPr>
          <w:rFonts w:ascii="Times New Roman" w:cs="Times New Roman" w:eastAsia="Times New Roman" w:hAnsi="Times New Roman"/>
          <w:sz w:val="20"/>
          <w:szCs w:val="20"/>
          <w:color w:val="auto"/>
        </w:rPr>
        <w:t>From time to time, the Company may be involved in litigation relating to claims arising out of operations in the normal course of business. The following is an update to the status of previously disclosed matters as of December 31, 2024:</w:t>
      </w:r>
    </w:p>
    <w:p>
      <w:pPr>
        <w:spacing w:after="0" w:line="49" w:lineRule="exact"/>
        <w:rPr>
          <w:sz w:val="20"/>
          <w:szCs w:val="20"/>
          <w:color w:val="auto"/>
        </w:rPr>
      </w:pPr>
    </w:p>
    <w:p>
      <w:pPr>
        <w:ind w:left="1220" w:right="20"/>
        <w:spacing w:after="0" w:line="246" w:lineRule="auto"/>
        <w:rPr>
          <w:sz w:val="20"/>
          <w:szCs w:val="20"/>
          <w:color w:val="auto"/>
        </w:rPr>
      </w:pPr>
      <w:r>
        <w:rPr>
          <w:rFonts w:ascii="Times New Roman" w:cs="Times New Roman" w:eastAsia="Times New Roman" w:hAnsi="Times New Roman"/>
          <w:sz w:val="20"/>
          <w:szCs w:val="20"/>
          <w:color w:val="auto"/>
        </w:rPr>
        <w:t>In July 2024, the Company received Findings of Fact and Conclusions of Law regarding an October 30, 2019 complaint filed against the Company alleging the Company breached a commercial property lease with ineffective termination. The court ruled in favor of plaintiff landlord in the amount of $7,307 thousand, representing unpaid rent. In addition, the court found the Company liable for interest and attorney fees. As a result, the Company accrued the amount of probable loss that can reasonably be estimated within accrued liabilities on the consolidated balance sheets. No final Order of Judgment has been entered in the case and the Company has reserved all rights and intends to contest the findings, including an appeal if necessary.</w:t>
      </w:r>
    </w:p>
    <w:p>
      <w:pPr>
        <w:spacing w:after="0" w:line="80" w:lineRule="exact"/>
        <w:rPr>
          <w:sz w:val="20"/>
          <w:szCs w:val="20"/>
          <w:color w:val="auto"/>
        </w:rPr>
      </w:pPr>
    </w:p>
    <w:p>
      <w:pPr>
        <w:ind w:left="500" w:right="160"/>
        <w:spacing w:after="0" w:line="252" w:lineRule="auto"/>
        <w:rPr>
          <w:sz w:val="20"/>
          <w:szCs w:val="20"/>
          <w:color w:val="auto"/>
        </w:rPr>
      </w:pPr>
      <w:r>
        <w:rPr>
          <w:rFonts w:ascii="Times New Roman" w:cs="Times New Roman" w:eastAsia="Times New Roman" w:hAnsi="Times New Roman"/>
          <w:sz w:val="20"/>
          <w:szCs w:val="20"/>
          <w:color w:val="auto"/>
        </w:rPr>
        <w:t>At December 31, 2024 and 2023, other than as discussed above, there were no pending or threatened lawsuits considered probable or reasonably possible to result in an unfavorable outcome with an exposure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70" w:lineRule="exact"/>
        <w:rPr>
          <w:sz w:val="20"/>
          <w:szCs w:val="20"/>
          <w:color w:val="auto"/>
        </w:rPr>
      </w:pPr>
    </w:p>
    <w:p>
      <w:pPr>
        <w:ind w:left="980" w:hanging="491"/>
        <w:spacing w:after="0"/>
        <w:tabs>
          <w:tab w:leader="none" w:pos="980" w:val="left"/>
        </w:tabs>
        <w:numPr>
          <w:ilvl w:val="0"/>
          <w:numId w:val="1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 Commitments</w:t>
      </w:r>
    </w:p>
    <w:p>
      <w:pPr>
        <w:spacing w:after="0" w:line="124" w:lineRule="exact"/>
        <w:rPr>
          <w:sz w:val="20"/>
          <w:szCs w:val="20"/>
          <w:color w:val="auto"/>
        </w:rPr>
      </w:pPr>
    </w:p>
    <w:p>
      <w:pPr>
        <w:ind w:left="500" w:right="100"/>
        <w:spacing w:after="0" w:line="277" w:lineRule="auto"/>
        <w:rPr>
          <w:sz w:val="20"/>
          <w:szCs w:val="20"/>
          <w:color w:val="auto"/>
        </w:rPr>
      </w:pPr>
      <w:r>
        <w:rPr>
          <w:rFonts w:ascii="Times New Roman" w:cs="Times New Roman" w:eastAsia="Times New Roman" w:hAnsi="Times New Roman"/>
          <w:sz w:val="20"/>
          <w:szCs w:val="20"/>
          <w:color w:val="auto"/>
        </w:rPr>
        <w:t>As of December 31, 2024, the Company held approximately $5,900 thousand of open construction commitments to contractors on work being performed which are generally expected to be completed within 12 months.</w:t>
      </w:r>
    </w:p>
    <w:p>
      <w:pPr>
        <w:sectPr>
          <w:pgSz w:w="12240" w:h="15840" w:orient="portrait"/>
          <w:cols w:equalWidth="0" w:num="1">
            <w:col w:w="10780"/>
          </w:cols>
          <w:pgMar w:left="720" w:top="696" w:right="7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10780"/>
          </w:cols>
          <w:pgMar w:left="720" w:top="696" w:right="740" w:bottom="186" w:gutter="0" w:footer="0" w:header="0"/>
          <w:type w:val="continuous"/>
        </w:sectPr>
      </w:pPr>
    </w:p>
    <w:bookmarkStart w:id="120" w:name="page121"/>
    <w:bookmarkEnd w:id="120"/>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ind w:right="-99"/>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75565</wp:posOffset>
                </wp:positionV>
                <wp:extent cx="689483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5.95pt" to="541.45pt,5.95pt" o:allowincell="f" strokecolor="#000000" strokeweight="0.75pt"/>
            </w:pict>
          </mc:Fallback>
        </mc:AlternateContent>
      </w:r>
    </w:p>
    <w:p>
      <w:pPr>
        <w:spacing w:after="0" w:line="27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Unadjusted quoted prices in active markets for identical assets or liabilities;</w:t>
      </w:r>
    </w:p>
    <w:p>
      <w:pPr>
        <w:spacing w:after="0" w:line="120" w:lineRule="exact"/>
        <w:rPr>
          <w:sz w:val="20"/>
          <w:szCs w:val="20"/>
          <w:color w:val="auto"/>
        </w:rPr>
      </w:pPr>
    </w:p>
    <w:p>
      <w:pPr>
        <w:ind w:left="1100" w:right="240"/>
        <w:spacing w:after="0" w:line="363" w:lineRule="auto"/>
        <w:rPr>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other than quoted prices that are observable for the asset or liability, either directly or indirectly; and</w:t>
      </w:r>
      <w:r>
        <w:rPr>
          <w:rFonts w:ascii="Times New Roman" w:cs="Times New Roman" w:eastAsia="Times New Roman" w:hAnsi="Times New Roman"/>
          <w:sz w:val="20"/>
          <w:szCs w:val="20"/>
          <w:i w:val="1"/>
          <w:iCs w:val="1"/>
          <w:color w:val="auto"/>
        </w:rPr>
        <w:t xml:space="preserve"> Level 3 </w:t>
      </w:r>
      <w:r>
        <w:rPr>
          <w:rFonts w:ascii="Times New Roman" w:cs="Times New Roman" w:eastAsia="Times New Roman" w:hAnsi="Times New Roman"/>
          <w:sz w:val="20"/>
          <w:szCs w:val="20"/>
          <w:color w:val="auto"/>
        </w:rPr>
        <w:t>– Inputs for the asset or liability that are not based on observable market data.</w:t>
      </w:r>
    </w:p>
    <w:p>
      <w:pPr>
        <w:ind w:left="980" w:hanging="491"/>
        <w:spacing w:after="0"/>
        <w:tabs>
          <w:tab w:leader="none" w:pos="98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12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accounts receivable, investments, accounts payable and accrued liabilities, notes payable, warrant liability, and contingent consideration payable.</w:t>
      </w:r>
    </w:p>
    <w:p>
      <w:pPr>
        <w:spacing w:after="0" w:line="4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For the Company’s long-term notes payable (which consist of charitable contributions, April 30, 2021 Notes, the Credit Facility and mortgage notes), for which there were no quoted market prices or active trading markets, it was not practicable to estimate the fair value of these financial instruments. The carrying amount of notes payable at December 31, 2024 and 2023 was $254,958 thousand and $308,523 thousand, which includes $12,062 thousand and $2,996 thousand, respectively, of short-term debt due within one year.</w:t>
      </w:r>
    </w:p>
    <w:p>
      <w:pPr>
        <w:spacing w:after="0" w:line="5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Financial instruments recorded at fair value are classified using a fair value hierarchy that reflects the significance of the inputs to fair value measurements.</w:t>
      </w:r>
    </w:p>
    <w:p>
      <w:pPr>
        <w:spacing w:after="0" w:line="49"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The following tables summarize the Company’s financial instruments which are measured at fair value as of December 31, 2024 and 2023:</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ind w:left="490"/>
              <w:spacing w:after="0" w:line="20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2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8"/>
                <w:szCs w:val="18"/>
                <w:color w:val="auto"/>
              </w:rPr>
            </w:pPr>
          </w:p>
        </w:tc>
      </w:tr>
      <w:tr>
        <w:trPr>
          <w:trHeight w:val="211"/>
        </w:trPr>
        <w:tc>
          <w:tcPr>
            <w:tcW w:w="298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top w:val="single" w:sz="8" w:color="E6E6E6"/>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171,687</w:t>
            </w:r>
          </w:p>
        </w:tc>
        <w:tc>
          <w:tcPr>
            <w:tcW w:w="240" w:type="dxa"/>
            <w:vAlign w:val="bottom"/>
            <w:tcBorders>
              <w:top w:val="single" w:sz="8" w:color="E6E6E6"/>
            </w:tcBorders>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2"/>
            <w:shd w:val="clear" w:color="auto" w:fill="E6E6E6"/>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w w:val="88"/>
                <w:shd w:val="clear" w:color="auto" w:fill="E6E6E6"/>
              </w:rPr>
              <w:t>$</w:t>
            </w:r>
          </w:p>
        </w:tc>
        <w:tc>
          <w:tcPr>
            <w:tcW w:w="320" w:type="dxa"/>
            <w:vAlign w:val="bottom"/>
            <w:tcBorders>
              <w:top w:val="single" w:sz="8" w:color="auto"/>
            </w:tcBorders>
            <w:shd w:val="clear" w:color="auto" w:fill="E6E6E6"/>
          </w:tcPr>
          <w:p>
            <w:pPr>
              <w:spacing w:after="0"/>
              <w:rPr>
                <w:sz w:val="18"/>
                <w:szCs w:val="18"/>
                <w:color w:val="auto"/>
              </w:rPr>
            </w:pPr>
          </w:p>
        </w:tc>
        <w:tc>
          <w:tcPr>
            <w:tcW w:w="98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6E6E6"/>
            </w:tcBorders>
            <w:shd w:val="clear" w:color="auto" w:fill="E6E6E6"/>
          </w:tcPr>
          <w:p>
            <w:pPr>
              <w:spacing w:after="0"/>
              <w:rPr>
                <w:sz w:val="18"/>
                <w:szCs w:val="18"/>
                <w:color w:val="auto"/>
              </w:rPr>
            </w:pPr>
          </w:p>
        </w:tc>
        <w:tc>
          <w:tcPr>
            <w:tcW w:w="100" w:type="dxa"/>
            <w:vAlign w:val="bottom"/>
            <w:tcBorders>
              <w:top w:val="single" w:sz="8" w:color="E6E6E6"/>
            </w:tcBorders>
            <w:shd w:val="clear" w:color="auto" w:fill="E6E6E6"/>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171,687</w:t>
            </w:r>
          </w:p>
        </w:tc>
        <w:tc>
          <w:tcPr>
            <w:tcW w:w="20" w:type="dxa"/>
            <w:vAlign w:val="bottom"/>
            <w:shd w:val="clear" w:color="auto" w:fill="E6E6E6"/>
          </w:tcPr>
          <w:p>
            <w:pPr>
              <w:spacing w:after="0"/>
              <w:rPr>
                <w:sz w:val="18"/>
                <w:szCs w:val="18"/>
                <w:color w:val="auto"/>
              </w:rPr>
            </w:pPr>
          </w:p>
        </w:tc>
        <w:tc>
          <w:tcPr>
            <w:tcW w:w="80" w:type="dxa"/>
            <w:vAlign w:val="bottom"/>
            <w:tcBorders>
              <w:top w:val="single" w:sz="8" w:color="E6E6E6"/>
            </w:tcBorders>
            <w:shd w:val="clear" w:color="auto" w:fill="E6E6E6"/>
          </w:tcPr>
          <w:p>
            <w:pPr>
              <w:spacing w:after="0"/>
              <w:rPr>
                <w:sz w:val="18"/>
                <w:szCs w:val="18"/>
                <w:color w:val="auto"/>
              </w:rPr>
            </w:pPr>
          </w:p>
        </w:tc>
      </w:t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1"/>
        </w:trPr>
        <w:tc>
          <w:tcPr>
            <w:tcW w:w="29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00" w:type="dxa"/>
            <w:vAlign w:val="bottom"/>
            <w:shd w:val="clear" w:color="auto" w:fill="E6E6E6"/>
          </w:tcPr>
          <w:p>
            <w:pPr>
              <w:spacing w:after="0"/>
              <w:rPr>
                <w:sz w:val="19"/>
                <w:szCs w:val="19"/>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19"/>
                <w:szCs w:val="19"/>
                <w:color w:val="auto"/>
              </w:rPr>
            </w:pPr>
          </w:p>
        </w:tc>
        <w:tc>
          <w:tcPr>
            <w:tcW w:w="120" w:type="dxa"/>
            <w:vAlign w:val="bottom"/>
            <w:shd w:val="clear" w:color="auto" w:fill="E6E6E6"/>
          </w:tcPr>
          <w:p>
            <w:pPr>
              <w:spacing w:after="0"/>
              <w:rPr>
                <w:sz w:val="19"/>
                <w:szCs w:val="19"/>
                <w:color w:val="auto"/>
              </w:rPr>
            </w:pPr>
          </w:p>
        </w:tc>
        <w:tc>
          <w:tcPr>
            <w:tcW w:w="40" w:type="dxa"/>
            <w:vAlign w:val="bottom"/>
            <w:shd w:val="clear" w:color="auto" w:fill="E6E6E6"/>
          </w:tcPr>
          <w:p>
            <w:pPr>
              <w:spacing w:after="0"/>
              <w:rPr>
                <w:sz w:val="19"/>
                <w:szCs w:val="19"/>
                <w:color w:val="auto"/>
              </w:rPr>
            </w:pPr>
          </w:p>
        </w:tc>
        <w:tc>
          <w:tcPr>
            <w:tcW w:w="1780" w:type="dxa"/>
            <w:vAlign w:val="bottom"/>
            <w:gridSpan w:val="4"/>
            <w:shd w:val="clear" w:color="auto" w:fill="E6E6E6"/>
          </w:tcPr>
          <w:p>
            <w:pPr>
              <w:jc w:val="center"/>
              <w:ind w:left="63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E6E6E6"/>
          </w:tcPr>
          <w:p>
            <w:pPr>
              <w:spacing w:after="0"/>
              <w:rPr>
                <w:sz w:val="19"/>
                <w:szCs w:val="19"/>
                <w:color w:val="auto"/>
              </w:rPr>
            </w:pPr>
          </w:p>
        </w:tc>
        <w:tc>
          <w:tcPr>
            <w:tcW w:w="140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1"/>
        </w:trPr>
        <w:tc>
          <w:tcPr>
            <w:tcW w:w="2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171,687</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43,510</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8"/>
        </w:trPr>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4"/>
          </w:tcPr>
          <w:p>
            <w:pPr>
              <w:jc w:val="center"/>
              <w:ind w:left="510"/>
              <w:spacing w:after="0" w:line="197"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40" w:type="dxa"/>
            <w:vAlign w:val="bottom"/>
            <w:tcBorders>
              <w:top w:val="single" w:sz="8" w:color="auto"/>
            </w:tcBorders>
          </w:tcPr>
          <w:p>
            <w:pPr>
              <w:jc w:val="right"/>
              <w:ind w:right="410"/>
              <w:spacing w:after="0" w:line="197" w:lineRule="exact"/>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ind w:left="320"/>
              <w:spacing w:after="0" w:line="197"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7"/>
                <w:szCs w:val="17"/>
                <w:color w:val="auto"/>
              </w:rPr>
            </w:pPr>
          </w:p>
        </w:tc>
        <w:tc>
          <w:tcPr>
            <w:tcW w:w="420" w:type="dxa"/>
            <w:vAlign w:val="bottom"/>
            <w:tcBorders>
              <w:top w:val="single" w:sz="8" w:color="auto"/>
            </w:tcBorders>
            <w:gridSpan w:val="2"/>
          </w:tcPr>
          <w:p>
            <w:pPr>
              <w:spacing w:after="0"/>
              <w:rPr>
                <w:sz w:val="17"/>
                <w:szCs w:val="17"/>
                <w:color w:val="auto"/>
              </w:rPr>
            </w:pPr>
          </w:p>
        </w:tc>
        <w:tc>
          <w:tcPr>
            <w:tcW w:w="980" w:type="dxa"/>
            <w:vAlign w:val="bottom"/>
            <w:tcBorders>
              <w:top w:val="single" w:sz="8" w:color="auto"/>
            </w:tcBorders>
          </w:tcPr>
          <w:p>
            <w:pPr>
              <w:jc w:val="right"/>
              <w:ind w:right="290"/>
              <w:spacing w:after="0" w:line="197"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350"/>
              <w:spacing w:after="0" w:line="197"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7"/>
                <w:szCs w:val="17"/>
                <w:color w:val="auto"/>
              </w:rPr>
            </w:pPr>
          </w:p>
        </w:tc>
      </w:tr>
      <w:tr>
        <w:trPr>
          <w:trHeight w:val="197"/>
        </w:trPr>
        <w:tc>
          <w:tcPr>
            <w:tcW w:w="2980" w:type="dxa"/>
            <w:vAlign w:val="bottom"/>
            <w:tcBorders>
              <w:top w:val="single" w:sz="8" w:color="E6E6E6"/>
            </w:tcBorders>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Borders>
              <w:top w:val="single" w:sz="8" w:color="E6E6E6"/>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161,634</w:t>
            </w:r>
          </w:p>
        </w:tc>
        <w:tc>
          <w:tcPr>
            <w:tcW w:w="200" w:type="dxa"/>
            <w:vAlign w:val="bottom"/>
            <w:tcBorders>
              <w:top w:val="single" w:sz="8" w:color="E6E6E6"/>
            </w:tcBorders>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E6E6E6"/>
          </w:tcPr>
          <w:p>
            <w:pPr>
              <w:spacing w:after="0"/>
              <w:rPr>
                <w:sz w:val="17"/>
                <w:szCs w:val="17"/>
                <w:color w:val="auto"/>
              </w:rPr>
            </w:pPr>
          </w:p>
        </w:tc>
        <w:tc>
          <w:tcPr>
            <w:tcW w:w="1260" w:type="dxa"/>
            <w:vAlign w:val="bottom"/>
            <w:tcBorders>
              <w:top w:val="single" w:sz="8" w:color="auto"/>
            </w:tcBorders>
            <w:shd w:val="clear" w:color="auto" w:fill="E6E6E6"/>
          </w:tcPr>
          <w:p>
            <w:pPr>
              <w:jc w:val="center"/>
              <w:ind w:left="990"/>
              <w:spacing w:after="0" w:line="197"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E6E6E6"/>
            </w:tcBorders>
            <w:gridSpan w:val="2"/>
            <w:shd w:val="clear" w:color="auto" w:fill="E6E6E6"/>
          </w:tcPr>
          <w:p>
            <w:pPr>
              <w:ind w:left="10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E6E6E6"/>
          </w:tcPr>
          <w:p>
            <w:pPr>
              <w:spacing w:after="0"/>
              <w:rPr>
                <w:sz w:val="17"/>
                <w:szCs w:val="17"/>
                <w:color w:val="auto"/>
              </w:rPr>
            </w:pPr>
          </w:p>
        </w:tc>
        <w:tc>
          <w:tcPr>
            <w:tcW w:w="980" w:type="dxa"/>
            <w:vAlign w:val="bottom"/>
            <w:tcBorders>
              <w:top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color w:val="auto"/>
              </w:rPr>
              <w:t>161,634</w:t>
            </w:r>
          </w:p>
        </w:tc>
        <w:tc>
          <w:tcPr>
            <w:tcW w:w="20" w:type="dxa"/>
            <w:vAlign w:val="bottom"/>
            <w:tcBorders>
              <w:top w:val="single" w:sz="8" w:color="E6E6E6"/>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6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7"/>
        </w:trPr>
        <w:tc>
          <w:tcPr>
            <w:tcW w:w="29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color w:val="auto"/>
              </w:rPr>
              <w:t>Contingent Consideration Payable</w:t>
            </w:r>
          </w:p>
        </w:tc>
        <w:tc>
          <w:tcPr>
            <w:tcW w:w="600" w:type="dxa"/>
            <w:vAlign w:val="bottom"/>
            <w:shd w:val="clear" w:color="auto" w:fill="E6E6E6"/>
          </w:tcPr>
          <w:p>
            <w:pPr>
              <w:spacing w:after="0"/>
              <w:rPr>
                <w:sz w:val="17"/>
                <w:szCs w:val="17"/>
                <w:color w:val="auto"/>
              </w:rPr>
            </w:pPr>
          </w:p>
        </w:tc>
        <w:tc>
          <w:tcPr>
            <w:tcW w:w="15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6E6E6"/>
          </w:tcPr>
          <w:p>
            <w:pPr>
              <w:spacing w:after="0"/>
              <w:rPr>
                <w:sz w:val="17"/>
                <w:szCs w:val="17"/>
                <w:color w:val="auto"/>
              </w:rPr>
            </w:pPr>
          </w:p>
        </w:tc>
        <w:tc>
          <w:tcPr>
            <w:tcW w:w="12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1780" w:type="dxa"/>
            <w:vAlign w:val="bottom"/>
            <w:gridSpan w:val="4"/>
            <w:shd w:val="clear" w:color="auto" w:fill="E6E6E6"/>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(33,250)</w:t>
            </w:r>
          </w:p>
        </w:tc>
        <w:tc>
          <w:tcPr>
            <w:tcW w:w="100" w:type="dxa"/>
            <w:vAlign w:val="bottom"/>
            <w:shd w:val="clear" w:color="auto" w:fill="E6E6E6"/>
          </w:tcPr>
          <w:p>
            <w:pPr>
              <w:spacing w:after="0"/>
              <w:rPr>
                <w:sz w:val="17"/>
                <w:szCs w:val="17"/>
                <w:color w:val="auto"/>
              </w:rPr>
            </w:pPr>
          </w:p>
        </w:tc>
        <w:tc>
          <w:tcPr>
            <w:tcW w:w="1400" w:type="dxa"/>
            <w:vAlign w:val="bottom"/>
            <w:gridSpan w:val="3"/>
            <w:shd w:val="clear" w:color="auto" w:fill="E6E6E6"/>
          </w:tcPr>
          <w:p>
            <w:pPr>
              <w:jc w:val="right"/>
              <w:ind w:right="40"/>
              <w:spacing w:after="0"/>
              <w:rPr>
                <w:sz w:val="20"/>
                <w:szCs w:val="20"/>
                <w:color w:val="auto"/>
              </w:rPr>
            </w:pPr>
            <w:r>
              <w:rPr>
                <w:rFonts w:ascii="Times New Roman" w:cs="Times New Roman" w:eastAsia="Times New Roman" w:hAnsi="Times New Roman"/>
                <w:sz w:val="18"/>
                <w:szCs w:val="18"/>
                <w:color w:val="auto"/>
              </w:rPr>
              <w:t>(33,250)</w:t>
            </w:r>
          </w:p>
        </w:tc>
      </w:t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6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(3,117)</w:t>
            </w:r>
          </w:p>
        </w:tc>
      </w:tr>
      <w:tr>
        <w:trPr>
          <w:trHeight w:val="197"/>
        </w:trPr>
        <w:tc>
          <w:tcPr>
            <w:tcW w:w="2980" w:type="dxa"/>
            <w:vAlign w:val="bottom"/>
            <w:tcBorders>
              <w:top w:val="single" w:sz="8" w:color="E6E6E6"/>
            </w:tcBorders>
            <w:shd w:val="clear" w:color="auto" w:fill="E6E6E6"/>
          </w:tcPr>
          <w:p>
            <w:pPr>
              <w:spacing w:after="0"/>
              <w:rPr>
                <w:sz w:val="17"/>
                <w:szCs w:val="17"/>
                <w:color w:val="auto"/>
              </w:rPr>
            </w:pPr>
          </w:p>
        </w:tc>
        <w:tc>
          <w:tcPr>
            <w:tcW w:w="600" w:type="dxa"/>
            <w:vAlign w:val="bottom"/>
            <w:tcBorders>
              <w:top w:val="single" w:sz="8" w:color="E6E6E6"/>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bottom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185,849</w:t>
            </w:r>
          </w:p>
        </w:tc>
        <w:tc>
          <w:tcPr>
            <w:tcW w:w="200" w:type="dxa"/>
            <w:vAlign w:val="bottom"/>
            <w:tcBorders>
              <w:top w:val="single" w:sz="8" w:color="E6E6E6"/>
            </w:tcBorders>
            <w:gridSpan w:val="2"/>
            <w:shd w:val="clear" w:color="auto" w:fill="E6E6E6"/>
          </w:tcPr>
          <w:p>
            <w:pPr>
              <w:jc w:val="right"/>
              <w:ind w:right="20"/>
              <w:spacing w:after="0" w:line="197" w:lineRule="exact"/>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bottom w:val="single" w:sz="8" w:color="auto"/>
            </w:tcBorders>
            <w:shd w:val="clear" w:color="auto" w:fill="E6E6E6"/>
          </w:tcPr>
          <w:p>
            <w:pPr>
              <w:spacing w:after="0"/>
              <w:rPr>
                <w:sz w:val="17"/>
                <w:szCs w:val="17"/>
                <w:color w:val="auto"/>
              </w:rPr>
            </w:pPr>
          </w:p>
        </w:tc>
        <w:tc>
          <w:tcPr>
            <w:tcW w:w="1260" w:type="dxa"/>
            <w:vAlign w:val="bottom"/>
            <w:tcBorders>
              <w:top w:val="single" w:sz="8" w:color="auto"/>
              <w:bottom w:val="single" w:sz="8" w:color="auto"/>
            </w:tcBorders>
            <w:shd w:val="clear" w:color="auto" w:fill="E6E6E6"/>
          </w:tcPr>
          <w:p>
            <w:pPr>
              <w:jc w:val="center"/>
              <w:ind w:left="990"/>
              <w:spacing w:after="0" w:line="197"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E6E6E6"/>
            </w:tcBorders>
            <w:gridSpan w:val="2"/>
            <w:shd w:val="clear" w:color="auto" w:fill="E6E6E6"/>
          </w:tcPr>
          <w:p>
            <w:pPr>
              <w:ind w:left="100"/>
              <w:spacing w:after="0" w:line="197"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E6E6E6"/>
          </w:tcPr>
          <w:p>
            <w:pPr>
              <w:spacing w:after="0"/>
              <w:rPr>
                <w:sz w:val="17"/>
                <w:szCs w:val="17"/>
                <w:color w:val="auto"/>
              </w:rPr>
            </w:pPr>
          </w:p>
        </w:tc>
        <w:tc>
          <w:tcPr>
            <w:tcW w:w="980" w:type="dxa"/>
            <w:vAlign w:val="bottom"/>
            <w:tcBorders>
              <w:top w:val="single" w:sz="8" w:color="auto"/>
              <w:bottom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3,779</w:t>
            </w:r>
          </w:p>
        </w:tc>
        <w:tc>
          <w:tcPr>
            <w:tcW w:w="100" w:type="dxa"/>
            <w:vAlign w:val="bottom"/>
            <w:tcBorders>
              <w:top w:val="single" w:sz="8" w:color="E6E6E6"/>
            </w:tcBorders>
            <w:shd w:val="clear" w:color="auto" w:fill="E6E6E6"/>
          </w:tcPr>
          <w:p>
            <w:pPr>
              <w:spacing w:after="0"/>
              <w:rPr>
                <w:sz w:val="17"/>
                <w:szCs w:val="17"/>
                <w:color w:val="auto"/>
              </w:rPr>
            </w:pPr>
          </w:p>
        </w:tc>
        <w:tc>
          <w:tcPr>
            <w:tcW w:w="100" w:type="dxa"/>
            <w:vAlign w:val="bottom"/>
            <w:tcBorders>
              <w:top w:val="single" w:sz="8" w:color="E6E6E6"/>
            </w:tcBorders>
            <w:shd w:val="clear" w:color="auto" w:fill="E6E6E6"/>
          </w:tcPr>
          <w:p>
            <w:pPr>
              <w:spacing w:after="0" w:line="197"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E6E6E6"/>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rPr>
              <w:t>189,628</w:t>
            </w:r>
          </w:p>
        </w:tc>
        <w:tc>
          <w:tcPr>
            <w:tcW w:w="20" w:type="dxa"/>
            <w:vAlign w:val="bottom"/>
            <w:tcBorders>
              <w:top w:val="single" w:sz="8" w:color="E6E6E6"/>
            </w:tcBorders>
            <w:shd w:val="clear" w:color="auto" w:fill="E6E6E6"/>
          </w:tcPr>
          <w:p>
            <w:pPr>
              <w:spacing w:after="0"/>
              <w:rPr>
                <w:sz w:val="17"/>
                <w:szCs w:val="17"/>
                <w:color w:val="auto"/>
              </w:rPr>
            </w:pPr>
          </w:p>
        </w:tc>
        <w:tc>
          <w:tcPr>
            <w:tcW w:w="80" w:type="dxa"/>
            <w:vAlign w:val="bottom"/>
            <w:tcBorders>
              <w:top w:val="single" w:sz="8" w:color="E6E6E6"/>
            </w:tcBorders>
            <w:shd w:val="clear" w:color="auto" w:fill="E6E6E6"/>
          </w:tcPr>
          <w:p>
            <w:pPr>
              <w:spacing w:after="0"/>
              <w:rPr>
                <w:sz w:val="17"/>
                <w:szCs w:val="17"/>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00"/>
          </w:cols>
          <w:pgMar w:left="720" w:top="696" w:right="8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10700"/>
          </w:cols>
          <w:pgMar w:left="720" w:top="696" w:right="820" w:bottom="186"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REPORTING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31750</wp:posOffset>
                </wp:positionV>
                <wp:extent cx="689483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2.5pt" to="541.45pt,2.5pt" o:allowincell="f" strokecolor="#000000" strokeweight="0.75pt"/>
            </w:pict>
          </mc:Fallback>
        </mc:AlternateContent>
      </w:r>
    </w:p>
    <w:p>
      <w:pPr>
        <w:spacing w:after="0" w:line="139"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Company operates in two segments: the cultivation, production and sale of cannabis products to retail stores (“Consumer Packaged Goods”) and retailing of cannabis to patients and consumers (“Retail”). The Company does not allocate operating expenses to these business units, nor does it allocate specific assets. Additionally, the Chief Operating Decision Maker, Benjamin Kovler, Chairman and Chief Executive Officer of the Company does not review total assets or net income (loss) by segments; therefore, such information is not presented below.</w:t>
      </w:r>
    </w:p>
    <w:p>
      <w:pPr>
        <w:spacing w:after="0" w:line="197"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The below table presents net revenue, significant expenses, and gross profit by segment for the years ended December 31, 2024, 2023 and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Years Ended December 31,</w:t>
            </w:r>
          </w:p>
        </w:tc>
        <w:tc>
          <w:tcPr>
            <w:tcW w:w="1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40" w:type="dxa"/>
            <w:vAlign w:val="bottom"/>
          </w:tcPr>
          <w:p>
            <w:pPr>
              <w:spacing w:after="0"/>
              <w:rPr>
                <w:sz w:val="20"/>
                <w:szCs w:val="20"/>
                <w:color w:val="auto"/>
              </w:rPr>
            </w:pPr>
          </w:p>
        </w:tc>
        <w:tc>
          <w:tcPr>
            <w:tcW w:w="186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300" w:type="dxa"/>
            <w:vAlign w:val="bottom"/>
          </w:tcPr>
          <w:p>
            <w:pPr>
              <w:spacing w:after="0"/>
              <w:rPr>
                <w:sz w:val="20"/>
                <w:szCs w:val="20"/>
                <w:color w:val="auto"/>
              </w:rPr>
            </w:pPr>
          </w:p>
        </w:tc>
        <w:tc>
          <w:tcPr>
            <w:tcW w:w="17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40" w:type="dxa"/>
            <w:vAlign w:val="bottom"/>
            <w:tcBorders>
              <w:bottom w:val="single" w:sz="8" w:color="E6E6E6"/>
            </w:tcBorders>
          </w:tcPr>
          <w:p>
            <w:pPr>
              <w:spacing w:after="0"/>
              <w:rPr>
                <w:sz w:val="20"/>
                <w:szCs w:val="20"/>
                <w:color w:val="auto"/>
              </w:rPr>
            </w:pPr>
          </w:p>
        </w:tc>
        <w:tc>
          <w:tcPr>
            <w:tcW w:w="860" w:type="dxa"/>
            <w:vAlign w:val="bottom"/>
            <w:tcBorders>
              <w:bottom w:val="single" w:sz="8" w:color="E6E6E6"/>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i w:val="1"/>
                <w:iCs w:val="1"/>
                <w:color w:val="auto"/>
              </w:rPr>
              <w:t>Revenues, Net of Discounts</w:t>
            </w:r>
          </w:p>
        </w:tc>
        <w:tc>
          <w:tcPr>
            <w:tcW w:w="860" w:type="dxa"/>
            <w:vAlign w:val="bottom"/>
            <w:shd w:val="clear" w:color="auto" w:fill="E6E6E6"/>
          </w:tcPr>
          <w:p>
            <w:pPr>
              <w:spacing w:after="0"/>
              <w:rPr>
                <w:sz w:val="20"/>
                <w:szCs w:val="20"/>
                <w:color w:val="auto"/>
              </w:rPr>
            </w:pPr>
          </w:p>
        </w:tc>
        <w:tc>
          <w:tcPr>
            <w:tcW w:w="1880" w:type="dxa"/>
            <w:vAlign w:val="bottom"/>
            <w:shd w:val="clear" w:color="auto" w:fill="E6E6E6"/>
          </w:tcPr>
          <w:p>
            <w:pPr>
              <w:spacing w:after="0"/>
              <w:rPr>
                <w:sz w:val="20"/>
                <w:szCs w:val="20"/>
                <w:color w:val="auto"/>
              </w:rPr>
            </w:pPr>
          </w:p>
        </w:tc>
        <w:tc>
          <w:tcPr>
            <w:tcW w:w="240" w:type="dxa"/>
            <w:vAlign w:val="bottom"/>
            <w:shd w:val="clear" w:color="auto" w:fill="E6E6E6"/>
          </w:tcPr>
          <w:p>
            <w:pPr>
              <w:spacing w:after="0"/>
              <w:rPr>
                <w:sz w:val="20"/>
                <w:szCs w:val="20"/>
                <w:color w:val="auto"/>
              </w:rPr>
            </w:pPr>
          </w:p>
        </w:tc>
        <w:tc>
          <w:tcPr>
            <w:tcW w:w="1860" w:type="dxa"/>
            <w:vAlign w:val="bottom"/>
            <w:shd w:val="clear" w:color="auto" w:fill="E6E6E6"/>
          </w:tcPr>
          <w:p>
            <w:pPr>
              <w:spacing w:after="0"/>
              <w:rPr>
                <w:sz w:val="20"/>
                <w:szCs w:val="20"/>
                <w:color w:val="auto"/>
              </w:rPr>
            </w:pPr>
          </w:p>
        </w:tc>
        <w:tc>
          <w:tcPr>
            <w:tcW w:w="300" w:type="dxa"/>
            <w:vAlign w:val="bottom"/>
            <w:shd w:val="clear" w:color="auto" w:fill="E6E6E6"/>
          </w:tcPr>
          <w:p>
            <w:pPr>
              <w:spacing w:after="0"/>
              <w:rPr>
                <w:sz w:val="20"/>
                <w:szCs w:val="20"/>
                <w:color w:val="auto"/>
              </w:rPr>
            </w:pPr>
          </w:p>
        </w:tc>
        <w:tc>
          <w:tcPr>
            <w:tcW w:w="1720" w:type="dxa"/>
            <w:vAlign w:val="bottom"/>
            <w:shd w:val="clear" w:color="auto" w:fill="E6E6E6"/>
          </w:tcPr>
          <w:p>
            <w:pPr>
              <w:spacing w:after="0"/>
              <w:rPr>
                <w:sz w:val="20"/>
                <w:szCs w:val="20"/>
                <w:color w:val="auto"/>
              </w:rPr>
            </w:pP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824,726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791,480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763,166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60" w:type="dxa"/>
            <w:vAlign w:val="bottom"/>
            <w:shd w:val="clear" w:color="auto" w:fill="E6E6E6"/>
          </w:tcPr>
          <w:p>
            <w:pPr>
              <w:spacing w:after="0"/>
              <w:rPr>
                <w:sz w:val="21"/>
                <w:szCs w:val="21"/>
                <w:color w:val="auto"/>
              </w:rPr>
            </w:pPr>
          </w:p>
        </w:tc>
        <w:tc>
          <w:tcPr>
            <w:tcW w:w="1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648,388</w:t>
            </w:r>
          </w:p>
        </w:tc>
        <w:tc>
          <w:tcPr>
            <w:tcW w:w="240" w:type="dxa"/>
            <w:vAlign w:val="bottom"/>
            <w:shd w:val="clear" w:color="auto" w:fill="E6E6E6"/>
          </w:tcPr>
          <w:p>
            <w:pPr>
              <w:spacing w:after="0"/>
              <w:rPr>
                <w:sz w:val="21"/>
                <w:szCs w:val="21"/>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559,480</w:t>
            </w:r>
          </w:p>
        </w:tc>
        <w:tc>
          <w:tcPr>
            <w:tcW w:w="300" w:type="dxa"/>
            <w:vAlign w:val="bottom"/>
            <w:shd w:val="clear" w:color="auto" w:fill="E6E6E6"/>
          </w:tcPr>
          <w:p>
            <w:pPr>
              <w:spacing w:after="0"/>
              <w:rPr>
                <w:sz w:val="21"/>
                <w:szCs w:val="21"/>
                <w:color w:val="auto"/>
              </w:rPr>
            </w:pP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495,101</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60" w:type="dxa"/>
            <w:vAlign w:val="bottom"/>
            <w:tcBorders>
              <w:bottom w:val="single" w:sz="8" w:color="E6E6E6"/>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(335,973)</w:t>
            </w:r>
          </w:p>
        </w:tc>
        <w:tc>
          <w:tcPr>
            <w:tcW w:w="240" w:type="dxa"/>
            <w:vAlign w:val="bottom"/>
            <w:tcBorders>
              <w:bottom w:val="single" w:sz="8" w:color="E6E6E6"/>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(296,407)</w:t>
            </w:r>
          </w:p>
        </w:tc>
        <w:tc>
          <w:tcPr>
            <w:tcW w:w="300" w:type="dxa"/>
            <w:vAlign w:val="bottom"/>
            <w:tcBorders>
              <w:bottom w:val="single" w:sz="8" w:color="E6E6E6"/>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(240,892)</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Total Revenues, Net of Discounts</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1,137,141</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1,054,553</w:t>
            </w:r>
          </w:p>
        </w:tc>
        <w:tc>
          <w:tcPr>
            <w:tcW w:w="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1,017,375</w:t>
            </w:r>
          </w:p>
        </w:tc>
        <w:tc>
          <w:tcPr>
            <w:tcW w:w="100" w:type="dxa"/>
            <w:vAlign w:val="bottom"/>
            <w:tcBorders>
              <w:bottom w:val="single" w:sz="8" w:color="auto"/>
            </w:tcBorders>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Cost of Goods Sold</w:t>
            </w:r>
          </w:p>
        </w:tc>
        <w:tc>
          <w:tcPr>
            <w:tcW w:w="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Retail</w:t>
            </w:r>
          </w:p>
        </w:tc>
        <w:tc>
          <w:tcPr>
            <w:tcW w:w="860" w:type="dxa"/>
            <w:vAlign w:val="bottom"/>
            <w:shd w:val="clear" w:color="auto" w:fill="E6E6E6"/>
          </w:tcPr>
          <w:p>
            <w:pPr>
              <w:spacing w:after="0"/>
              <w:rPr>
                <w:sz w:val="21"/>
                <w:szCs w:val="21"/>
                <w:color w:val="auto"/>
              </w:rPr>
            </w:pPr>
          </w:p>
        </w:tc>
        <w:tc>
          <w:tcPr>
            <w:tcW w:w="1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541,135</w:t>
            </w:r>
          </w:p>
        </w:tc>
        <w:tc>
          <w:tcPr>
            <w:tcW w:w="240" w:type="dxa"/>
            <w:vAlign w:val="bottom"/>
            <w:shd w:val="clear" w:color="auto" w:fill="E6E6E6"/>
          </w:tcPr>
          <w:p>
            <w:pPr>
              <w:spacing w:after="0"/>
              <w:rPr>
                <w:sz w:val="21"/>
                <w:szCs w:val="21"/>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517,845</w:t>
            </w:r>
          </w:p>
        </w:tc>
        <w:tc>
          <w:tcPr>
            <w:tcW w:w="300" w:type="dxa"/>
            <w:vAlign w:val="bottom"/>
            <w:shd w:val="clear" w:color="auto" w:fill="E6E6E6"/>
          </w:tcPr>
          <w:p>
            <w:pPr>
              <w:spacing w:after="0"/>
              <w:rPr>
                <w:sz w:val="21"/>
                <w:szCs w:val="21"/>
                <w:color w:val="auto"/>
              </w:rPr>
            </w:pP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480,814</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367,573</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326,384</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281,758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60" w:type="dxa"/>
            <w:vAlign w:val="bottom"/>
            <w:shd w:val="clear" w:color="auto" w:fill="E6E6E6"/>
          </w:tcPr>
          <w:p>
            <w:pPr>
              <w:spacing w:after="0"/>
              <w:rPr>
                <w:sz w:val="21"/>
                <w:szCs w:val="21"/>
                <w:color w:val="auto"/>
              </w:rPr>
            </w:pPr>
          </w:p>
        </w:tc>
        <w:tc>
          <w:tcPr>
            <w:tcW w:w="1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(372,676)</w:t>
            </w:r>
          </w:p>
        </w:tc>
        <w:tc>
          <w:tcPr>
            <w:tcW w:w="240" w:type="dxa"/>
            <w:vAlign w:val="bottom"/>
            <w:shd w:val="clear" w:color="auto" w:fill="E6E6E6"/>
          </w:tcPr>
          <w:p>
            <w:pPr>
              <w:spacing w:after="0"/>
              <w:rPr>
                <w:sz w:val="21"/>
                <w:szCs w:val="21"/>
                <w:color w:val="auto"/>
              </w:rPr>
            </w:pPr>
          </w:p>
        </w:tc>
        <w:tc>
          <w:tcPr>
            <w:tcW w:w="1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(316,171)</w:t>
            </w:r>
          </w:p>
        </w:tc>
        <w:tc>
          <w:tcPr>
            <w:tcW w:w="300" w:type="dxa"/>
            <w:vAlign w:val="bottom"/>
            <w:shd w:val="clear" w:color="auto" w:fill="E6E6E6"/>
          </w:tcPr>
          <w:p>
            <w:pPr>
              <w:spacing w:after="0"/>
              <w:rPr>
                <w:sz w:val="21"/>
                <w:szCs w:val="21"/>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(249,160)</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8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b w:val="1"/>
                <w:bCs w:val="1"/>
                <w:color w:val="auto"/>
              </w:rPr>
              <w:t>Total Cost of Goods Sold</w:t>
            </w:r>
          </w:p>
        </w:tc>
        <w:tc>
          <w:tcPr>
            <w:tcW w:w="860" w:type="dxa"/>
            <w:vAlign w:val="bottom"/>
            <w:tcBorders>
              <w:bottom w:val="single" w:sz="8" w:color="E6E6E6"/>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536,032</w:t>
            </w:r>
          </w:p>
        </w:tc>
        <w:tc>
          <w:tcPr>
            <w:tcW w:w="240" w:type="dxa"/>
            <w:vAlign w:val="bottom"/>
            <w:tcBorders>
              <w:bottom w:val="single" w:sz="8" w:color="E6E6E6"/>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528,058</w:t>
            </w:r>
          </w:p>
        </w:tc>
        <w:tc>
          <w:tcPr>
            <w:tcW w:w="300" w:type="dxa"/>
            <w:vAlign w:val="bottom"/>
            <w:tcBorders>
              <w:bottom w:val="single" w:sz="8" w:color="E6E6E6"/>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513,412</w:t>
            </w:r>
          </w:p>
        </w:tc>
        <w:tc>
          <w:tcPr>
            <w:tcW w:w="100" w:type="dxa"/>
            <w:vAlign w:val="bottom"/>
            <w:tcBorders>
              <w:bottom w:val="single" w:sz="8" w:color="E6E6E6"/>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i w:val="1"/>
                <w:iCs w:val="1"/>
                <w:color w:val="auto"/>
              </w:rPr>
              <w:t>Gross Profit</w:t>
            </w:r>
          </w:p>
        </w:tc>
        <w:tc>
          <w:tcPr>
            <w:tcW w:w="860" w:type="dxa"/>
            <w:vAlign w:val="bottom"/>
            <w:shd w:val="clear" w:color="auto" w:fill="E6E6E6"/>
          </w:tcPr>
          <w:p>
            <w:pPr>
              <w:spacing w:after="0"/>
              <w:rPr>
                <w:sz w:val="19"/>
                <w:szCs w:val="19"/>
                <w:color w:val="auto"/>
              </w:rPr>
            </w:pPr>
          </w:p>
        </w:tc>
        <w:tc>
          <w:tcPr>
            <w:tcW w:w="1880" w:type="dxa"/>
            <w:vAlign w:val="bottom"/>
            <w:shd w:val="clear" w:color="auto" w:fill="E6E6E6"/>
          </w:tcPr>
          <w:p>
            <w:pPr>
              <w:spacing w:after="0"/>
              <w:rPr>
                <w:sz w:val="19"/>
                <w:szCs w:val="19"/>
                <w:color w:val="auto"/>
              </w:rPr>
            </w:pPr>
          </w:p>
        </w:tc>
        <w:tc>
          <w:tcPr>
            <w:tcW w:w="240" w:type="dxa"/>
            <w:vAlign w:val="bottom"/>
            <w:shd w:val="clear" w:color="auto" w:fill="E6E6E6"/>
          </w:tcPr>
          <w:p>
            <w:pPr>
              <w:spacing w:after="0"/>
              <w:rPr>
                <w:sz w:val="19"/>
                <w:szCs w:val="19"/>
                <w:color w:val="auto"/>
              </w:rPr>
            </w:pPr>
          </w:p>
        </w:tc>
        <w:tc>
          <w:tcPr>
            <w:tcW w:w="1860" w:type="dxa"/>
            <w:vAlign w:val="bottom"/>
            <w:shd w:val="clear" w:color="auto" w:fill="E6E6E6"/>
          </w:tcPr>
          <w:p>
            <w:pPr>
              <w:spacing w:after="0"/>
              <w:rPr>
                <w:sz w:val="19"/>
                <w:szCs w:val="19"/>
                <w:color w:val="auto"/>
              </w:rPr>
            </w:pPr>
          </w:p>
        </w:tc>
        <w:tc>
          <w:tcPr>
            <w:tcW w:w="300" w:type="dxa"/>
            <w:vAlign w:val="bottom"/>
            <w:shd w:val="clear" w:color="auto" w:fill="E6E6E6"/>
          </w:tcPr>
          <w:p>
            <w:pPr>
              <w:spacing w:after="0"/>
              <w:rPr>
                <w:sz w:val="19"/>
                <w:szCs w:val="19"/>
                <w:color w:val="auto"/>
              </w:rPr>
            </w:pPr>
          </w:p>
        </w:tc>
        <w:tc>
          <w:tcPr>
            <w:tcW w:w="1720" w:type="dxa"/>
            <w:vAlign w:val="bottom"/>
            <w:shd w:val="clear" w:color="auto" w:fill="E6E6E6"/>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8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283,591</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273,635</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282,352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60" w:type="dxa"/>
            <w:vAlign w:val="bottom"/>
            <w:shd w:val="clear" w:color="auto" w:fill="E6E6E6"/>
          </w:tcPr>
          <w:p>
            <w:pPr>
              <w:spacing w:after="0"/>
              <w:rPr>
                <w:sz w:val="21"/>
                <w:szCs w:val="21"/>
                <w:color w:val="auto"/>
              </w:rPr>
            </w:pPr>
          </w:p>
        </w:tc>
        <w:tc>
          <w:tcPr>
            <w:tcW w:w="1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280,815</w:t>
            </w:r>
          </w:p>
        </w:tc>
        <w:tc>
          <w:tcPr>
            <w:tcW w:w="240" w:type="dxa"/>
            <w:vAlign w:val="bottom"/>
            <w:shd w:val="clear" w:color="auto" w:fill="E6E6E6"/>
          </w:tcPr>
          <w:p>
            <w:pPr>
              <w:spacing w:after="0"/>
              <w:rPr>
                <w:sz w:val="21"/>
                <w:szCs w:val="21"/>
                <w:color w:val="auto"/>
              </w:rPr>
            </w:pP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233,096</w:t>
            </w:r>
          </w:p>
        </w:tc>
        <w:tc>
          <w:tcPr>
            <w:tcW w:w="300" w:type="dxa"/>
            <w:vAlign w:val="bottom"/>
            <w:shd w:val="clear" w:color="auto" w:fill="E6E6E6"/>
          </w:tcPr>
          <w:p>
            <w:pPr>
              <w:spacing w:after="0"/>
              <w:rPr>
                <w:sz w:val="21"/>
                <w:szCs w:val="21"/>
                <w:color w:val="auto"/>
              </w:rPr>
            </w:pP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213,343</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E6E6E6"/>
            </w:tcBorders>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60" w:type="dxa"/>
            <w:vAlign w:val="bottom"/>
            <w:tcBorders>
              <w:bottom w:val="single" w:sz="8" w:color="E6E6E6"/>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36,703</w:t>
            </w:r>
          </w:p>
        </w:tc>
        <w:tc>
          <w:tcPr>
            <w:tcW w:w="240" w:type="dxa"/>
            <w:vAlign w:val="bottom"/>
            <w:tcBorders>
              <w:bottom w:val="single" w:sz="8" w:color="E6E6E6"/>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19,764</w:t>
            </w:r>
          </w:p>
        </w:tc>
        <w:tc>
          <w:tcPr>
            <w:tcW w:w="300" w:type="dxa"/>
            <w:vAlign w:val="bottom"/>
            <w:tcBorders>
              <w:bottom w:val="single" w:sz="8" w:color="E6E6E6"/>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8,268</w:t>
            </w:r>
          </w:p>
        </w:tc>
        <w:tc>
          <w:tcPr>
            <w:tcW w:w="100" w:type="dxa"/>
            <w:vAlign w:val="bottom"/>
            <w:tcBorders>
              <w:bottom w:val="single" w:sz="8" w:color="E6E6E6"/>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b w:val="1"/>
                <w:bCs w:val="1"/>
                <w:color w:val="auto"/>
              </w:rPr>
              <w:t>Total Gross Profit</w:t>
            </w:r>
          </w:p>
        </w:tc>
        <w:tc>
          <w:tcPr>
            <w:tcW w:w="860" w:type="dxa"/>
            <w:vAlign w:val="bottom"/>
            <w:shd w:val="clear" w:color="auto" w:fill="E6E6E6"/>
          </w:tcPr>
          <w:p>
            <w:pPr>
              <w:spacing w:after="0"/>
              <w:rPr>
                <w:sz w:val="20"/>
                <w:szCs w:val="20"/>
                <w:color w:val="auto"/>
              </w:rPr>
            </w:pPr>
          </w:p>
        </w:tc>
        <w:tc>
          <w:tcPr>
            <w:tcW w:w="1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601,109</w:t>
            </w:r>
          </w:p>
        </w:tc>
        <w:tc>
          <w:tcPr>
            <w:tcW w:w="240" w:type="dxa"/>
            <w:vAlign w:val="bottom"/>
            <w:shd w:val="clear" w:color="auto" w:fill="E6E6E6"/>
          </w:tcPr>
          <w:p>
            <w:pPr>
              <w:spacing w:after="0"/>
              <w:rPr>
                <w:sz w:val="20"/>
                <w:szCs w:val="20"/>
                <w:color w:val="auto"/>
              </w:rPr>
            </w:pPr>
          </w:p>
        </w:tc>
        <w:tc>
          <w:tcPr>
            <w:tcW w:w="1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526,495</w:t>
            </w:r>
          </w:p>
        </w:tc>
        <w:tc>
          <w:tcPr>
            <w:tcW w:w="300" w:type="dxa"/>
            <w:vAlign w:val="bottom"/>
            <w:shd w:val="clear" w:color="auto" w:fill="E6E6E6"/>
          </w:tcPr>
          <w:p>
            <w:pPr>
              <w:spacing w:after="0"/>
              <w:rPr>
                <w:sz w:val="20"/>
                <w:szCs w:val="20"/>
                <w:color w:val="auto"/>
              </w:rPr>
            </w:pPr>
          </w:p>
        </w:tc>
        <w:tc>
          <w:tcPr>
            <w:tcW w:w="172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b w:val="1"/>
                <w:bCs w:val="1"/>
                <w:color w:val="auto"/>
              </w:rPr>
              <w:t>503,963</w:t>
            </w:r>
          </w:p>
        </w:tc>
        <w:tc>
          <w:tcPr>
            <w:tcW w:w="100" w:type="dxa"/>
            <w:vAlign w:val="bottom"/>
            <w:shd w:val="clear" w:color="auto" w:fill="E6E6E6"/>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tc>
        <w:tc>
          <w:tcPr>
            <w:tcW w:w="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Retail</w:t>
            </w:r>
          </w:p>
        </w:tc>
        <w:tc>
          <w:tcPr>
            <w:tcW w:w="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42,134</w:t>
            </w:r>
          </w:p>
        </w:tc>
        <w:tc>
          <w:tcPr>
            <w:tcW w:w="24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37,568</w:t>
            </w:r>
          </w:p>
        </w:tc>
        <w:tc>
          <w:tcPr>
            <w:tcW w:w="300" w:type="dxa"/>
            <w:vAlign w:val="bottom"/>
            <w:shd w:val="clear" w:color="auto" w:fill="E6E6E6"/>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43,498</w:t>
            </w:r>
          </w:p>
        </w:tc>
        <w:tc>
          <w:tcPr>
            <w:tcW w:w="100" w:type="dxa"/>
            <w:vAlign w:val="bottom"/>
            <w:shd w:val="clear" w:color="auto" w:fill="E6E6E6"/>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tcPr>
          <w:p>
            <w:pPr>
              <w:spacing w:after="0"/>
              <w:rPr>
                <w:sz w:val="20"/>
                <w:szCs w:val="20"/>
                <w:color w:val="auto"/>
              </w:rPr>
            </w:pPr>
            <w:r>
              <w:rPr>
                <w:rFonts w:ascii="Times New Roman" w:cs="Times New Roman" w:eastAsia="Times New Roman" w:hAnsi="Times New Roman"/>
                <w:sz w:val="20"/>
                <w:szCs w:val="20"/>
                <w:color w:val="auto"/>
              </w:rPr>
              <w:t>Consumer Packaged Goods</w:t>
            </w:r>
          </w:p>
        </w:tc>
        <w:tc>
          <w:tcPr>
            <w:tcW w:w="8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71,076</w:t>
            </w: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63,222</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40" w:type="dxa"/>
            <w:vAlign w:val="bottom"/>
            <w:shd w:val="clear" w:color="auto" w:fill="E6E6E6"/>
          </w:tcPr>
          <w:p>
            <w:pPr>
              <w:spacing w:after="0"/>
              <w:rPr>
                <w:sz w:val="20"/>
                <w:szCs w:val="20"/>
                <w:color w:val="auto"/>
              </w:rPr>
            </w:pPr>
            <w:r>
              <w:rPr>
                <w:rFonts w:ascii="Times New Roman" w:cs="Times New Roman" w:eastAsia="Times New Roman" w:hAnsi="Times New Roman"/>
                <w:sz w:val="20"/>
                <w:szCs w:val="20"/>
                <w:color w:val="auto"/>
              </w:rPr>
              <w:t>Intersegment Eliminations</w:t>
            </w:r>
          </w:p>
        </w:tc>
        <w:tc>
          <w:tcPr>
            <w:tcW w:w="860" w:type="dxa"/>
            <w:vAlign w:val="bottom"/>
            <w:shd w:val="clear" w:color="auto" w:fill="E6E6E6"/>
          </w:tcPr>
          <w:p>
            <w:pPr>
              <w:spacing w:after="0"/>
              <w:rPr>
                <w:sz w:val="21"/>
                <w:szCs w:val="21"/>
                <w:color w:val="auto"/>
              </w:rPr>
            </w:pPr>
          </w:p>
        </w:tc>
        <w:tc>
          <w:tcPr>
            <w:tcW w:w="188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6E6E6"/>
          </w:tcPr>
          <w:p>
            <w:pPr>
              <w:spacing w:after="0"/>
              <w:rPr>
                <w:sz w:val="21"/>
                <w:szCs w:val="21"/>
                <w:color w:val="auto"/>
              </w:rPr>
            </w:pPr>
          </w:p>
        </w:tc>
        <w:tc>
          <w:tcPr>
            <w:tcW w:w="1860" w:type="dxa"/>
            <w:vAlign w:val="bottom"/>
            <w:tcBorders>
              <w:bottom w:val="single" w:sz="8" w:color="auto"/>
            </w:tcBorders>
            <w:shd w:val="clear" w:color="auto" w:fill="E6E6E6"/>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E6E6E6"/>
          </w:tcPr>
          <w:p>
            <w:pPr>
              <w:spacing w:after="0"/>
              <w:rPr>
                <w:sz w:val="21"/>
                <w:szCs w:val="21"/>
                <w:color w:val="auto"/>
              </w:rPr>
            </w:pPr>
          </w:p>
        </w:tc>
        <w:tc>
          <w:tcPr>
            <w:tcW w:w="1820" w:type="dxa"/>
            <w:vAlign w:val="bottom"/>
            <w:tcBorders>
              <w:bottom w:val="single" w:sz="8" w:color="auto"/>
            </w:tcBorders>
            <w:gridSpan w:val="2"/>
            <w:shd w:val="clear" w:color="auto" w:fill="E6E6E6"/>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Depreciation and Amortization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113,210</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100,790</w:t>
            </w:r>
          </w:p>
        </w:tc>
        <w:tc>
          <w:tcPr>
            <w:tcW w:w="30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96,664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both"/>
        <w:ind w:right="640"/>
        <w:spacing w:after="0" w:line="258" w:lineRule="auto"/>
        <w:rPr>
          <w:sz w:val="20"/>
          <w:szCs w:val="20"/>
          <w:color w:val="auto"/>
        </w:rPr>
      </w:pPr>
      <w:r>
        <w:rPr>
          <w:rFonts w:ascii="Times New Roman" w:cs="Times New Roman" w:eastAsia="Times New Roman" w:hAnsi="Times New Roman"/>
          <w:sz w:val="20"/>
          <w:szCs w:val="20"/>
          <w:color w:val="auto"/>
        </w:rPr>
        <w:t>Goodwill assigned to the Retail segment as of December 31, 2024 and 2023 was $273,802 thousand at each period then ended. Intangible assets, net assigned to the Retail segment as of December 31, 2024 and 2023 was $254,358 thousand and $278,492 thousand, respectively.</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Goodwill assigned to the Consumer Packaged Goods segment as of December 31, 2024 and 2023 was $315,889 thousand at each period then ended. Intangible assets, net assigned to the Consumer Packaged Goods segment as of December 31, 2024 and 2023 was $233,929 thousand and $260,186 thousand, respectively.</w:t>
      </w:r>
    </w:p>
    <w:p>
      <w:pPr>
        <w:spacing w:after="0" w:line="68"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color w:val="auto"/>
        </w:rPr>
        <w:t>The Company’s assets are aggregated into two reporting units (Retail and Consumer Packaged Goods) which align with our reportable segments. All revenues are derived from customers domiciled in the United States and all assets are located in the United States.</w:t>
      </w: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10800"/>
          </w:cols>
          <w:pgMar w:left="720" w:top="696" w:right="720" w:bottom="186"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Green Thumb Industries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20"/>
          <w:szCs w:val="20"/>
          <w:i w:val="1"/>
          <w:iCs w:val="1"/>
          <w:color w:val="auto"/>
        </w:rPr>
        <w:t>(Amounts Expressed in Thousands of United States Dollars, Except Where Stated Otherwise)</w:t>
      </w:r>
    </w:p>
    <w:p>
      <w:pPr>
        <w:spacing w:after="0" w:line="198" w:lineRule="exact"/>
        <w:rPr>
          <w:sz w:val="20"/>
          <w:szCs w:val="20"/>
          <w:color w:val="auto"/>
        </w:rPr>
      </w:pPr>
    </w:p>
    <w:p>
      <w:pPr>
        <w:ind w:left="600" w:hanging="600"/>
        <w:spacing w:after="0"/>
        <w:tabs>
          <w:tab w:leader="none" w:pos="60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QUARTERLY FINANCIAL DATA (UNAUDITED)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90170</wp:posOffset>
                </wp:positionV>
                <wp:extent cx="689483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483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7.1pt" to="541.45pt,7.1pt" o:allowincell="f" strokecolor="#000000" strokeweight="0.75pt"/>
            </w:pict>
          </mc:Fallback>
        </mc:AlternateContent>
      </w:r>
    </w:p>
    <w:p>
      <w:pPr>
        <w:spacing w:after="0" w:line="341"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0"/>
          <w:szCs w:val="20"/>
          <w:color w:val="auto"/>
        </w:rPr>
        <w:t>The following table contains selected quarterly data for 2024 and 2023. The information should be read in conjunction with the Company’s financial statements and related notes included elsewhere in this Annual Report on Form 10-K.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20" w:type="dxa"/>
            <w:vAlign w:val="bottom"/>
          </w:tcPr>
          <w:p>
            <w:pPr>
              <w:spacing w:after="0"/>
              <w:rPr>
                <w:sz w:val="16"/>
                <w:szCs w:val="16"/>
                <w:color w:val="auto"/>
              </w:rPr>
            </w:pPr>
          </w:p>
        </w:tc>
        <w:tc>
          <w:tcPr>
            <w:tcW w:w="108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2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20" w:type="dxa"/>
            <w:vAlign w:val="bottom"/>
          </w:tcPr>
          <w:p>
            <w:pPr>
              <w:spacing w:after="0"/>
              <w:rPr>
                <w:sz w:val="16"/>
                <w:szCs w:val="16"/>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Full</w:t>
            </w:r>
          </w:p>
        </w:tc>
        <w:tc>
          <w:tcPr>
            <w:tcW w:w="10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40" w:type="dxa"/>
            <w:vAlign w:val="bottom"/>
          </w:tcPr>
          <w:p>
            <w:pPr>
              <w:spacing w:after="0"/>
              <w:rPr>
                <w:sz w:val="17"/>
                <w:szCs w:val="17"/>
                <w:color w:val="auto"/>
              </w:rPr>
            </w:pP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7"/>
                <w:szCs w:val="17"/>
                <w:color w:val="auto"/>
              </w:rPr>
            </w:pPr>
          </w:p>
        </w:tc>
      </w:tr>
      <w:tr>
        <w:trPr>
          <w:trHeight w:val="178"/>
        </w:trPr>
        <w:tc>
          <w:tcPr>
            <w:tcW w:w="4300" w:type="dxa"/>
            <w:vAlign w:val="bottom"/>
            <w:tcBorders>
              <w:bottom w:val="single" w:sz="8" w:color="E6E6E6"/>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r>
      <w:tr>
        <w:trPr>
          <w:trHeight w:val="18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8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8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Revenue, net of discounts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280,147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286,865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294,323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1,137,141</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70,671</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54,020</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42,624</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57,110</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224,425</w:t>
            </w:r>
          </w:p>
        </w:tc>
        <w:tc>
          <w:tcPr>
            <w:tcW w:w="100" w:type="dxa"/>
            <w:vAlign w:val="bottom"/>
            <w:shd w:val="clear" w:color="auto" w:fill="E6E6E6"/>
          </w:tcPr>
          <w:p>
            <w:pPr>
              <w:spacing w:after="0"/>
              <w:rPr>
                <w:sz w:val="17"/>
                <w:szCs w:val="17"/>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31,076</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73,083</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shd w:val="clear" w:color="auto" w:fill="E6E6E6"/>
          </w:tcPr>
          <w:p>
            <w:pPr>
              <w:spacing w:after="0"/>
              <w:rPr>
                <w:sz w:val="17"/>
                <w:szCs w:val="17"/>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236,759,731</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237,416,373</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236,303,348</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236,848,914</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236,827,774</w:t>
            </w:r>
          </w:p>
        </w:tc>
        <w:tc>
          <w:tcPr>
            <w:tcW w:w="100" w:type="dxa"/>
            <w:vAlign w:val="bottom"/>
            <w:shd w:val="clear" w:color="auto" w:fill="E6E6E6"/>
          </w:tcPr>
          <w:p>
            <w:pPr>
              <w:spacing w:after="0"/>
              <w:rPr>
                <w:sz w:val="17"/>
                <w:szCs w:val="17"/>
                <w:color w:val="auto"/>
              </w:rPr>
            </w:pP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240,561,864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240,137,922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238,295,887</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239,061,803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241,925,957</w:t>
            </w:r>
          </w:p>
        </w:tc>
        <w:tc>
          <w:tcPr>
            <w:tcW w:w="100" w:type="dxa"/>
            <w:vAlign w:val="bottom"/>
          </w:tcPr>
          <w:p>
            <w:pPr>
              <w:spacing w:after="0"/>
              <w:rPr>
                <w:sz w:val="18"/>
                <w:szCs w:val="18"/>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First</w:t>
            </w:r>
          </w:p>
        </w:tc>
        <w:tc>
          <w:tcPr>
            <w:tcW w:w="220" w:type="dxa"/>
            <w:vAlign w:val="bottom"/>
          </w:tcPr>
          <w:p>
            <w:pPr>
              <w:spacing w:after="0"/>
              <w:rPr>
                <w:sz w:val="16"/>
                <w:szCs w:val="16"/>
                <w:color w:val="auto"/>
              </w:rPr>
            </w:pPr>
          </w:p>
        </w:tc>
        <w:tc>
          <w:tcPr>
            <w:tcW w:w="1130" w:type="dxa"/>
            <w:vAlign w:val="bottom"/>
            <w:gridSpan w:val="2"/>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7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Third</w:t>
            </w:r>
          </w:p>
        </w:tc>
        <w:tc>
          <w:tcPr>
            <w:tcW w:w="240" w:type="dxa"/>
            <w:vAlign w:val="bottom"/>
          </w:tcPr>
          <w:p>
            <w:pPr>
              <w:spacing w:after="0"/>
              <w:rPr>
                <w:sz w:val="16"/>
                <w:szCs w:val="16"/>
                <w:color w:val="auto"/>
              </w:rPr>
            </w:pP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Fourth</w:t>
            </w:r>
          </w:p>
        </w:tc>
        <w:tc>
          <w:tcPr>
            <w:tcW w:w="220" w:type="dxa"/>
            <w:vAlign w:val="bottom"/>
          </w:tcPr>
          <w:p>
            <w:pPr>
              <w:spacing w:after="0"/>
              <w:rPr>
                <w:sz w:val="16"/>
                <w:szCs w:val="16"/>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Full</w:t>
            </w:r>
          </w:p>
        </w:tc>
        <w:tc>
          <w:tcPr>
            <w:tcW w:w="100" w:type="dxa"/>
            <w:vAlign w:val="bottom"/>
          </w:tcPr>
          <w:p>
            <w:pPr>
              <w:spacing w:after="0"/>
              <w:rPr>
                <w:sz w:val="16"/>
                <w:szCs w:val="16"/>
                <w:color w:val="auto"/>
              </w:rPr>
            </w:pPr>
          </w:p>
        </w:tc>
      </w:tr>
      <w:tr>
        <w:trPr>
          <w:trHeight w:val="203"/>
        </w:trPr>
        <w:tc>
          <w:tcPr>
            <w:tcW w:w="4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7"/>
                <w:szCs w:val="17"/>
                <w:color w:val="auto"/>
              </w:rPr>
            </w:pPr>
          </w:p>
        </w:tc>
        <w:tc>
          <w:tcPr>
            <w:tcW w:w="1130" w:type="dxa"/>
            <w:vAlign w:val="bottom"/>
            <w:gridSpan w:val="2"/>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7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240" w:type="dxa"/>
            <w:vAlign w:val="bottom"/>
          </w:tcPr>
          <w:p>
            <w:pPr>
              <w:spacing w:after="0"/>
              <w:rPr>
                <w:sz w:val="17"/>
                <w:szCs w:val="17"/>
                <w:color w:val="auto"/>
              </w:rPr>
            </w:pP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220" w:type="dxa"/>
            <w:vAlign w:val="bottom"/>
          </w:tcPr>
          <w:p>
            <w:pPr>
              <w:spacing w:after="0"/>
              <w:rPr>
                <w:sz w:val="17"/>
                <w:szCs w:val="17"/>
                <w:color w:val="auto"/>
              </w:rPr>
            </w:pPr>
          </w:p>
        </w:tc>
        <w:tc>
          <w:tcPr>
            <w:tcW w:w="1080" w:type="dxa"/>
            <w:vAlign w:val="bottom"/>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7"/>
                <w:szCs w:val="17"/>
                <w:color w:val="auto"/>
              </w:rPr>
            </w:pPr>
          </w:p>
        </w:tc>
      </w:tr>
      <w:tr>
        <w:trPr>
          <w:trHeight w:val="178"/>
        </w:trPr>
        <w:tc>
          <w:tcPr>
            <w:tcW w:w="4300" w:type="dxa"/>
            <w:vAlign w:val="bottom"/>
            <w:tcBorders>
              <w:bottom w:val="single" w:sz="8" w:color="E6E6E6"/>
            </w:tcBorders>
          </w:tcPr>
          <w:p>
            <w:pPr>
              <w:spacing w:after="0"/>
              <w:rPr>
                <w:sz w:val="15"/>
                <w:szCs w:val="15"/>
                <w:color w:val="auto"/>
              </w:rPr>
            </w:pPr>
          </w:p>
        </w:tc>
        <w:tc>
          <w:tcPr>
            <w:tcW w:w="160" w:type="dxa"/>
            <w:vAlign w:val="bottom"/>
            <w:tcBorders>
              <w:bottom w:val="single" w:sz="8" w:color="E6E6E6"/>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70" w:type="dxa"/>
            <w:vAlign w:val="bottom"/>
            <w:tcBorders>
              <w:bottom w:val="single" w:sz="8" w:color="auto"/>
            </w:tcBorders>
          </w:tcPr>
          <w:p>
            <w:pPr>
              <w:spacing w:after="0"/>
              <w:rPr>
                <w:sz w:val="15"/>
                <w:szCs w:val="15"/>
                <w:color w:val="auto"/>
              </w:rPr>
            </w:pPr>
          </w:p>
        </w:tc>
        <w:tc>
          <w:tcPr>
            <w:tcW w:w="170" w:type="dxa"/>
            <w:vAlign w:val="bottom"/>
            <w:tcBorders>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E6E6E6"/>
            </w:tcBorders>
          </w:tcPr>
          <w:p>
            <w:pPr>
              <w:spacing w:after="0"/>
              <w:rPr>
                <w:sz w:val="15"/>
                <w:szCs w:val="15"/>
                <w:color w:val="auto"/>
              </w:rPr>
            </w:pPr>
          </w:p>
        </w:tc>
      </w:tr>
      <w:tr>
        <w:trPr>
          <w:trHeight w:val="18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70" w:type="dxa"/>
            <w:vAlign w:val="bottom"/>
            <w:shd w:val="clear" w:color="auto" w:fill="E6E6E6"/>
          </w:tcPr>
          <w:p>
            <w:pPr>
              <w:spacing w:after="0"/>
              <w:rPr>
                <w:sz w:val="16"/>
                <w:szCs w:val="16"/>
                <w:color w:val="auto"/>
              </w:rPr>
            </w:pPr>
          </w:p>
        </w:tc>
        <w:tc>
          <w:tcPr>
            <w:tcW w:w="17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40" w:type="dxa"/>
            <w:vAlign w:val="bottom"/>
            <w:shd w:val="clear" w:color="auto" w:fill="E6E6E6"/>
          </w:tcPr>
          <w:p>
            <w:pPr>
              <w:spacing w:after="0"/>
              <w:rPr>
                <w:sz w:val="16"/>
                <w:szCs w:val="16"/>
                <w:color w:val="auto"/>
              </w:rPr>
            </w:pPr>
          </w:p>
        </w:tc>
        <w:tc>
          <w:tcPr>
            <w:tcW w:w="1060" w:type="dxa"/>
            <w:vAlign w:val="bottom"/>
            <w:shd w:val="clear" w:color="auto" w:fill="E6E6E6"/>
          </w:tcPr>
          <w:p>
            <w:pPr>
              <w:spacing w:after="0"/>
              <w:rPr>
                <w:sz w:val="16"/>
                <w:szCs w:val="16"/>
                <w:color w:val="auto"/>
              </w:rPr>
            </w:pPr>
          </w:p>
        </w:tc>
        <w:tc>
          <w:tcPr>
            <w:tcW w:w="220" w:type="dxa"/>
            <w:vAlign w:val="bottom"/>
            <w:shd w:val="clear" w:color="auto" w:fill="E6E6E6"/>
          </w:tcPr>
          <w:p>
            <w:pPr>
              <w:spacing w:after="0"/>
              <w:rPr>
                <w:sz w:val="16"/>
                <w:szCs w:val="16"/>
                <w:color w:val="auto"/>
              </w:rPr>
            </w:pPr>
          </w:p>
        </w:tc>
        <w:tc>
          <w:tcPr>
            <w:tcW w:w="1080" w:type="dxa"/>
            <w:vAlign w:val="bottom"/>
            <w:shd w:val="clear" w:color="auto" w:fill="E6E6E6"/>
          </w:tcPr>
          <w:p>
            <w:pPr>
              <w:spacing w:after="0"/>
              <w:rPr>
                <w:sz w:val="16"/>
                <w:szCs w:val="16"/>
                <w:color w:val="auto"/>
              </w:rPr>
            </w:pPr>
          </w:p>
        </w:tc>
        <w:tc>
          <w:tcPr>
            <w:tcW w:w="100" w:type="dxa"/>
            <w:vAlign w:val="bottom"/>
            <w:shd w:val="clear" w:color="auto" w:fill="E6E6E6"/>
          </w:tcPr>
          <w:p>
            <w:pPr>
              <w:spacing w:after="0"/>
              <w:rPr>
                <w:sz w:val="16"/>
                <w:szCs w:val="16"/>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Revenue, net of discounts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248,536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252,388</w:t>
            </w:r>
          </w:p>
        </w:tc>
        <w:tc>
          <w:tcPr>
            <w:tcW w:w="70" w:type="dxa"/>
            <w:vAlign w:val="bottom"/>
          </w:tcPr>
          <w:p>
            <w:pPr>
              <w:spacing w:after="0"/>
              <w:rPr>
                <w:sz w:val="17"/>
                <w:szCs w:val="17"/>
                <w:color w:val="auto"/>
              </w:rPr>
            </w:pPr>
          </w:p>
        </w:tc>
        <w:tc>
          <w:tcPr>
            <w:tcW w:w="17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275,398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1,054,553</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44,202</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41,063</w:t>
            </w:r>
          </w:p>
        </w:tc>
        <w:tc>
          <w:tcPr>
            <w:tcW w:w="70" w:type="dxa"/>
            <w:vAlign w:val="bottom"/>
            <w:shd w:val="clear" w:color="auto" w:fill="E6E6E6"/>
          </w:tcPr>
          <w:p>
            <w:pPr>
              <w:spacing w:after="0"/>
              <w:rPr>
                <w:sz w:val="17"/>
                <w:szCs w:val="17"/>
                <w:color w:val="auto"/>
              </w:rPr>
            </w:pPr>
          </w:p>
        </w:tc>
        <w:tc>
          <w:tcPr>
            <w:tcW w:w="17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49,027</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50,340</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184,632</w:t>
            </w:r>
          </w:p>
        </w:tc>
        <w:tc>
          <w:tcPr>
            <w:tcW w:w="100" w:type="dxa"/>
            <w:vAlign w:val="bottom"/>
            <w:shd w:val="clear" w:color="auto" w:fill="E6E6E6"/>
          </w:tcPr>
          <w:p>
            <w:pPr>
              <w:spacing w:after="0"/>
              <w:rPr>
                <w:sz w:val="17"/>
                <w:szCs w:val="17"/>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Green Thumb Industries, Inc.</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7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Net income per share - basic</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70" w:type="dxa"/>
            <w:vAlign w:val="bottom"/>
            <w:shd w:val="clear" w:color="auto" w:fill="E6E6E6"/>
          </w:tcPr>
          <w:p>
            <w:pPr>
              <w:spacing w:after="0"/>
              <w:rPr>
                <w:sz w:val="17"/>
                <w:szCs w:val="17"/>
                <w:color w:val="auto"/>
              </w:rPr>
            </w:pPr>
          </w:p>
        </w:tc>
        <w:tc>
          <w:tcPr>
            <w:tcW w:w="17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E6E6E6"/>
          </w:tcPr>
          <w:p>
            <w:pPr>
              <w:spacing w:after="0"/>
              <w:rPr>
                <w:sz w:val="17"/>
                <w:szCs w:val="17"/>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Net income per share - diluted</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7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7"/>
                <w:szCs w:val="17"/>
                <w:color w:val="auto"/>
              </w:rPr>
            </w:pPr>
          </w:p>
        </w:tc>
      </w:tr>
      <w:tr>
        <w:trPr>
          <w:trHeight w:val="198"/>
        </w:trPr>
        <w:tc>
          <w:tcPr>
            <w:tcW w:w="4300" w:type="dxa"/>
            <w:vAlign w:val="bottom"/>
            <w:shd w:val="clear" w:color="auto" w:fill="E6E6E6"/>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6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237,398,253</w:t>
            </w:r>
          </w:p>
        </w:tc>
        <w:tc>
          <w:tcPr>
            <w:tcW w:w="22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238,000,135</w:t>
            </w:r>
          </w:p>
        </w:tc>
        <w:tc>
          <w:tcPr>
            <w:tcW w:w="70" w:type="dxa"/>
            <w:vAlign w:val="bottom"/>
            <w:shd w:val="clear" w:color="auto" w:fill="E6E6E6"/>
          </w:tcPr>
          <w:p>
            <w:pPr>
              <w:spacing w:after="0"/>
              <w:rPr>
                <w:sz w:val="17"/>
                <w:szCs w:val="17"/>
                <w:color w:val="auto"/>
              </w:rPr>
            </w:pPr>
          </w:p>
        </w:tc>
        <w:tc>
          <w:tcPr>
            <w:tcW w:w="17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239,459,783</w:t>
            </w:r>
          </w:p>
        </w:tc>
        <w:tc>
          <w:tcPr>
            <w:tcW w:w="240" w:type="dxa"/>
            <w:vAlign w:val="bottom"/>
            <w:shd w:val="clear" w:color="auto" w:fill="E6E6E6"/>
          </w:tcPr>
          <w:p>
            <w:pPr>
              <w:spacing w:after="0"/>
              <w:rPr>
                <w:sz w:val="17"/>
                <w:szCs w:val="17"/>
                <w:color w:val="auto"/>
              </w:rPr>
            </w:pPr>
          </w:p>
        </w:tc>
        <w:tc>
          <w:tcPr>
            <w:tcW w:w="106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236,934,348</w:t>
            </w:r>
          </w:p>
        </w:tc>
        <w:tc>
          <w:tcPr>
            <w:tcW w:w="220" w:type="dxa"/>
            <w:vAlign w:val="bottom"/>
            <w:shd w:val="clear" w:color="auto" w:fill="E6E6E6"/>
          </w:tcPr>
          <w:p>
            <w:pPr>
              <w:spacing w:after="0"/>
              <w:rPr>
                <w:sz w:val="17"/>
                <w:szCs w:val="17"/>
                <w:color w:val="auto"/>
              </w:rPr>
            </w:pPr>
          </w:p>
        </w:tc>
        <w:tc>
          <w:tcPr>
            <w:tcW w:w="1080" w:type="dxa"/>
            <w:vAlign w:val="bottom"/>
            <w:shd w:val="clear" w:color="auto" w:fill="E6E6E6"/>
          </w:tcPr>
          <w:p>
            <w:pPr>
              <w:jc w:val="right"/>
              <w:spacing w:after="0"/>
              <w:rPr>
                <w:sz w:val="20"/>
                <w:szCs w:val="20"/>
                <w:color w:val="auto"/>
              </w:rPr>
            </w:pPr>
            <w:r>
              <w:rPr>
                <w:rFonts w:ascii="Times New Roman" w:cs="Times New Roman" w:eastAsia="Times New Roman" w:hAnsi="Times New Roman"/>
                <w:sz w:val="16"/>
                <w:szCs w:val="16"/>
                <w:color w:val="auto"/>
              </w:rPr>
              <w:t>237,927,867</w:t>
            </w:r>
          </w:p>
        </w:tc>
        <w:tc>
          <w:tcPr>
            <w:tcW w:w="100" w:type="dxa"/>
            <w:vAlign w:val="bottom"/>
            <w:shd w:val="clear" w:color="auto" w:fill="E6E6E6"/>
          </w:tcPr>
          <w:p>
            <w:pPr>
              <w:spacing w:after="0"/>
              <w:rPr>
                <w:sz w:val="17"/>
                <w:szCs w:val="17"/>
                <w:color w:val="auto"/>
              </w:rPr>
            </w:pPr>
          </w:p>
        </w:tc>
      </w:tr>
      <w:tr>
        <w:trPr>
          <w:trHeight w:val="213"/>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237,686,092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238,423,288</w:t>
            </w:r>
          </w:p>
        </w:tc>
        <w:tc>
          <w:tcPr>
            <w:tcW w:w="7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240,289,959</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239,162,831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239,827,390</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800"/>
          </w:cols>
          <w:pgMar w:left="720" w:top="69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10800"/>
          </w:cols>
          <w:pgMar w:left="720" w:top="696" w:right="720" w:bottom="186" w:gutter="0" w:footer="0" w:header="0"/>
          <w:type w:val="continuous"/>
        </w:sectPr>
      </w:pPr>
    </w:p>
    <w:bookmarkStart w:id="123" w:name="page124"/>
    <w:bookmarkEnd w:id="123"/>
    <w:p>
      <w:pPr>
        <w:ind w:left="29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the board of directors of Green Thumb Industries Inc.:</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Opinions on the Consolidated Financial Statements and Internal Control over Financial Reporting</w:t>
      </w:r>
    </w:p>
    <w:p>
      <w:pPr>
        <w:spacing w:after="0" w:line="26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Green Thumb Industries Inc. (the “Company”) as of December 31, 2024 and 2023, the related consolidated statements of operations, changes in shareholders' equity, and cash flows, for each of the three years in the period ended December 31, 2024, and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COSO.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Opinions</w:t>
      </w:r>
    </w:p>
    <w:p>
      <w:pPr>
        <w:spacing w:after="0" w:line="2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4" w:lineRule="exact"/>
        <w:rPr>
          <w:sz w:val="20"/>
          <w:szCs w:val="20"/>
          <w:color w:val="auto"/>
        </w:rPr>
      </w:pPr>
    </w:p>
    <w:p>
      <w:pPr>
        <w:ind w:right="60" w:firstLine="50"/>
        <w:spacing w:after="0" w:line="261"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800"/>
          </w:cols>
          <w:pgMar w:left="720" w:top="926"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F-45</w:t>
      </w:r>
    </w:p>
    <w:p>
      <w:pPr>
        <w:sectPr>
          <w:pgSz w:w="12240" w:h="15840" w:orient="portrait"/>
          <w:cols w:equalWidth="0" w:num="1">
            <w:col w:w="10800"/>
          </w:cols>
          <w:pgMar w:left="720" w:top="926" w:right="720" w:bottom="186" w:gutter="0" w:footer="0" w:header="0"/>
          <w:type w:val="continuous"/>
        </w:sectPr>
      </w:pPr>
    </w:p>
    <w:bookmarkStart w:id="124" w:name="page125"/>
    <w:bookmarkEnd w:id="124"/>
    <w:p>
      <w:pPr>
        <w:jc w:val="both"/>
        <w:ind w:right="60"/>
        <w:spacing w:after="0" w:line="275"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uncertain tax positions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2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As described in Note 11 to the consolidated financial statements as of December 31, 2024, the Company has recorded liabilities for uncertain tax positions. Uncertainty in a tax position may arise because tax laws are subject to interpretation. The Company uses significant judgment in the interpretation and application of complex federal and state tax laws to (1) determine whether, based on the technical merits, a tax position is more likely than not to be sustained and (2) measure the amount of tax benefit that qualifies for recognition.</w:t>
      </w:r>
    </w:p>
    <w:p>
      <w:pPr>
        <w:spacing w:after="0" w:line="20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color w:val="auto"/>
        </w:rPr>
        <w:t>Auditing management’s evaluation of whether an uncertain tax position is more likely than not to be sustained and the measurement of the benefit of various tax positions can be complex, require significant auditor judgment due to the complexity, high level of subjectivity, and reliance on interpretations of tax laws and legal rulings.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primary procedures we performed to address this critical audit matter included:</w:t>
      </w:r>
    </w:p>
    <w:p>
      <w:pPr>
        <w:spacing w:after="0" w:line="151" w:lineRule="exact"/>
        <w:rPr>
          <w:sz w:val="20"/>
          <w:szCs w:val="20"/>
          <w:color w:val="auto"/>
        </w:rPr>
      </w:pPr>
    </w:p>
    <w:p>
      <w:pPr>
        <w:ind w:left="700" w:hanging="499"/>
        <w:spacing w:after="0"/>
        <w:tabs>
          <w:tab w:leader="none" w:pos="70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We tested internal controls relating to the evaluation of the uncertain tax positions, including:</w:t>
      </w:r>
    </w:p>
    <w:p>
      <w:pPr>
        <w:spacing w:after="0" w:line="133"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Management’s evaluation of the measurement of uncertain tax positions that are more likely than not to be sustained.</w:t>
      </w:r>
    </w:p>
    <w:p>
      <w:pPr>
        <w:spacing w:after="0" w:line="134" w:lineRule="exact"/>
        <w:rPr>
          <w:rFonts w:ascii="Arial" w:cs="Arial" w:eastAsia="Arial" w:hAnsi="Arial"/>
          <w:sz w:val="20"/>
          <w:szCs w:val="20"/>
          <w:color w:val="auto"/>
        </w:rPr>
      </w:pPr>
    </w:p>
    <w:p>
      <w:pPr>
        <w:ind w:left="1120" w:right="620"/>
        <w:spacing w:after="0" w:line="277" w:lineRule="auto"/>
        <w:rPr>
          <w:rFonts w:ascii="Arial" w:cs="Arial" w:eastAsia="Arial" w:hAnsi="Arial"/>
          <w:sz w:val="20"/>
          <w:szCs w:val="20"/>
          <w:color w:val="auto"/>
        </w:rPr>
      </w:pPr>
      <w:r>
        <w:rPr>
          <w:rFonts w:ascii="Times New Roman" w:cs="Times New Roman" w:eastAsia="Times New Roman" w:hAnsi="Times New Roman"/>
          <w:sz w:val="20"/>
          <w:szCs w:val="20"/>
          <w:color w:val="auto"/>
        </w:rPr>
        <w:t>Management’s evaluation of the completeness and accuracy of key assumptions and inputs used to determine the measurement of uncertain tax position liabilities that are more likely than not to be sustained.</w:t>
      </w:r>
    </w:p>
    <w:p>
      <w:pPr>
        <w:spacing w:after="0" w:line="63" w:lineRule="exact"/>
        <w:rPr>
          <w:rFonts w:ascii="Arial" w:cs="Arial" w:eastAsia="Arial" w:hAnsi="Arial"/>
          <w:sz w:val="20"/>
          <w:szCs w:val="20"/>
          <w:color w:val="auto"/>
        </w:rPr>
      </w:pPr>
    </w:p>
    <w:p>
      <w:pPr>
        <w:jc w:val="both"/>
        <w:ind w:left="700" w:right="620" w:hanging="499"/>
        <w:spacing w:after="0" w:line="304" w:lineRule="auto"/>
        <w:tabs>
          <w:tab w:leader="none" w:pos="700" w:val="left"/>
        </w:tabs>
        <w:numPr>
          <w:ilvl w:val="0"/>
          <w:numId w:val="121"/>
        </w:numPr>
        <w:rPr>
          <w:rFonts w:ascii="Arial" w:cs="Arial" w:eastAsia="Arial" w:hAnsi="Arial"/>
          <w:sz w:val="19"/>
          <w:szCs w:val="19"/>
          <w:color w:val="auto"/>
        </w:rPr>
      </w:pPr>
      <w:r>
        <w:rPr>
          <w:rFonts w:ascii="Times New Roman" w:cs="Times New Roman" w:eastAsia="Times New Roman" w:hAnsi="Times New Roman"/>
          <w:sz w:val="19"/>
          <w:szCs w:val="19"/>
          <w:color w:val="auto"/>
        </w:rPr>
        <w:t>Substantively tested, with the assistance of firm personnel with tax expertise, the appropriateness of the judgments and assumptions used in management’s estimation process for determining the uncertain tax position liabilities, including:</w:t>
      </w:r>
    </w:p>
    <w:p>
      <w:pPr>
        <w:spacing w:after="0" w:line="39" w:lineRule="exact"/>
        <w:rPr>
          <w:rFonts w:ascii="Arial" w:cs="Arial" w:eastAsia="Arial" w:hAnsi="Arial"/>
          <w:sz w:val="19"/>
          <w:szCs w:val="19"/>
          <w:color w:val="auto"/>
        </w:rPr>
      </w:pPr>
    </w:p>
    <w:p>
      <w:pPr>
        <w:ind w:left="1120" w:right="140"/>
        <w:spacing w:after="0" w:line="277" w:lineRule="auto"/>
        <w:rPr>
          <w:rFonts w:ascii="Arial" w:cs="Arial" w:eastAsia="Arial" w:hAnsi="Arial"/>
          <w:sz w:val="19"/>
          <w:szCs w:val="19"/>
          <w:color w:val="auto"/>
        </w:rPr>
      </w:pPr>
      <w:r>
        <w:rPr>
          <w:rFonts w:ascii="Times New Roman" w:cs="Times New Roman" w:eastAsia="Times New Roman" w:hAnsi="Times New Roman"/>
          <w:sz w:val="20"/>
          <w:szCs w:val="20"/>
          <w:color w:val="auto"/>
        </w:rPr>
        <w:t>Evaluated the appropriateness and consistency of management’s assumptions used in the measurement of the uncertain tax position liabilities.</w:t>
      </w:r>
    </w:p>
    <w:p>
      <w:pPr>
        <w:spacing w:after="0" w:line="63" w:lineRule="exact"/>
        <w:rPr>
          <w:rFonts w:ascii="Arial" w:cs="Arial" w:eastAsia="Arial" w:hAnsi="Arial"/>
          <w:sz w:val="19"/>
          <w:szCs w:val="19"/>
          <w:color w:val="auto"/>
        </w:rPr>
      </w:pPr>
    </w:p>
    <w:p>
      <w:pPr>
        <w:ind w:left="1120" w:right="180"/>
        <w:spacing w:after="0" w:line="258" w:lineRule="auto"/>
        <w:rPr>
          <w:rFonts w:ascii="Arial" w:cs="Arial" w:eastAsia="Arial" w:hAnsi="Arial"/>
          <w:sz w:val="19"/>
          <w:szCs w:val="19"/>
          <w:color w:val="auto"/>
        </w:rPr>
      </w:pPr>
      <w:r>
        <w:rPr>
          <w:rFonts w:ascii="Times New Roman" w:cs="Times New Roman" w:eastAsia="Times New Roman" w:hAnsi="Times New Roman"/>
          <w:sz w:val="20"/>
          <w:szCs w:val="20"/>
          <w:color w:val="auto"/>
        </w:rPr>
        <w:t>Read and evaluated management’s documentation supporting the measurement of uncertain tax positions, including relevant information obtained by management that detailed the technical merits of the uncertain tax position liabilities, as well as the basis for the measurement of the uncertain tax position liabilities, including communications with:</w:t>
      </w:r>
    </w:p>
    <w:p>
      <w:pPr>
        <w:spacing w:after="0" w:line="68" w:lineRule="exact"/>
        <w:rPr>
          <w:rFonts w:ascii="Arial" w:cs="Arial" w:eastAsia="Arial" w:hAnsi="Arial"/>
          <w:sz w:val="19"/>
          <w:szCs w:val="19"/>
          <w:color w:val="auto"/>
        </w:rPr>
      </w:pPr>
    </w:p>
    <w:p>
      <w:pPr>
        <w:ind w:left="1960" w:hanging="492"/>
        <w:spacing w:after="0"/>
        <w:tabs>
          <w:tab w:leader="none" w:pos="1960" w:val="left"/>
        </w:tabs>
        <w:numPr>
          <w:ilvl w:val="3"/>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outside tax specialists;</w:t>
      </w:r>
    </w:p>
    <w:p>
      <w:pPr>
        <w:spacing w:after="0" w:line="119" w:lineRule="exact"/>
        <w:rPr>
          <w:rFonts w:ascii="Arial" w:cs="Arial" w:eastAsia="Arial" w:hAnsi="Arial"/>
          <w:sz w:val="20"/>
          <w:szCs w:val="20"/>
          <w:color w:val="auto"/>
        </w:rPr>
      </w:pPr>
    </w:p>
    <w:p>
      <w:pPr>
        <w:ind w:left="1960" w:hanging="492"/>
        <w:spacing w:after="0"/>
        <w:tabs>
          <w:tab w:leader="none" w:pos="1960" w:val="left"/>
        </w:tabs>
        <w:numPr>
          <w:ilvl w:val="3"/>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legal counsel; and</w:t>
      </w:r>
    </w:p>
    <w:p>
      <w:pPr>
        <w:spacing w:after="0" w:line="119" w:lineRule="exact"/>
        <w:rPr>
          <w:rFonts w:ascii="Arial" w:cs="Arial" w:eastAsia="Arial" w:hAnsi="Arial"/>
          <w:sz w:val="20"/>
          <w:szCs w:val="20"/>
          <w:color w:val="auto"/>
        </w:rPr>
      </w:pPr>
    </w:p>
    <w:p>
      <w:pPr>
        <w:ind w:left="1960" w:hanging="492"/>
        <w:spacing w:after="0"/>
        <w:tabs>
          <w:tab w:leader="none" w:pos="1960" w:val="left"/>
        </w:tabs>
        <w:numPr>
          <w:ilvl w:val="3"/>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tax authorities.</w:t>
      </w:r>
    </w:p>
    <w:p>
      <w:pPr>
        <w:spacing w:after="0" w:line="133" w:lineRule="exact"/>
        <w:rPr>
          <w:rFonts w:ascii="Arial" w:cs="Arial" w:eastAsia="Arial" w:hAnsi="Arial"/>
          <w:sz w:val="20"/>
          <w:szCs w:val="20"/>
          <w:color w:val="auto"/>
        </w:rPr>
      </w:pPr>
    </w:p>
    <w:p>
      <w:pPr>
        <w:ind w:left="980" w:right="100"/>
        <w:spacing w:after="0" w:line="305" w:lineRule="auto"/>
        <w:rPr>
          <w:rFonts w:ascii="Arial" w:cs="Arial" w:eastAsia="Arial" w:hAnsi="Arial"/>
          <w:sz w:val="20"/>
          <w:szCs w:val="20"/>
          <w:color w:val="auto"/>
        </w:rPr>
      </w:pPr>
      <w:r>
        <w:rPr>
          <w:rFonts w:ascii="Times New Roman" w:cs="Times New Roman" w:eastAsia="Times New Roman" w:hAnsi="Times New Roman"/>
          <w:sz w:val="19"/>
          <w:szCs w:val="19"/>
          <w:color w:val="auto"/>
        </w:rPr>
        <w:t>Evaluated whether management had appropriately considered new information that could change the recognition or measurement of the uncertain tax position liabilities for those uncertain tax positions that had not been effectively settled.</w:t>
      </w:r>
    </w:p>
    <w:p>
      <w:pPr>
        <w:spacing w:after="0" w:line="24" w:lineRule="exact"/>
        <w:rPr>
          <w:rFonts w:ascii="Arial" w:cs="Arial" w:eastAsia="Arial" w:hAnsi="Arial"/>
          <w:sz w:val="20"/>
          <w:szCs w:val="20"/>
          <w:color w:val="auto"/>
        </w:rPr>
      </w:pPr>
    </w:p>
    <w:p>
      <w:pPr>
        <w:ind w:left="980" w:right="260"/>
        <w:spacing w:after="0" w:line="277" w:lineRule="auto"/>
        <w:rPr>
          <w:rFonts w:ascii="Arial" w:cs="Arial" w:eastAsia="Arial" w:hAnsi="Arial"/>
          <w:sz w:val="20"/>
          <w:szCs w:val="20"/>
          <w:color w:val="auto"/>
        </w:rPr>
      </w:pPr>
      <w:r>
        <w:rPr>
          <w:rFonts w:ascii="Times New Roman" w:cs="Times New Roman" w:eastAsia="Times New Roman" w:hAnsi="Times New Roman"/>
          <w:sz w:val="20"/>
          <w:szCs w:val="20"/>
          <w:color w:val="auto"/>
        </w:rPr>
        <w:t>Evaluated the accuracy of management’s estimates by considering how tax law, including statutes, regulations and case law, impacted management’s judgments.</w:t>
      </w:r>
    </w:p>
    <w:p>
      <w:pPr>
        <w:sectPr>
          <w:pgSz w:w="12240" w:h="15840" w:orient="portrait"/>
          <w:cols w:equalWidth="0" w:num="1">
            <w:col w:w="10800"/>
          </w:cols>
          <w:pgMar w:left="720" w:top="930" w:right="72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F-46</w:t>
      </w:r>
    </w:p>
    <w:p>
      <w:pPr>
        <w:sectPr>
          <w:pgSz w:w="12240" w:h="15840" w:orient="portrait"/>
          <w:cols w:equalWidth="0" w:num="1">
            <w:col w:w="10800"/>
          </w:cols>
          <w:pgMar w:left="720" w:top="930" w:right="720" w:bottom="186"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ectPr>
          <w:pgSz w:w="12240" w:h="15840" w:orient="portrait"/>
          <w:cols w:equalWidth="0" w:num="1">
            <w:col w:w="10080"/>
          </w:cols>
          <w:pgMar w:left="720" w:top="117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F-47</w:t>
      </w:r>
    </w:p>
    <w:p>
      <w:pPr>
        <w:sectPr>
          <w:pgSz w:w="12240" w:h="15840" w:orient="portrait"/>
          <w:cols w:equalWidth="0" w:num="1">
            <w:col w:w="10080"/>
          </w:cols>
          <w:pgMar w:left="720" w:top="1176" w:right="1440" w:bottom="186" w:gutter="0" w:footer="0" w:header="0"/>
          <w:type w:val="continuous"/>
        </w:sectPr>
      </w:pPr>
    </w:p>
    <w:bookmarkStart w:id="126" w:name="page127"/>
    <w:bookmarkEnd w:id="126"/>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27" w:name="page128"/>
    <w:bookmarkEnd w:id="127"/>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28" w:name="page129"/>
    <w:bookmarkEnd w:id="128"/>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003F1A"/>
        </w:rPr>
        <w:t>BOARD OF DIRECTORS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Ben Kovler</w:t>
      </w:r>
    </w:p>
    <w:p>
      <w:pPr>
        <w:spacing w:after="0" w:line="53" w:lineRule="exact"/>
        <w:rPr>
          <w:sz w:val="20"/>
          <w:szCs w:val="20"/>
          <w:color w:val="auto"/>
        </w:rPr>
      </w:pPr>
    </w:p>
    <w:p>
      <w:pPr>
        <w:ind w:right="460"/>
        <w:spacing w:after="0" w:line="312" w:lineRule="auto"/>
        <w:rPr>
          <w:sz w:val="20"/>
          <w:szCs w:val="20"/>
          <w:color w:val="auto"/>
        </w:rPr>
      </w:pPr>
      <w:r>
        <w:rPr>
          <w:rFonts w:ascii="Arial" w:cs="Arial" w:eastAsia="Arial" w:hAnsi="Arial"/>
          <w:sz w:val="14"/>
          <w:szCs w:val="14"/>
          <w:color w:val="auto"/>
        </w:rPr>
        <w:t>Chairman | Chief Executive Officer &amp; Founder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Anthony Georgiadis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 | President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Dawn Wilson Barnes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Aurora Bay Capital | President &amp; Founder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Jeff Goldman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Reed-Union Corporation | Former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Ethan Nadelmann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Drug Policy Alliance | Founder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Richard Reisin</w:t>
      </w:r>
    </w:p>
    <w:p>
      <w:pPr>
        <w:spacing w:after="0" w:line="53" w:lineRule="exact"/>
        <w:rPr>
          <w:sz w:val="20"/>
          <w:szCs w:val="20"/>
          <w:color w:val="auto"/>
        </w:rPr>
      </w:pPr>
    </w:p>
    <w:p>
      <w:pPr>
        <w:ind w:right="620"/>
        <w:spacing w:after="0" w:line="313" w:lineRule="auto"/>
        <w:rPr>
          <w:sz w:val="20"/>
          <w:szCs w:val="20"/>
          <w:color w:val="auto"/>
        </w:rPr>
      </w:pPr>
      <w:r>
        <w:rPr>
          <w:rFonts w:ascii="Arial" w:cs="Arial" w:eastAsia="Arial" w:hAnsi="Arial"/>
          <w:sz w:val="14"/>
          <w:szCs w:val="14"/>
          <w:color w:val="auto"/>
        </w:rPr>
        <w:t>Director | Former Executive Vice President and Director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Hannah Ross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Edie Parker | Chief Operating Officer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003F1A"/>
        </w:rPr>
        <w:t>EXECUTIVE TEAM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Ben Kovler</w:t>
      </w:r>
    </w:p>
    <w:p>
      <w:pPr>
        <w:spacing w:after="0" w:line="53" w:lineRule="exact"/>
        <w:rPr>
          <w:sz w:val="20"/>
          <w:szCs w:val="20"/>
          <w:color w:val="auto"/>
        </w:rPr>
      </w:pPr>
    </w:p>
    <w:p>
      <w:pPr>
        <w:ind w:right="460"/>
        <w:spacing w:after="0" w:line="313" w:lineRule="auto"/>
        <w:rPr>
          <w:sz w:val="20"/>
          <w:szCs w:val="20"/>
          <w:color w:val="auto"/>
        </w:rPr>
      </w:pPr>
      <w:r>
        <w:rPr>
          <w:rFonts w:ascii="Arial" w:cs="Arial" w:eastAsia="Arial" w:hAnsi="Arial"/>
          <w:sz w:val="14"/>
          <w:szCs w:val="14"/>
          <w:color w:val="auto"/>
        </w:rPr>
        <w:t>Chairman | Chief Executive Officer &amp; Founder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Anthony Georgiadis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Director | President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Matt Faulkner</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6690C5"/>
        </w:rPr>
        <w:t>Bret Kravitz</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General Counsel &amp; Secretary</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003F1A"/>
        </w:rPr>
        <w:t>CONTACT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GTIGrows.com</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investorrelations@gtigrows.com</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003F1A"/>
        </w:rPr>
        <w:t>CONNECT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@GTIGrows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@GreenThumbIndustries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4"/>
          <w:szCs w:val="14"/>
          <w:b w:val="1"/>
          <w:bCs w:val="1"/>
          <w:color w:val="003F1A"/>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-2640965</wp:posOffset>
            </wp:positionH>
            <wp:positionV relativeFrom="paragraph">
              <wp:posOffset>-529590</wp:posOffset>
            </wp:positionV>
            <wp:extent cx="7315200" cy="9829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3">
                      <a:extLst>
                        <a:ext uri="{28A0092B-C50C-407E-A947-70E740481C1C}"/>
                      </a:extLst>
                    </a:blip>
                    <a:srcRect/>
                    <a:stretch>
                      <a:fillRect/>
                    </a:stretch>
                  </pic:blipFill>
                  <pic:spPr bwMode="auto">
                    <a:xfrm>
                      <a:off x="0" y="0"/>
                      <a:ext cx="7315200" cy="9829800"/>
                    </a:xfrm>
                    <a:prstGeom prst="rect">
                      <a:avLst/>
                    </a:prstGeom>
                    <a:noFill/>
                  </pic:spPr>
                </pic:pic>
              </a:graphicData>
            </a:graphic>
          </wp:anchor>
        </w:drawing>
      </w:r>
    </w:p>
    <w:p>
      <w:pPr>
        <w:spacing w:after="0" w:line="130" w:lineRule="exact"/>
        <w:rPr>
          <w:sz w:val="20"/>
          <w:szCs w:val="20"/>
          <w:color w:val="auto"/>
        </w:rPr>
      </w:pPr>
    </w:p>
    <w:p>
      <w:pPr>
        <w:ind w:left="20" w:right="60"/>
        <w:spacing w:after="0" w:line="387" w:lineRule="auto"/>
        <w:rPr>
          <w:sz w:val="20"/>
          <w:szCs w:val="20"/>
          <w:color w:val="auto"/>
        </w:rPr>
      </w:pPr>
      <w:r>
        <w:rPr>
          <w:rFonts w:ascii="Arial" w:cs="Arial" w:eastAsia="Arial" w:hAnsi="Arial"/>
          <w:sz w:val="12"/>
          <w:szCs w:val="12"/>
          <w:color w:val="auto"/>
        </w:rPr>
        <w:t>The Annual General Meeting of Shareholders will be held on Wednesday, June 11, 2025 at 10:00 AM CT www.virtualshareholdermeeting.com/GTBIF2025</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3F1A"/>
        </w:rPr>
        <w:t>INVESTOR INFORMATION</w:t>
      </w:r>
    </w:p>
    <w:p>
      <w:pPr>
        <w:spacing w:after="0" w:line="179" w:lineRule="exact"/>
        <w:rPr>
          <w:sz w:val="20"/>
          <w:szCs w:val="20"/>
          <w:color w:val="auto"/>
        </w:rPr>
      </w:pPr>
    </w:p>
    <w:p>
      <w:pPr>
        <w:ind w:left="20" w:right="40"/>
        <w:spacing w:after="0" w:line="405" w:lineRule="auto"/>
        <w:rPr>
          <w:sz w:val="20"/>
          <w:szCs w:val="20"/>
          <w:color w:val="auto"/>
        </w:rPr>
      </w:pPr>
      <w:r>
        <w:rPr>
          <w:rFonts w:ascii="Arial" w:cs="Arial" w:eastAsia="Arial" w:hAnsi="Arial"/>
          <w:sz w:val="12"/>
          <w:szCs w:val="12"/>
          <w:color w:val="auto"/>
        </w:rPr>
        <w:t>Investors should review financial information and other disclosures about Green Thumb Industries contained in its 2024 Annual Report on Form 10-K, Quarterly Reports on Form 10-Q, current reports on Form 8-K, and other U.S. Securities Exchange Commission ("SEC") and Canadian System for Electronic Data Analysis and Retrieval+ ("SEDAR+") filings, as well as press releases, all of which can be found on the com-pany website or one of the following sites: sec.gov | sedarplus.ca</w:t>
      </w:r>
    </w:p>
    <w:p>
      <w:pPr>
        <w:spacing w:after="0" w:line="375" w:lineRule="exact"/>
        <w:rPr>
          <w:sz w:val="20"/>
          <w:szCs w:val="20"/>
          <w:color w:val="auto"/>
        </w:rPr>
      </w:pPr>
    </w:p>
    <w:p>
      <w:pPr>
        <w:jc w:val="both"/>
        <w:ind w:left="20" w:right="600"/>
        <w:spacing w:after="0" w:line="382" w:lineRule="auto"/>
        <w:rPr>
          <w:sz w:val="20"/>
          <w:szCs w:val="20"/>
          <w:color w:val="auto"/>
        </w:rPr>
      </w:pPr>
      <w:r>
        <w:rPr>
          <w:rFonts w:ascii="Arial" w:cs="Arial" w:eastAsia="Arial" w:hAnsi="Arial"/>
          <w:sz w:val="12"/>
          <w:szCs w:val="12"/>
          <w:color w:val="auto"/>
        </w:rPr>
        <w:t>Investor inquiries should be directed to: Email | InvestorRelations@gtigrows.com Phone | 310-622-8257</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003F1A"/>
        </w:rPr>
        <w:t>INDEPENDENT AUDITORS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Baker Tilly US, LLP</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3F1A"/>
        </w:rPr>
        <w:t>TRANSFER AGENT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2"/>
          <w:szCs w:val="12"/>
          <w:color w:val="auto"/>
        </w:rPr>
        <w:t>Odyssey Trust Co.</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United Kingdom Building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323-4096 Granville Street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Vancouver BC V6C 1T2</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2"/>
          <w:szCs w:val="12"/>
          <w:color w:val="auto"/>
        </w:rPr>
        <w:t>Phone | 587-885-0960</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003F1A"/>
        </w:rPr>
        <w:t>STOCK INFORMATION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Canadian Securities Exchange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(CSE): GTII</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U.S. OTCQX Best Market: GTBIF</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color w:val="003F1A"/>
        </w:rPr>
        <w:t>CONTACT INFORMATION</w:t>
      </w:r>
    </w:p>
    <w:p>
      <w:pPr>
        <w:spacing w:after="0" w:line="16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Green Thumb Industries Inc.</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325 W. Huron Street | Suite 700</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Chicago, IL 60654</w:t>
      </w:r>
    </w:p>
    <w:p>
      <w:pPr>
        <w:spacing w:after="0" w:line="200" w:lineRule="exact"/>
        <w:rPr>
          <w:sz w:val="20"/>
          <w:szCs w:val="20"/>
          <w:color w:val="auto"/>
        </w:rPr>
      </w:pPr>
    </w:p>
    <w:p>
      <w:pPr>
        <w:spacing w:after="0" w:line="211" w:lineRule="exact"/>
        <w:rPr>
          <w:sz w:val="20"/>
          <w:szCs w:val="20"/>
          <w:color w:val="auto"/>
        </w:rPr>
      </w:pPr>
    </w:p>
    <w:p>
      <w:pPr>
        <w:spacing w:after="0" w:line="180" w:lineRule="exact"/>
        <w:rPr>
          <w:sz w:val="20"/>
          <w:szCs w:val="20"/>
          <w:color w:val="auto"/>
        </w:rPr>
      </w:pPr>
      <w:r>
        <w:rPr>
          <w:rFonts w:ascii="PMingLiU" w:cs="PMingLiU" w:eastAsia="PMingLiU" w:hAnsi="PMingLiU"/>
          <w:sz w:val="15"/>
          <w:szCs w:val="15"/>
          <w:b w:val="1"/>
          <w:bCs w:val="1"/>
          <w:color w:val="003F1A"/>
        </w:rPr>
        <w:t>  </w:t>
      </w:r>
    </w:p>
    <w:p>
      <w:pPr>
        <w:spacing w:after="0" w:line="172" w:lineRule="exact"/>
        <w:rPr>
          <w:sz w:val="20"/>
          <w:szCs w:val="20"/>
          <w:color w:val="auto"/>
        </w:rPr>
      </w:pPr>
    </w:p>
    <w:p>
      <w:pPr>
        <w:ind w:left="20"/>
        <w:spacing w:after="0" w:line="406" w:lineRule="auto"/>
        <w:rPr>
          <w:sz w:val="20"/>
          <w:szCs w:val="20"/>
          <w:color w:val="auto"/>
        </w:rPr>
      </w:pPr>
      <w:r>
        <w:rPr>
          <w:rFonts w:ascii="Arial" w:cs="Arial" w:eastAsia="Arial" w:hAnsi="Arial"/>
          <w:sz w:val="12"/>
          <w:szCs w:val="12"/>
          <w:color w:val="auto"/>
        </w:rPr>
        <w:t>This Annual Report refers to Adjusted EBITDA which is a non-GAAP (Generally Accepted Ac-counting Principles in the U.S.) financial measure and defined as earnings before interest, other income, taxes, depreciation, amortization, less certain non-cash equity compensation expense, including one-time transaction fees and all other non-cash items. This measure does not have any standardized meaning prescribed by US GAAP and may not be comparable to similar measures presented by other issuers. Readers are urged to review “Non-GAAP Measures” in Green Thumb management’s Discussion and Analysis included in each Form 10-K for the twelve months ended December 31, 2024, 2023, 2022, 2021 and 2020</w:t>
      </w:r>
    </w:p>
    <w:p>
      <w:pPr>
        <w:spacing w:after="0" w:line="20" w:lineRule="exact"/>
        <w:rPr>
          <w:sz w:val="20"/>
          <w:szCs w:val="20"/>
          <w:color w:val="auto"/>
        </w:rPr>
      </w:pPr>
      <w:r>
        <w:rPr>
          <w:sz w:val="20"/>
          <w:szCs w:val="20"/>
          <w:color w:val="auto"/>
        </w:rPr>
        <w:br w:type="column"/>
      </w:r>
    </w:p>
    <w:p>
      <w:pPr>
        <w:ind w:right="200"/>
        <w:spacing w:after="0" w:line="421" w:lineRule="auto"/>
        <w:rPr>
          <w:sz w:val="20"/>
          <w:szCs w:val="20"/>
          <w:color w:val="auto"/>
        </w:rPr>
      </w:pPr>
      <w:r>
        <w:rPr>
          <w:rFonts w:ascii="Arial" w:cs="Arial" w:eastAsia="Arial" w:hAnsi="Arial"/>
          <w:sz w:val="12"/>
          <w:szCs w:val="12"/>
          <w:color w:val="auto"/>
        </w:rPr>
        <w:t>for additional disclosure regarding Adjusted EBITDA. The non-GAAP measures in this letter are supplemental in nature. They should not be considered in isolation or as alternatives to financial information prepared in accordance with GAAP.</w:t>
      </w:r>
    </w:p>
    <w:p>
      <w:pPr>
        <w:spacing w:after="0" w:line="200" w:lineRule="exact"/>
        <w:rPr>
          <w:sz w:val="20"/>
          <w:szCs w:val="20"/>
          <w:color w:val="auto"/>
        </w:rPr>
      </w:pPr>
    </w:p>
    <w:p>
      <w:pPr>
        <w:spacing w:after="0" w:line="298" w:lineRule="exact"/>
        <w:rPr>
          <w:sz w:val="20"/>
          <w:szCs w:val="20"/>
          <w:color w:val="auto"/>
        </w:rPr>
      </w:pPr>
    </w:p>
    <w:p>
      <w:pPr>
        <w:ind w:left="100"/>
        <w:spacing w:after="0" w:line="180" w:lineRule="exact"/>
        <w:rPr>
          <w:sz w:val="20"/>
          <w:szCs w:val="20"/>
          <w:color w:val="auto"/>
        </w:rPr>
      </w:pPr>
      <w:r>
        <w:rPr>
          <w:rFonts w:ascii="PMingLiU" w:cs="PMingLiU" w:eastAsia="PMingLiU" w:hAnsi="PMingLiU"/>
          <w:sz w:val="15"/>
          <w:szCs w:val="15"/>
          <w:b w:val="1"/>
          <w:bCs w:val="1"/>
          <w:color w:val="003F1A"/>
        </w:rPr>
        <w:t> </w:t>
      </w:r>
    </w:p>
    <w:p>
      <w:pPr>
        <w:spacing w:after="0" w:line="172" w:lineRule="exact"/>
        <w:rPr>
          <w:sz w:val="20"/>
          <w:szCs w:val="20"/>
          <w:color w:val="auto"/>
        </w:rPr>
      </w:pPr>
    </w:p>
    <w:p>
      <w:pPr>
        <w:spacing w:after="0" w:line="402" w:lineRule="auto"/>
        <w:rPr>
          <w:sz w:val="20"/>
          <w:szCs w:val="20"/>
          <w:color w:val="auto"/>
        </w:rPr>
      </w:pPr>
      <w:r>
        <w:rPr>
          <w:rFonts w:ascii="Arial" w:cs="Arial" w:eastAsia="Arial" w:hAnsi="Arial"/>
          <w:sz w:val="12"/>
          <w:szCs w:val="12"/>
          <w:color w:val="auto"/>
        </w:rPr>
        <w:t>This Annual Report contains statements which constitute “forward-looking statements” or "for-ward-looking information" within the meaning of applicable securities laws, including the U.S. Private Securities Litigation Reform Act of 1995. Forward-looking statements and forward-look-ing information include statements regarding the plans, intentions, beliefs and current expec-tations of Green Thumb Industries Inc. ("Green Thumb") with respect to future business activi-ties. Readers are cautioned that forward-looking statements are not based on historical facts but instead reflect Green Thumb management’s assumptions, expectations, estimates or projec-tions concerning the business of Green Thumb and its industry. Although Green Thumb believes that the assumptions, expectations, estimates and projections reflected in such forward-look-ing information are reasonable, such information is subject to risks and uncertainties, including those risks described in Green Thumb’s con-tinuous disclosure record available on SEDAR+ at www.sedarplus.ca and filings with the SEC, including and under the heading “Risk Factors” in Green Thumb’s Annual Report on Form 10-K for the year ended December 31, 2024 and subsequent filings. Should one or more of these risks or uncertainties materialize, or should as-sumptions, estimates or projections underlying the forward-looking information prove incorrect, actual results may vary materially from those described herein. Although Green Thumb has attempted to identify important risks, uncertain-ties and factors which could cause actual results to differ materially, there may be others that cause results not to be as anticipated, estimated or intended. Undue reliance should not be placed on such forward-looking statements and Green Thumb does not intend, and does not assume any obligation, to update this forward-looking information except as otherwise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003F1A"/>
        </w:rPr>
        <w:t>AGRIFY + SEÑORITA</w:t>
      </w:r>
    </w:p>
    <w:p>
      <w:pPr>
        <w:spacing w:after="0" w:line="179" w:lineRule="exact"/>
        <w:rPr>
          <w:sz w:val="20"/>
          <w:szCs w:val="20"/>
          <w:color w:val="auto"/>
        </w:rPr>
      </w:pPr>
    </w:p>
    <w:p>
      <w:pPr>
        <w:ind w:right="20"/>
        <w:spacing w:after="0" w:line="422" w:lineRule="auto"/>
        <w:rPr>
          <w:sz w:val="20"/>
          <w:szCs w:val="20"/>
          <w:color w:val="auto"/>
        </w:rPr>
      </w:pPr>
      <w:r>
        <w:rPr>
          <w:rFonts w:ascii="Arial" w:cs="Arial" w:eastAsia="Arial" w:hAnsi="Arial"/>
          <w:sz w:val="12"/>
          <w:szCs w:val="12"/>
          <w:color w:val="auto"/>
        </w:rPr>
        <w:t>Señorita is a brand owned by Agrify Corporation, a company in which Green Thumb is an investor. Images and mentions of Señorita throughout this deck are used with permission of Agrify.</w:t>
      </w:r>
    </w:p>
    <w:p>
      <w:pPr>
        <w:sectPr>
          <w:pgSz w:w="12240" w:h="15840" w:orient="portrait"/>
          <w:cols w:equalWidth="0" w:num="3">
            <w:col w:w="2900" w:space="720"/>
            <w:col w:w="3180" w:space="460"/>
            <w:col w:w="3180"/>
          </w:cols>
          <w:pgMar w:left="900" w:top="853" w:right="900" w:bottom="875"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wp:posOffset>
            </wp:positionH>
            <wp:positionV relativeFrom="page">
              <wp:posOffset>114300</wp:posOffset>
            </wp:positionV>
            <wp:extent cx="7543800" cy="9829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4">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line="188" w:lineRule="exact"/>
        <w:rPr>
          <w:sz w:val="20"/>
          <w:szCs w:val="20"/>
          <w:color w:val="auto"/>
        </w:rPr>
      </w:pPr>
      <w:r>
        <w:rPr>
          <w:rFonts w:ascii="Arial Unicode MS" w:cs="Arial Unicode MS" w:eastAsia="Arial Unicode MS" w:hAnsi="Arial Unicode MS"/>
          <w:sz w:val="14"/>
          <w:szCs w:val="14"/>
          <w:color w:val="003F1A"/>
        </w:rPr>
        <w:t xml:space="preserve">ƴ Ƴ ƶ </w:t>
      </w:r>
      <w:r>
        <w:rPr>
          <w:rFonts w:ascii="PMingLiU" w:cs="PMingLiU" w:eastAsia="PMingLiU" w:hAnsi="PMingLiU"/>
          <w:sz w:val="14"/>
          <w:szCs w:val="14"/>
          <w:color w:val="003F1A"/>
        </w:rPr>
        <w:t xml:space="preserve">            </w:t>
      </w:r>
      <w:r>
        <w:rPr>
          <w:rFonts w:ascii="Arial Unicode MS" w:cs="Arial Unicode MS" w:eastAsia="Arial Unicode MS" w:hAnsi="Arial Unicode MS"/>
          <w:sz w:val="14"/>
          <w:szCs w:val="14"/>
          <w:color w:val="003F1A"/>
        </w:rPr>
        <w:t xml:space="preserve"> Ŀ </w:t>
      </w:r>
      <w:r>
        <w:rPr>
          <w:rFonts w:ascii="PMingLiU" w:cs="PMingLiU" w:eastAsia="PMingLiU" w:hAnsi="PMingLiU"/>
          <w:sz w:val="14"/>
          <w:szCs w:val="14"/>
          <w:color w:val="003F1A"/>
        </w:rPr>
        <w:t>           </w:t>
      </w:r>
      <w:r>
        <w:rPr>
          <w:rFonts w:ascii="Arial Unicode MS" w:cs="Arial Unicode MS" w:eastAsia="Arial Unicode MS" w:hAnsi="Arial Unicode MS"/>
          <w:sz w:val="14"/>
          <w:szCs w:val="14"/>
          <w:color w:val="003F1A"/>
        </w:rPr>
        <w:t xml:space="preserve"> Ʒ Ʊ Ʒ ƶ Ƶ </w:t>
      </w:r>
      <w:r>
        <w:rPr>
          <w:rFonts w:ascii="PMingLiU" w:cs="PMingLiU" w:eastAsia="PMingLiU" w:hAnsi="PMingLiU"/>
          <w:sz w:val="14"/>
          <w:szCs w:val="14"/>
          <w:color w:val="003F1A"/>
        </w:rPr>
        <w:t/>
      </w:r>
      <w:r>
        <w:rPr>
          <w:rFonts w:ascii="Arial Unicode MS" w:cs="Arial Unicode MS" w:eastAsia="Arial Unicode MS" w:hAnsi="Arial Unicode MS"/>
          <w:sz w:val="14"/>
          <w:szCs w:val="14"/>
          <w:color w:val="003F1A"/>
        </w:rPr>
        <w:t xml:space="preserve"> Ť </w:t>
      </w:r>
      <w:r>
        <w:rPr>
          <w:rFonts w:ascii="PMingLiU" w:cs="PMingLiU" w:eastAsia="PMingLiU" w:hAnsi="PMingLiU"/>
          <w:sz w:val="14"/>
          <w:szCs w:val="14"/>
          <w:color w:val="003F1A"/>
        </w:rPr>
        <w:t/>
      </w:r>
      <w:r>
        <w:rPr>
          <w:rFonts w:ascii="Arial Unicode MS" w:cs="Arial Unicode MS" w:eastAsia="Arial Unicode MS" w:hAnsi="Arial Unicode MS"/>
          <w:sz w:val="14"/>
          <w:szCs w:val="14"/>
          <w:color w:val="003F1A"/>
        </w:rPr>
        <w:t xml:space="preserve"> ƴ Ʋ Ƴ ľ ƵƸ Ʋ ľƷ Ƹ Ƴ Ʊ</w:t>
      </w:r>
    </w:p>
    <w:p>
      <w:pPr>
        <w:jc w:val="center"/>
        <w:spacing w:after="0" w:line="188" w:lineRule="exact"/>
        <w:rPr>
          <w:sz w:val="20"/>
          <w:szCs w:val="20"/>
          <w:color w:val="auto"/>
        </w:rPr>
      </w:pPr>
      <w:r>
        <w:rPr>
          <w:rFonts w:ascii="Arial Unicode MS" w:cs="Arial Unicode MS" w:eastAsia="Arial Unicode MS" w:hAnsi="Arial Unicode MS"/>
          <w:sz w:val="14"/>
          <w:szCs w:val="14"/>
          <w:color w:val="003F1A"/>
        </w:rPr>
        <w:t xml:space="preserve">Ɨ </w:t>
      </w:r>
      <w:r>
        <w:rPr>
          <w:rFonts w:ascii="PMingLiU" w:cs="PMingLiU" w:eastAsia="PMingLiU" w:hAnsi="PMingLiU"/>
          <w:sz w:val="14"/>
          <w:szCs w:val="14"/>
          <w:color w:val="003F1A"/>
        </w:rPr>
        <w:t/>
      </w:r>
      <w:r>
        <w:rPr>
          <w:rFonts w:ascii="Arial Unicode MS" w:cs="Arial Unicode MS" w:eastAsia="Arial Unicode MS" w:hAnsi="Arial Unicode MS"/>
          <w:sz w:val="14"/>
          <w:szCs w:val="14"/>
          <w:color w:val="003F1A"/>
        </w:rPr>
        <w:t xml:space="preserve"> Ƴ Ʊ Ƴ ƶ </w:t>
      </w:r>
      <w:r>
        <w:rPr>
          <w:rFonts w:ascii="PMingLiU" w:cs="PMingLiU" w:eastAsia="PMingLiU" w:hAnsi="PMingLiU"/>
          <w:sz w:val="14"/>
          <w:szCs w:val="14"/>
          <w:color w:val="003F1A"/>
        </w:rPr>
        <w:t>                       </w:t>
      </w:r>
      <w:r>
        <w:rPr>
          <w:rFonts w:ascii="Arial Unicode MS" w:cs="Arial Unicode MS" w:eastAsia="Arial Unicode MS" w:hAnsi="Arial Unicode MS"/>
          <w:sz w:val="14"/>
          <w:szCs w:val="14"/>
          <w:color w:val="003F1A"/>
        </w:rPr>
        <w:t xml:space="preserve"> Ť </w:t>
      </w:r>
      <w:r>
        <w:rPr>
          <w:rFonts w:ascii="PMingLiU" w:cs="PMingLiU" w:eastAsia="PMingLiU" w:hAnsi="PMingLiU"/>
          <w:sz w:val="14"/>
          <w:szCs w:val="14"/>
          <w:color w:val="003F1A"/>
        </w:rPr>
        <w:t>                   </w:t>
      </w:r>
    </w:p>
    <w:p>
      <w:pPr>
        <w:sectPr>
          <w:pgSz w:w="12240" w:h="15840" w:orient="portrait"/>
          <w:cols w:equalWidth="0" w:num="1">
            <w:col w:w="9360"/>
          </w:cols>
          <w:pgMar w:left="1440" w:top="1440" w:right="1440" w:bottom="385" w:gutter="0" w:footer="0" w:header="0"/>
        </w:sectPr>
      </w:pPr>
    </w:p>
    <w:p>
      <w:pPr>
        <w:spacing w:after="0" w:line="200" w:lineRule="exact"/>
        <w:rPr>
          <w:sz w:val="20"/>
          <w:szCs w:val="20"/>
          <w:color w:val="auto"/>
        </w:rPr>
      </w:pPr>
    </w:p>
    <w:p>
      <w:pPr>
        <w:spacing w:after="0" w:line="297" w:lineRule="exact"/>
        <w:rPr>
          <w:sz w:val="20"/>
          <w:szCs w:val="20"/>
          <w:color w:val="auto"/>
        </w:rPr>
      </w:pPr>
    </w:p>
    <w:p>
      <w:pPr>
        <w:ind w:left="3820"/>
        <w:spacing w:after="0"/>
        <w:rPr>
          <w:sz w:val="20"/>
          <w:szCs w:val="20"/>
          <w:color w:val="auto"/>
        </w:rPr>
      </w:pPr>
      <w:r>
        <w:rPr>
          <w:rFonts w:ascii="Arial" w:cs="Arial" w:eastAsia="Arial" w:hAnsi="Arial"/>
          <w:sz w:val="26"/>
          <w:szCs w:val="26"/>
          <w:b w:val="1"/>
          <w:bCs w:val="1"/>
          <w:color w:val="003F1A"/>
        </w:rPr>
        <w:t>gtigrows.com</w:t>
      </w:r>
    </w:p>
    <w:sectPr>
      <w:pgSz w:w="12240" w:h="15840" w:orient="portrait"/>
      <w:cols w:equalWidth="0" w:num="1">
        <w:col w:w="9360"/>
      </w:cols>
      <w:pgMar w:left="1440" w:top="1440" w:right="1440" w:bottom="3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4000000" w:csb0="00000001" w:csb1="40000000"/>
  </w:font>
  <w:font w:name="Arial Unicode MS">
    <w:panose1 w:val="020B0604020202020204"/>
    <w:charset w:val="88"/>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lowerLetter"/>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1"/>
      <w:numFmt w:val="decimal"/>
      <w:start w:val="2"/>
    </w:lvl>
  </w:abstractNum>
  <w:abstractNum w:abstractNumId="3">
    <w:nsid w:val="7E0C57B1"/>
    <w:multiLevelType w:val="hybridMultilevel"/>
    <w:lvl w:ilvl="0">
      <w:lvlJc w:val="left"/>
      <w:lvlText w:val="%1"/>
      <w:numFmt w:val="decimal"/>
      <w:start w:val="3"/>
    </w:lvl>
  </w:abstractNum>
  <w:abstractNum w:abstractNumId="4">
    <w:nsid w:val="77AE35EB"/>
    <w:multiLevelType w:val="hybridMultilevel"/>
    <w:lvl w:ilvl="0">
      <w:lvlJc w:val="left"/>
      <w:lvlText w:val="Ƹ"/>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
      <w:numFmt w:val="bullet"/>
      <w:start w:val="1"/>
    </w:lvl>
  </w:abstractNum>
  <w:abstractNum w:abstractNumId="7">
    <w:nsid w:val="5FF87E05"/>
    <w:multiLevelType w:val="hybridMultilevel"/>
    <w:lvl w:ilvl="0">
      <w:lvlJc w:val="left"/>
      <w:lvlText w:val="•"/>
      <w:numFmt w:val="bullet"/>
      <w:start w:val="1"/>
    </w:lvl>
  </w:abstractNum>
  <w:abstractNum w:abstractNumId="8">
    <w:nsid w:val="2F305DEF"/>
    <w:multiLevelType w:val="hybridMultilevel"/>
    <w:lvl w:ilvl="0">
      <w:lvlJc w:val="left"/>
      <w:lvlText w:val="•"/>
      <w:numFmt w:val="bullet"/>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2"/>
    </w:lvl>
  </w:abstractNum>
  <w:abstractNum w:abstractNumId="18">
    <w:nsid w:val="5F5E7FD0"/>
    <w:multiLevelType w:val="hybridMultilevel"/>
    <w:lvl w:ilvl="0">
      <w:lvlJc w:val="left"/>
      <w:lvlText w:val="(%1)"/>
      <w:numFmt w:val="lowerLetter"/>
      <w:start w:val="3"/>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
      <w:numFmt w:val="bullet"/>
      <w:start w:val="1"/>
    </w:lvl>
  </w:abstractNum>
  <w:abstractNum w:abstractNumId="21">
    <w:nsid w:val="6B94764"/>
    <w:multiLevelType w:val="hybridMultilevel"/>
    <w:lvl w:ilvl="0">
      <w:lvlJc w:val="left"/>
      <w:lvlText w:val="#"/>
      <w:numFmt w:val="bullet"/>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
      <w:numFmt w:val="bullet"/>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amp;"/>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2"/>
    </w:lvl>
  </w:abstractNum>
  <w:abstractNum w:abstractNumId="29">
    <w:nsid w:val="51D9C564"/>
    <w:multiLevelType w:val="hybridMultilevel"/>
    <w:lvl w:ilvl="0">
      <w:lvlJc w:val="left"/>
      <w:lvlText w:val="(%1)"/>
      <w:numFmt w:val="lowerLetter"/>
      <w:start w:val="1"/>
    </w:lvl>
  </w:abstractNum>
  <w:abstractNum w:abstractNumId="30">
    <w:nsid w:val="613EFDC5"/>
    <w:multiLevelType w:val="hybridMultilevel"/>
    <w:lvl w:ilvl="0">
      <w:lvlJc w:val="left"/>
      <w:lvlText w:val="(%1)"/>
      <w:numFmt w:val="lowerLetter"/>
      <w:start w:val="2"/>
    </w:lvl>
  </w:abstractNum>
  <w:abstractNum w:abstractNumId="31">
    <w:nsid w:val="BF72B14"/>
    <w:multiLevelType w:val="hybridMultilevel"/>
    <w:lvl w:ilvl="0">
      <w:lvlJc w:val="left"/>
      <w:lvlText w:val="(%1)"/>
      <w:numFmt w:val="lowerLetter"/>
      <w:start w:val="3"/>
    </w:lvl>
  </w:abstractNum>
  <w:abstractNum w:abstractNumId="32">
    <w:nsid w:val="11447B73"/>
    <w:multiLevelType w:val="hybridMultilevel"/>
    <w:lvl w:ilvl="0">
      <w:lvlJc w:val="left"/>
      <w:lvlText w:val="(%1)"/>
      <w:numFmt w:val="lowerLetter"/>
      <w:start w:val="4"/>
    </w:lvl>
  </w:abstractNum>
  <w:abstractNum w:abstractNumId="33">
    <w:nsid w:val="42963E5A"/>
    <w:multiLevelType w:val="hybridMultilevel"/>
    <w:lvl w:ilvl="0">
      <w:lvlJc w:val="left"/>
      <w:lvlText w:val="%1."/>
      <w:numFmt w:val="decimal"/>
      <w:start w:val="2"/>
    </w:lvl>
  </w:abstractNum>
  <w:abstractNum w:abstractNumId="34">
    <w:nsid w:val="A0382C5"/>
    <w:multiLevelType w:val="hybridMultilevel"/>
    <w:lvl w:ilvl="0">
      <w:lvlJc w:val="left"/>
      <w:lvlText w:val="(%1)"/>
      <w:numFmt w:val="lowerLetter"/>
      <w:start w:val="4"/>
    </w:lvl>
  </w:abstractNum>
  <w:abstractNum w:abstractNumId="35">
    <w:nsid w:val="8F2B15E"/>
    <w:multiLevelType w:val="hybridMultilevel"/>
    <w:lvl w:ilvl="0">
      <w:lvlJc w:val="left"/>
      <w:lvlText w:val="%1."/>
      <w:numFmt w:val="decimal"/>
      <w:start w:val="2"/>
    </w:lvl>
  </w:abstractNum>
  <w:abstractNum w:abstractNumId="36">
    <w:nsid w:val="1A32234B"/>
    <w:multiLevelType w:val="hybridMultilevel"/>
    <w:lvl w:ilvl="0">
      <w:lvlJc w:val="left"/>
      <w:lvlText w:val="(%1)"/>
      <w:numFmt w:val="lowerLetter"/>
      <w:start w:val="5"/>
    </w:lvl>
  </w:abstractNum>
  <w:abstractNum w:abstractNumId="37">
    <w:nsid w:val="3B0FD379"/>
    <w:multiLevelType w:val="hybridMultilevel"/>
    <w:lvl w:ilvl="0">
      <w:lvlJc w:val="left"/>
      <w:lvlText w:val="(%1)"/>
      <w:numFmt w:val="lowerLetter"/>
      <w:start w:val="6"/>
    </w:lvl>
  </w:abstractNum>
  <w:abstractNum w:abstractNumId="38">
    <w:nsid w:val="68EB2F63"/>
    <w:multiLevelType w:val="hybridMultilevel"/>
    <w:lvl w:ilvl="0">
      <w:lvlJc w:val="left"/>
      <w:lvlText w:val="(%1)"/>
      <w:numFmt w:val="lowerLetter"/>
      <w:start w:val="7"/>
    </w:lvl>
  </w:abstractNum>
  <w:abstractNum w:abstractNumId="39">
    <w:nsid w:val="4962813B"/>
    <w:multiLevelType w:val="hybridMultilevel"/>
    <w:lvl w:ilvl="0">
      <w:lvlJc w:val="left"/>
      <w:lvlText w:val="%1."/>
      <w:numFmt w:val="decimal"/>
      <w:start w:val="2"/>
    </w:lvl>
  </w:abstractNum>
  <w:abstractNum w:abstractNumId="40">
    <w:nsid w:val="60B6DF70"/>
    <w:multiLevelType w:val="hybridMultilevel"/>
    <w:lvl w:ilvl="0">
      <w:lvlJc w:val="left"/>
      <w:lvlText w:val="(%1)"/>
      <w:numFmt w:val="lowerLetter"/>
      <w:start w:val="8"/>
    </w:lvl>
  </w:abstractNum>
  <w:abstractNum w:abstractNumId="41">
    <w:nsid w:val="6A5EE64"/>
    <w:multiLevelType w:val="hybridMultilevel"/>
    <w:lvl w:ilvl="0">
      <w:lvlJc w:val="left"/>
      <w:lvlText w:val="(%1)"/>
      <w:numFmt w:val="lowerRoman"/>
      <w:start w:val="1"/>
    </w:lvl>
  </w:abstractNum>
  <w:abstractNum w:abstractNumId="42">
    <w:nsid w:val="14330624"/>
    <w:multiLevelType w:val="hybridMultilevel"/>
    <w:lvl w:ilvl="0">
      <w:lvlJc w:val="left"/>
      <w:lvlText w:val="(%1)"/>
      <w:numFmt w:val="lowerLetter"/>
      <w:start w:val="10"/>
    </w:lvl>
  </w:abstractNum>
  <w:abstractNum w:abstractNumId="43">
    <w:nsid w:val="7FFFCA11"/>
    <w:multiLevelType w:val="hybridMultilevel"/>
    <w:lvl w:ilvl="0">
      <w:lvlJc w:val="left"/>
      <w:lvlText w:val="%1"/>
      <w:numFmt w:val="lowerLetter"/>
      <w:start w:val="1"/>
    </w:lvl>
    <w:lvl w:ilvl="1">
      <w:lvlJc w:val="left"/>
      <w:lvlText w:val="%2."/>
      <w:numFmt w:val="decimal"/>
      <w:start w:val="2"/>
    </w:lvl>
  </w:abstractNum>
  <w:abstractNum w:abstractNumId="44">
    <w:nsid w:val="1A27709E"/>
    <w:multiLevelType w:val="hybridMultilevel"/>
    <w:lvl w:ilvl="0">
      <w:lvlJc w:val="left"/>
      <w:lvlText w:val="(%1)"/>
      <w:numFmt w:val="lowerLetter"/>
      <w:start w:val="10"/>
    </w:lvl>
    <w:lvl w:ilvl="1">
      <w:lvlJc w:val="left"/>
      <w:lvlText w:val="%2"/>
      <w:numFmt w:val="decimal"/>
      <w:start w:val="1"/>
    </w:lvl>
  </w:abstractNum>
  <w:abstractNum w:abstractNumId="45">
    <w:nsid w:val="71EA1109"/>
    <w:multiLevelType w:val="hybridMultilevel"/>
    <w:lvl w:ilvl="0">
      <w:lvlJc w:val="left"/>
      <w:lvlText w:val="(%1)"/>
      <w:numFmt w:val="lowerLetter"/>
      <w:start w:val="11"/>
    </w:lvl>
  </w:abstractNum>
  <w:abstractNum w:abstractNumId="46">
    <w:nsid w:val="100F59DC"/>
    <w:multiLevelType w:val="hybridMultilevel"/>
    <w:lvl w:ilvl="0">
      <w:lvlJc w:val="left"/>
      <w:lvlText w:val="(%1)"/>
      <w:numFmt w:val="lowerLetter"/>
      <w:start w:val="12"/>
    </w:lvl>
  </w:abstractNum>
  <w:abstractNum w:abstractNumId="47">
    <w:nsid w:val="7FB7E0AA"/>
    <w:multiLevelType w:val="hybridMultilevel"/>
    <w:lvl w:ilvl="0">
      <w:lvlJc w:val="left"/>
      <w:lvlText w:val="%1."/>
      <w:numFmt w:val="decimal"/>
      <w:start w:val="2"/>
    </w:lvl>
  </w:abstractNum>
  <w:abstractNum w:abstractNumId="48">
    <w:nsid w:val="6EB5BD4"/>
    <w:multiLevelType w:val="hybridMultilevel"/>
    <w:lvl w:ilvl="0">
      <w:lvlJc w:val="left"/>
      <w:lvlText w:val="%1."/>
      <w:numFmt w:val="decimal"/>
      <w:start w:val="2"/>
    </w:lvl>
  </w:abstractNum>
  <w:abstractNum w:abstractNumId="49">
    <w:nsid w:val="6F6DD9AC"/>
    <w:multiLevelType w:val="hybridMultilevel"/>
    <w:lvl w:ilvl="0">
      <w:lvlJc w:val="left"/>
      <w:lvlText w:val="(%1)"/>
      <w:numFmt w:val="lowerLetter"/>
      <w:start w:val="14"/>
    </w:lvl>
  </w:abstractNum>
  <w:abstractNum w:abstractNumId="50">
    <w:nsid w:val="94211F2"/>
    <w:multiLevelType w:val="hybridMultilevel"/>
    <w:lvl w:ilvl="0">
      <w:lvlJc w:val="left"/>
      <w:lvlText w:val="(%1)"/>
      <w:numFmt w:val="lowerLetter"/>
      <w:start w:val="15"/>
    </w:lvl>
  </w:abstractNum>
  <w:abstractNum w:abstractNumId="51">
    <w:nsid w:val="885E1B"/>
    <w:multiLevelType w:val="hybridMultilevel"/>
    <w:lvl w:ilvl="0">
      <w:lvlJc w:val="left"/>
      <w:lvlText w:val="•"/>
      <w:numFmt w:val="bullet"/>
      <w:start w:val="1"/>
    </w:lvl>
    <w:lvl w:ilvl="1">
      <w:lvlJc w:val="left"/>
      <w:lvlText w:val="•"/>
      <w:numFmt w:val="bullet"/>
      <w:start w:val="1"/>
    </w:lvl>
  </w:abstractNum>
  <w:abstractNum w:abstractNumId="52">
    <w:nsid w:val="76272110"/>
    <w:multiLevelType w:val="hybridMultilevel"/>
    <w:lvl w:ilvl="0">
      <w:lvlJc w:val="left"/>
      <w:lvlText w:val="%1."/>
      <w:numFmt w:val="decimal"/>
      <w:start w:val="2"/>
    </w:lvl>
  </w:abstractNum>
  <w:abstractNum w:abstractNumId="53">
    <w:nsid w:val="4C04A8AF"/>
    <w:multiLevelType w:val="hybridMultilevel"/>
    <w:lvl w:ilvl="0">
      <w:lvlJc w:val="left"/>
      <w:lvlText w:val="(%1)"/>
      <w:numFmt w:val="lowerLetter"/>
      <w:start w:val="16"/>
    </w:lvl>
  </w:abstractNum>
  <w:abstractNum w:abstractNumId="54">
    <w:nsid w:val="1716703B"/>
    <w:multiLevelType w:val="hybridMultilevel"/>
    <w:lvl w:ilvl="0">
      <w:lvlJc w:val="left"/>
      <w:lvlText w:val="(%1)"/>
      <w:numFmt w:val="lowerLetter"/>
      <w:start w:val="17"/>
    </w:lvl>
  </w:abstractNum>
  <w:abstractNum w:abstractNumId="55">
    <w:nsid w:val="14E17E33"/>
    <w:multiLevelType w:val="hybridMultilevel"/>
    <w:lvl w:ilvl="0">
      <w:lvlJc w:val="left"/>
      <w:lvlText w:val="(%1)"/>
      <w:numFmt w:val="lowerLetter"/>
      <w:start w:val="18"/>
    </w:lvl>
  </w:abstractNum>
  <w:abstractNum w:abstractNumId="56">
    <w:nsid w:val="3222E7CD"/>
    <w:multiLevelType w:val="hybridMultilevel"/>
    <w:lvl w:ilvl="0">
      <w:lvlJc w:val="left"/>
      <w:lvlText w:val="%1."/>
      <w:numFmt w:val="decimal"/>
      <w:start w:val="2"/>
    </w:lvl>
  </w:abstractNum>
  <w:abstractNum w:abstractNumId="57">
    <w:nsid w:val="74DE0EE3"/>
    <w:multiLevelType w:val="hybridMultilevel"/>
    <w:lvl w:ilvl="0">
      <w:lvlJc w:val="left"/>
      <w:lvlText w:val="(%1)"/>
      <w:numFmt w:val="lowerLetter"/>
      <w:start w:val="19"/>
    </w:lvl>
  </w:abstractNum>
  <w:abstractNum w:abstractNumId="58">
    <w:nsid w:val="68EBC550"/>
    <w:multiLevelType w:val="hybridMultilevel"/>
    <w:lvl w:ilvl="0">
      <w:lvlJc w:val="left"/>
      <w:lvlText w:val="(%1)"/>
      <w:numFmt w:val="lowerLetter"/>
      <w:start w:val="20"/>
    </w:lvl>
  </w:abstractNum>
  <w:abstractNum w:abstractNumId="59">
    <w:nsid w:val="2DF6D648"/>
    <w:multiLevelType w:val="hybridMultilevel"/>
    <w:lvl w:ilvl="0">
      <w:lvlJc w:val="left"/>
      <w:lvlText w:val="(%1)"/>
      <w:numFmt w:val="lowerLetter"/>
      <w:start w:val="21"/>
    </w:lvl>
  </w:abstractNum>
  <w:abstractNum w:abstractNumId="60">
    <w:nsid w:val="46B7D447"/>
    <w:multiLevelType w:val="hybridMultilevel"/>
    <w:lvl w:ilvl="0">
      <w:lvlJc w:val="left"/>
      <w:lvlText w:val="%1."/>
      <w:numFmt w:val="decimal"/>
      <w:start w:val="2"/>
    </w:lvl>
  </w:abstractNum>
  <w:abstractNum w:abstractNumId="61">
    <w:nsid w:val="4A2AC315"/>
    <w:multiLevelType w:val="hybridMultilevel"/>
    <w:lvl w:ilvl="0">
      <w:lvlJc w:val="left"/>
      <w:lvlText w:val="(%1)"/>
      <w:numFmt w:val="lowerRoman"/>
      <w:start w:val="5"/>
    </w:lvl>
  </w:abstractNum>
  <w:abstractNum w:abstractNumId="62">
    <w:nsid w:val="39EE015C"/>
    <w:multiLevelType w:val="hybridMultilevel"/>
    <w:lvl w:ilvl="0">
      <w:lvlJc w:val="left"/>
      <w:lvlText w:val="(%1)"/>
      <w:numFmt w:val="lowerLetter"/>
      <w:start w:val="23"/>
    </w:lvl>
  </w:abstractNum>
  <w:abstractNum w:abstractNumId="63">
    <w:nsid w:val="57FC4FBB"/>
    <w:multiLevelType w:val="hybridMultilevel"/>
    <w:lvl w:ilvl="0">
      <w:lvlJc w:val="left"/>
      <w:lvlText w:val="(%1)"/>
      <w:numFmt w:val="lowerRoman"/>
      <w:start w:val="1"/>
    </w:lvl>
  </w:abstractNum>
  <w:abstractNum w:abstractNumId="64">
    <w:nsid w:val="CC1016F"/>
    <w:multiLevelType w:val="hybridMultilevel"/>
    <w:lvl w:ilvl="0">
      <w:lvlJc w:val="left"/>
      <w:lvlText w:val="%1."/>
      <w:numFmt w:val="decimal"/>
      <w:start w:val="2"/>
    </w:lvl>
  </w:abstractNum>
  <w:abstractNum w:abstractNumId="65">
    <w:nsid w:val="43F18422"/>
    <w:multiLevelType w:val="hybridMultilevel"/>
    <w:lvl w:ilvl="0">
      <w:lvlJc w:val="left"/>
      <w:lvlText w:val="(%1)"/>
      <w:numFmt w:val="lowerLetter"/>
      <w:start w:val="23"/>
    </w:lvl>
  </w:abstractNum>
  <w:abstractNum w:abstractNumId="66">
    <w:nsid w:val="60EF0119"/>
    <w:multiLevelType w:val="hybridMultilevel"/>
    <w:lvl w:ilvl="0">
      <w:lvlJc w:val="left"/>
      <w:lvlText w:val="(%1)"/>
      <w:numFmt w:val="lowerRoman"/>
      <w:start w:val="5"/>
    </w:lvl>
  </w:abstractNum>
  <w:abstractNum w:abstractNumId="67">
    <w:nsid w:val="26F324BA"/>
    <w:multiLevelType w:val="hybridMultilevel"/>
    <w:lvl w:ilvl="0">
      <w:lvlJc w:val="left"/>
      <w:lvlText w:val="%1."/>
      <w:numFmt w:val="decimal"/>
      <w:start w:val="2"/>
    </w:lvl>
  </w:abstractNum>
  <w:abstractNum w:abstractNumId="68">
    <w:nsid w:val="7F01579B"/>
    <w:multiLevelType w:val="hybridMultilevel"/>
    <w:lvl w:ilvl="0">
      <w:lvlJc w:val="left"/>
      <w:lvlText w:val="(%1)"/>
      <w:numFmt w:val="lowerLetter"/>
      <w:start w:val="23"/>
    </w:lvl>
  </w:abstractNum>
  <w:abstractNum w:abstractNumId="69">
    <w:nsid w:val="49DA307D"/>
    <w:multiLevelType w:val="hybridMultilevel"/>
    <w:lvl w:ilvl="0">
      <w:lvlJc w:val="left"/>
      <w:lvlText w:val="(%1)"/>
      <w:numFmt w:val="lowerRoman"/>
      <w:start w:val="8"/>
    </w:lvl>
  </w:abstractNum>
  <w:abstractNum w:abstractNumId="70">
    <w:nsid w:val="7055A5F5"/>
    <w:multiLevelType w:val="hybridMultilevel"/>
    <w:lvl w:ilvl="0">
      <w:lvlJc w:val="left"/>
      <w:lvlText w:val="(%1)"/>
      <w:numFmt w:val="lowerRoman"/>
      <w:start w:val="10"/>
    </w:lvl>
  </w:abstractNum>
  <w:abstractNum w:abstractNumId="71">
    <w:nsid w:val="5FB8370B"/>
    <w:multiLevelType w:val="hybridMultilevel"/>
    <w:lvl w:ilvl="0">
      <w:lvlJc w:val="left"/>
      <w:lvlText w:val="%1."/>
      <w:numFmt w:val="decimal"/>
      <w:start w:val="2"/>
    </w:lvl>
    <w:lvl w:ilvl="1">
      <w:lvlJc w:val="left"/>
      <w:lvlText w:val="(%2)"/>
      <w:numFmt w:val="lowerRoman"/>
      <w:start w:val="10"/>
    </w:lvl>
    <w:lvl w:ilvl="2">
      <w:lvlJc w:val="left"/>
      <w:lvlText w:val="(%3)"/>
      <w:numFmt w:val="lowerRoman"/>
      <w:start w:val="1"/>
    </w:lvl>
  </w:abstractNum>
  <w:abstractNum w:abstractNumId="72">
    <w:nsid w:val="50801EE1"/>
    <w:multiLevelType w:val="hybridMultilevel"/>
    <w:lvl w:ilvl="0">
      <w:lvlJc w:val="left"/>
      <w:lvlText w:val="%1."/>
      <w:numFmt w:val="decimal"/>
      <w:start w:val="3"/>
    </w:lvl>
  </w:abstractNum>
  <w:abstractNum w:abstractNumId="73">
    <w:nsid w:val="488AC1A"/>
    <w:multiLevelType w:val="hybridMultilevel"/>
    <w:lvl w:ilvl="0">
      <w:lvlJc w:val="left"/>
      <w:lvlText w:val="%1."/>
      <w:numFmt w:val="decimal"/>
      <w:start w:val="4"/>
    </w:lvl>
  </w:abstractNum>
  <w:abstractNum w:abstractNumId="74">
    <w:nsid w:val="5FB8011C"/>
    <w:multiLevelType w:val="hybridMultilevel"/>
    <w:lvl w:ilvl="0">
      <w:lvlJc w:val="left"/>
      <w:lvlText w:val="%1."/>
      <w:numFmt w:val="decimal"/>
      <w:start w:val="5"/>
    </w:lvl>
  </w:abstractNum>
  <w:abstractNum w:abstractNumId="75">
    <w:nsid w:val="6AA78F7F"/>
    <w:multiLevelType w:val="hybridMultilevel"/>
    <w:lvl w:ilvl="0">
      <w:lvlJc w:val="left"/>
      <w:lvlText w:val="(%1)"/>
      <w:numFmt w:val="lowerLetter"/>
      <w:start w:val="1"/>
    </w:lvl>
  </w:abstractNum>
  <w:abstractNum w:abstractNumId="76">
    <w:nsid w:val="7672BD23"/>
    <w:multiLevelType w:val="hybridMultilevel"/>
    <w:lvl w:ilvl="0">
      <w:lvlJc w:val="left"/>
      <w:lvlText w:val="%1."/>
      <w:numFmt w:val="decimal"/>
      <w:start w:val="5"/>
    </w:lvl>
  </w:abstractNum>
  <w:abstractNum w:abstractNumId="77">
    <w:nsid w:val="6FC75AF8"/>
    <w:multiLevelType w:val="hybridMultilevel"/>
    <w:lvl w:ilvl="0">
      <w:lvlJc w:val="left"/>
      <w:lvlText w:val="%1."/>
      <w:numFmt w:val="decimal"/>
      <w:start w:val="6"/>
    </w:lvl>
  </w:abstractNum>
  <w:abstractNum w:abstractNumId="78">
    <w:nsid w:val="6A5F7029"/>
    <w:multiLevelType w:val="hybridMultilevel"/>
    <w:lvl w:ilvl="0">
      <w:lvlJc w:val="left"/>
      <w:lvlText w:val="%1."/>
      <w:numFmt w:val="decimal"/>
      <w:start w:val="6"/>
    </w:lvl>
  </w:abstractNum>
  <w:abstractNum w:abstractNumId="79">
    <w:nsid w:val="7D5E18F8"/>
    <w:multiLevelType w:val="hybridMultilevel"/>
    <w:lvl w:ilvl="0">
      <w:lvlJc w:val="left"/>
      <w:lvlText w:val="%1."/>
      <w:numFmt w:val="decimal"/>
      <w:start w:val="6"/>
    </w:lvl>
  </w:abstractNum>
  <w:abstractNum w:abstractNumId="80">
    <w:nsid w:val="5F3534A4"/>
    <w:multiLevelType w:val="hybridMultilevel"/>
    <w:lvl w:ilvl="0">
      <w:lvlJc w:val="left"/>
      <w:lvlText w:val="%1."/>
      <w:numFmt w:val="decimal"/>
      <w:start w:val="7"/>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2"/>
    </w:lvl>
  </w:abstractNum>
  <w:abstractNum w:abstractNumId="83">
    <w:nsid w:val="555C55B5"/>
    <w:multiLevelType w:val="hybridMultilevel"/>
    <w:lvl w:ilvl="0">
      <w:lvlJc w:val="left"/>
      <w:lvlText w:val="%1"/>
      <w:numFmt w:val="decimal"/>
      <w:start w:val="1"/>
    </w:lvl>
  </w:abstractNum>
  <w:abstractNum w:abstractNumId="84">
    <w:nsid w:val="3FA62ACA"/>
    <w:multiLevelType w:val="hybridMultilevel"/>
    <w:lvl w:ilvl="0">
      <w:lvlJc w:val="left"/>
      <w:lvlText w:val="%1"/>
      <w:numFmt w:val="decimal"/>
      <w:start w:val="1"/>
    </w:lvl>
  </w:abstractNum>
  <w:abstractNum w:abstractNumId="85">
    <w:nsid w:val="14FCE74E"/>
    <w:multiLevelType w:val="hybridMultilevel"/>
    <w:lvl w:ilvl="0">
      <w:lvlJc w:val="left"/>
      <w:lvlText w:val="%1."/>
      <w:numFmt w:val="decimal"/>
      <w:start w:val="8"/>
    </w:lvl>
  </w:abstractNum>
  <w:abstractNum w:abstractNumId="86">
    <w:nsid w:val="6A3DD3E8"/>
    <w:multiLevelType w:val="hybridMultilevel"/>
    <w:lvl w:ilvl="0">
      <w:lvlJc w:val="left"/>
      <w:lvlText w:val="(%1)"/>
      <w:numFmt w:val="lowerLetter"/>
      <w:start w:val="1"/>
    </w:lvl>
  </w:abstractNum>
  <w:abstractNum w:abstractNumId="87">
    <w:nsid w:val="71C91298"/>
    <w:multiLevelType w:val="hybridMultilevel"/>
    <w:lvl w:ilvl="0">
      <w:lvlJc w:val="left"/>
      <w:lvlText w:val="%1."/>
      <w:numFmt w:val="decimal"/>
      <w:start w:val="8"/>
    </w:lvl>
  </w:abstractNum>
  <w:abstractNum w:abstractNumId="88">
    <w:nsid w:val="9DAF632"/>
    <w:multiLevelType w:val="hybridMultilevel"/>
    <w:lvl w:ilvl="0">
      <w:lvlJc w:val="left"/>
      <w:lvlText w:val="(%1)"/>
      <w:numFmt w:val="lowerLetter"/>
      <w:start w:val="5"/>
    </w:lvl>
  </w:abstractNum>
  <w:abstractNum w:abstractNumId="89">
    <w:nsid w:val="53299938"/>
    <w:multiLevelType w:val="hybridMultilevel"/>
    <w:lvl w:ilvl="0">
      <w:lvlJc w:val="left"/>
      <w:lvlText w:val="%1."/>
      <w:numFmt w:val="decimal"/>
      <w:start w:val="9"/>
    </w:lvl>
  </w:abstractNum>
  <w:abstractNum w:abstractNumId="90">
    <w:nsid w:val="1FBFE8E0"/>
    <w:multiLevelType w:val="hybridMultilevel"/>
    <w:lvl w:ilvl="0">
      <w:lvlJc w:val="left"/>
      <w:lvlText w:val="(%1)"/>
      <w:numFmt w:val="lowerLetter"/>
      <w:start w:val="1"/>
    </w:lvl>
  </w:abstractNum>
  <w:abstractNum w:abstractNumId="91">
    <w:nsid w:val="5092CA79"/>
    <w:multiLevelType w:val="hybridMultilevel"/>
    <w:lvl w:ilvl="0">
      <w:lvlJc w:val="left"/>
      <w:lvlText w:val="%1."/>
      <w:numFmt w:val="decimal"/>
      <w:start w:val="9"/>
    </w:lvl>
  </w:abstractNum>
  <w:abstractNum w:abstractNumId="92">
    <w:nsid w:val="1D545C4D"/>
    <w:multiLevelType w:val="hybridMultilevel"/>
    <w:lvl w:ilvl="0">
      <w:lvlJc w:val="left"/>
      <w:lvlText w:val="(%1)"/>
      <w:numFmt w:val="lowerLetter"/>
      <w:start w:val="2"/>
    </w:lvl>
  </w:abstractNum>
  <w:abstractNum w:abstractNumId="93">
    <w:nsid w:val="59ADEA3D"/>
    <w:multiLevelType w:val="hybridMultilevel"/>
    <w:lvl w:ilvl="0">
      <w:lvlJc w:val="left"/>
      <w:lvlText w:val="%1."/>
      <w:numFmt w:val="decimal"/>
      <w:start w:val="10"/>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Roman"/>
      <w:start w:val="1"/>
    </w:lvl>
  </w:abstractNum>
  <w:abstractNum w:abstractNumId="96">
    <w:nsid w:val="1D9F6E5F"/>
    <w:multiLevelType w:val="hybridMultilevel"/>
    <w:lvl w:ilvl="0">
      <w:lvlJc w:val="left"/>
      <w:lvlText w:val="(%1)"/>
      <w:numFmt w:val="lowerRoman"/>
      <w:start w:val="2"/>
    </w:lvl>
  </w:abstractNum>
  <w:abstractNum w:abstractNumId="97">
    <w:nsid w:val="97E1B4E"/>
    <w:multiLevelType w:val="hybridMultilevel"/>
    <w:lvl w:ilvl="0">
      <w:lvlJc w:val="left"/>
      <w:lvlText w:val="(%1)"/>
      <w:numFmt w:val="lowerRoman"/>
      <w:start w:val="3"/>
    </w:lvl>
  </w:abstractNum>
  <w:abstractNum w:abstractNumId="98">
    <w:nsid w:val="51088277"/>
    <w:multiLevelType w:val="hybridMultilevel"/>
    <w:lvl w:ilvl="0">
      <w:lvlJc w:val="left"/>
      <w:lvlText w:val="%1."/>
      <w:numFmt w:val="decimal"/>
      <w:start w:val="10"/>
    </w:lvl>
  </w:abstractNum>
  <w:abstractNum w:abstractNumId="99">
    <w:nsid w:val="1CA0C5FA"/>
    <w:multiLevelType w:val="hybridMultilevel"/>
    <w:lvl w:ilvl="0">
      <w:lvlJc w:val="left"/>
      <w:lvlText w:val="(%1)"/>
      <w:numFmt w:val="lowerLetter"/>
      <w:start w:val="2"/>
    </w:lvl>
  </w:abstractNum>
  <w:abstractNum w:abstractNumId="100">
    <w:nsid w:val="53584BCB"/>
    <w:multiLevelType w:val="hybridMultilevel"/>
    <w:lvl w:ilvl="0">
      <w:lvlJc w:val="left"/>
      <w:lvlText w:val="(%1)"/>
      <w:numFmt w:val="lowerRoman"/>
      <w:start w:val="1"/>
    </w:lvl>
  </w:abstractNum>
  <w:abstractNum w:abstractNumId="101">
    <w:nsid w:val="415E286C"/>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35"/>
    </w:lvl>
  </w:abstractNum>
  <w:abstractNum w:abstractNumId="102">
    <w:nsid w:val="7C58FD05"/>
    <w:multiLevelType w:val="hybridMultilevel"/>
    <w:lvl w:ilvl="0">
      <w:lvlJc w:val="left"/>
      <w:lvlText w:val="%1."/>
      <w:numFmt w:val="decimal"/>
      <w:start w:val="10"/>
    </w:lvl>
  </w:abstractNum>
  <w:abstractNum w:abstractNumId="103">
    <w:nsid w:val="23D86AAC"/>
    <w:multiLevelType w:val="hybridMultilevel"/>
    <w:lvl w:ilvl="0">
      <w:lvlJc w:val="left"/>
      <w:lvlText w:val="(%1)"/>
      <w:numFmt w:val="lowerLetter"/>
      <w:start w:val="2"/>
    </w:lvl>
    <w:lvl w:ilvl="1">
      <w:lvlJc w:val="left"/>
      <w:lvlText w:val="(%2)"/>
      <w:numFmt w:val="lowerLetter"/>
      <w:start w:val="61"/>
    </w:lvl>
  </w:abstractNum>
  <w:abstractNum w:abstractNumId="104">
    <w:nsid w:val="45E6D486"/>
    <w:multiLevelType w:val="hybridMultilevel"/>
    <w:lvl w:ilvl="0">
      <w:lvlJc w:val="left"/>
      <w:lvlText w:val="%1."/>
      <w:numFmt w:val="decimal"/>
      <w:start w:val="10"/>
    </w:lvl>
    <w:lvl w:ilvl="1">
      <w:lvlJc w:val="left"/>
      <w:lvlText w:val="(%2)"/>
      <w:numFmt w:val="lowerLetter"/>
      <w:start w:val="2"/>
    </w:lvl>
    <w:lvl w:ilvl="2">
      <w:lvlJc w:val="left"/>
      <w:lvlText w:val="(%3)"/>
      <w:numFmt w:val="lowerLetter"/>
      <w:start w:val="22"/>
    </w:lvl>
  </w:abstractNum>
  <w:abstractNum w:abstractNumId="105">
    <w:nsid w:val="5C10FE21"/>
    <w:multiLevelType w:val="hybridMultilevel"/>
    <w:lvl w:ilvl="0">
      <w:lvlJc w:val="left"/>
      <w:lvlText w:val="(%1)"/>
      <w:numFmt w:val="lowerLetter"/>
      <w:start w:val="3"/>
    </w:lvl>
  </w:abstractNum>
  <w:abstractNum w:abstractNumId="106">
    <w:nsid w:val="E7FFA2B"/>
    <w:multiLevelType w:val="hybridMultilevel"/>
    <w:lvl w:ilvl="0">
      <w:lvlJc w:val="left"/>
      <w:lvlText w:val="%1."/>
      <w:numFmt w:val="decimal"/>
      <w:start w:val="10"/>
    </w:lvl>
  </w:abstractNum>
  <w:abstractNum w:abstractNumId="107">
    <w:nsid w:val="3C5991AA"/>
    <w:multiLevelType w:val="hybridMultilevel"/>
    <w:lvl w:ilvl="0">
      <w:lvlJc w:val="left"/>
      <w:lvlText w:val="(%1)"/>
      <w:numFmt w:val="lowerLetter"/>
      <w:start w:val="3"/>
    </w:lvl>
  </w:abstractNum>
  <w:abstractNum w:abstractNumId="108">
    <w:nsid w:val="4BD8591A"/>
    <w:multiLevelType w:val="hybridMultilevel"/>
    <w:lvl w:ilvl="0">
      <w:lvlJc w:val="left"/>
      <w:lvlText w:val="%1."/>
      <w:numFmt w:val="decimal"/>
      <w:start w:val="11"/>
    </w:lvl>
  </w:abstractNum>
  <w:abstractNum w:abstractNumId="109">
    <w:nsid w:val="78DF6A55"/>
    <w:multiLevelType w:val="hybridMultilevel"/>
    <w:lvl w:ilvl="0">
      <w:lvlJc w:val="left"/>
      <w:lvlText w:val="%1."/>
      <w:numFmt w:val="decimal"/>
      <w:start w:val="11"/>
    </w:lvl>
  </w:abstractNum>
  <w:abstractNum w:abstractNumId="110">
    <w:nsid w:val="39B7AAA2"/>
    <w:multiLevelType w:val="hybridMultilevel"/>
    <w:lvl w:ilvl="0">
      <w:lvlJc w:val="left"/>
      <w:lvlText w:val="%1."/>
      <w:numFmt w:val="decimal"/>
      <w:start w:val="11"/>
    </w:lvl>
  </w:abstractNum>
  <w:abstractNum w:abstractNumId="111">
    <w:nsid w:val="2B0D8DBE"/>
    <w:multiLevelType w:val="hybridMultilevel"/>
    <w:lvl w:ilvl="0">
      <w:lvlJc w:val="left"/>
      <w:lvlText w:val="%1."/>
      <w:numFmt w:val="decimal"/>
      <w:start w:val="12"/>
    </w:lvl>
  </w:abstractNum>
  <w:abstractNum w:abstractNumId="112">
    <w:nsid w:val="6C80EC70"/>
    <w:multiLevelType w:val="hybridMultilevel"/>
    <w:lvl w:ilvl="0">
      <w:lvlJc w:val="left"/>
      <w:lvlText w:val="%1."/>
      <w:numFmt w:val="decimal"/>
      <w:start w:val="13"/>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2"/>
    </w:lvl>
  </w:abstractNum>
  <w:abstractNum w:abstractNumId="115">
    <w:nsid w:val="2C27173B"/>
    <w:multiLevelType w:val="hybridMultilevel"/>
    <w:lvl w:ilvl="0">
      <w:lvlJc w:val="left"/>
      <w:lvlText w:val="(%1)"/>
      <w:numFmt w:val="lowerLetter"/>
      <w:start w:val="3"/>
    </w:lvl>
  </w:abstractNum>
  <w:abstractNum w:abstractNumId="116">
    <w:nsid w:val="4C9B0904"/>
    <w:multiLevelType w:val="hybridMultilevel"/>
    <w:lvl w:ilvl="0">
      <w:lvlJc w:val="left"/>
      <w:lvlText w:val="%1."/>
      <w:numFmt w:val="decimal"/>
      <w:start w:val="14"/>
    </w:lvl>
  </w:abstractNum>
  <w:abstractNum w:abstractNumId="117">
    <w:nsid w:val="6AA7B75C"/>
    <w:multiLevelType w:val="hybridMultilevel"/>
    <w:lvl w:ilvl="0">
      <w:lvlJc w:val="left"/>
      <w:lvlText w:val="(%1)"/>
      <w:numFmt w:val="lowerLetter"/>
      <w:start w:val="1"/>
    </w:lvl>
  </w:abstractNum>
  <w:abstractNum w:abstractNumId="118">
    <w:nsid w:val="1DF029D3"/>
    <w:multiLevelType w:val="hybridMultilevel"/>
    <w:lvl w:ilvl="0">
      <w:lvlJc w:val="left"/>
      <w:lvlText w:val="%1."/>
      <w:numFmt w:val="decimal"/>
      <w:start w:val="15"/>
    </w:lvl>
  </w:abstractNum>
  <w:abstractNum w:abstractNumId="119">
    <w:nsid w:val="5675FF36"/>
    <w:multiLevelType w:val="hybridMultilevel"/>
    <w:lvl w:ilvl="0">
      <w:lvlJc w:val="left"/>
      <w:lvlText w:val="%1."/>
      <w:numFmt w:val="decimal"/>
      <w:start w:val="16"/>
    </w:lvl>
  </w:abstractNum>
  <w:abstractNum w:abstractNumId="120">
    <w:nsid w:val="3DD15094"/>
    <w:multiLevelType w:val="hybridMultilevel"/>
    <w:lvl w:ilvl="0">
      <w:lvlJc w:val="left"/>
      <w:lvlText w:val="•"/>
      <w:numFmt w:val="bullet"/>
      <w:start w:val="1"/>
    </w:lvl>
    <w:lvl w:ilvl="1">
      <w:lvlJc w:val="left"/>
      <w:lvlText w:val=" "/>
      <w:numFmt w:val="bullet"/>
      <w:start w:val="1"/>
    </w:lvl>
    <w:lvl w:ilvl="2">
      <w:lvlJc w:val="left"/>
      <w:lvlText w:val=" "/>
      <w:numFmt w:val="bullet"/>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2025-04-30T19:31:41Z</dcterms:created>
  <dcterms:modified xsi:type="dcterms:W3CDTF">2025-04-30T19:31:41Z</dcterms:modified>
</cp:coreProperties>
</file>