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-231140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-594360</wp:posOffset>
            </wp:positionV>
            <wp:extent cx="8255" cy="5949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4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-602615</wp:posOffset>
            </wp:positionV>
            <wp:extent cx="8255" cy="603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-578485</wp:posOffset>
            </wp:positionV>
            <wp:extent cx="1270000" cy="554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2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2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Kovler Benjamin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7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Green Thumb Industries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GTII/GTBIF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325 WEST HURON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03/27/2020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412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-5" w:right="680" w:firstLine="5"/>
        <w:spacing w:after="0" w:line="234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7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&amp; CEO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5"/>
            <w:col w:w="335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60654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-2475230</wp:posOffset>
            </wp:positionH>
            <wp:positionV relativeFrom="paragraph">
              <wp:posOffset>179070</wp:posOffset>
            </wp:positionV>
            <wp:extent cx="6970395" cy="86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-15240</wp:posOffset>
            </wp:positionV>
            <wp:extent cx="7035165" cy="19697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196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9.22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03/27/2021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Subordinate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8"/>
              </w:rPr>
              <w:t>81,521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81,521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03/27/2025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81,521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price is denominated and reported in Canadian dollars.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granted on March 27, 2020 and vests in one third increments annually over a three-year period beginning on the first anniversary of the grant date.</w:t>
      </w:r>
    </w:p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Kathryn A. Lloyd, Attorney- 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03/31/2020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296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-15240</wp:posOffset>
            </wp:positionV>
            <wp:extent cx="2959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-79375</wp:posOffset>
            </wp:positionV>
            <wp:extent cx="4762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40" w:hanging="1"/>
        <w:spacing w:after="0" w:line="326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03392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2020-03-31T16:22:45Z</dcterms:created>
  <dcterms:modified xsi:type="dcterms:W3CDTF">2020-03-31T16:22:45Z</dcterms:modified>
</cp:coreProperties>
</file>