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right="5360"/>
        <w:spacing w:after="0" w:line="270" w:lineRule="auto"/>
        <w:rPr>
          <w:sz w:val="20"/>
          <w:szCs w:val="20"/>
          <w:color w:val="auto"/>
        </w:rPr>
      </w:pPr>
      <w:r>
        <w:rPr>
          <w:rFonts w:ascii="Times New Roman" w:cs="Times New Roman" w:eastAsia="Times New Roman" w:hAnsi="Times New Roman"/>
          <w:sz w:val="29"/>
          <w:szCs w:val="29"/>
          <w:color w:val="auto"/>
        </w:rPr>
        <w:drawing>
          <wp:anchor simplePos="0" relativeHeight="251657728" behindDoc="1" locked="0" layoutInCell="0" allowOverlap="1">
            <wp:simplePos x="0" y="0"/>
            <wp:positionH relativeFrom="page">
              <wp:posOffset>172720</wp:posOffset>
            </wp:positionH>
            <wp:positionV relativeFrom="page">
              <wp:posOffset>121920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page">
              <wp:posOffset>172720</wp:posOffset>
            </wp:positionH>
            <wp:positionV relativeFrom="page">
              <wp:posOffset>327660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t>SECURITIES AND EXCHANGE COMMISSION Washington, D.C. 20549</w:t>
      </w:r>
    </w:p>
    <w:p>
      <w:pPr>
        <w:spacing w:after="0" w:line="27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2"/>
          <w:szCs w:val="22"/>
          <w:color w:val="auto"/>
        </w:rPr>
        <w:t>SCHEDULE 13G</w:t>
      </w:r>
    </w:p>
    <w:p>
      <w:pPr>
        <w:spacing w:after="0" w:line="35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3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4"/>
          <w:szCs w:val="14"/>
          <w:b w:val="1"/>
          <w:bCs w:val="1"/>
          <w:color w:val="auto"/>
        </w:rPr>
        <w:t xml:space="preserve">(Amendment No. </w:t>
      </w:r>
      <w:r>
        <w:rPr>
          <w:rFonts w:ascii="Times New Roman" w:cs="Times New Roman" w:eastAsia="Times New Roman" w:hAnsi="Times New Roman"/>
          <w:sz w:val="14"/>
          <w:szCs w:val="14"/>
          <w:b w:val="1"/>
          <w:bCs w:val="1"/>
          <w:color w:val="0000FF"/>
        </w:rPr>
        <w:t>2</w:t>
      </w:r>
      <w:r>
        <w:rPr>
          <w:rFonts w:ascii="Times New Roman" w:cs="Times New Roman" w:eastAsia="Times New Roman" w:hAnsi="Times New Roman"/>
          <w:sz w:val="14"/>
          <w:szCs w:val="14"/>
          <w:b w:val="1"/>
          <w:bCs w:val="1"/>
          <w:color w:val="auto"/>
        </w:rPr>
        <w:t>)*</w:t>
      </w:r>
    </w:p>
    <w:p>
      <w:pPr>
        <w:spacing w:after="0" w:line="361" w:lineRule="exact"/>
        <w:rPr>
          <w:sz w:val="24"/>
          <w:szCs w:val="24"/>
          <w:color w:val="auto"/>
        </w:rPr>
      </w:pPr>
    </w:p>
    <w:p>
      <w:pPr>
        <w:jc w:val="center"/>
        <w:ind w:right="5260"/>
        <w:spacing w:after="0"/>
        <w:rPr>
          <w:sz w:val="20"/>
          <w:szCs w:val="20"/>
          <w:color w:val="auto"/>
        </w:rPr>
      </w:pPr>
      <w:r>
        <w:rPr>
          <w:rFonts w:ascii="Times New Roman" w:cs="Times New Roman" w:eastAsia="Times New Roman" w:hAnsi="Times New Roman"/>
          <w:sz w:val="14"/>
          <w:szCs w:val="14"/>
          <w:b w:val="1"/>
          <w:bCs w:val="1"/>
          <w:color w:val="0000FF"/>
        </w:rPr>
        <w:t>Green Thumb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382016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20160" cy="36830"/>
                    </a:xfrm>
                    <a:prstGeom prst="rect">
                      <a:avLst/>
                    </a:prstGeom>
                    <a:noFill/>
                  </pic:spPr>
                </pic:pic>
              </a:graphicData>
            </a:graphic>
          </wp:anchor>
        </w:drawing>
      </w:r>
    </w:p>
    <w:p>
      <w:pPr>
        <w:spacing w:after="0" w:line="14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4"/>
          <w:szCs w:val="14"/>
          <w:b w:val="1"/>
          <w:bCs w:val="1"/>
          <w:color w:val="auto"/>
        </w:rPr>
        <w:t>(Name of Issuer)</w:t>
      </w:r>
    </w:p>
    <w:p>
      <w:pPr>
        <w:spacing w:after="0" w:line="361" w:lineRule="exact"/>
        <w:rPr>
          <w:sz w:val="24"/>
          <w:szCs w:val="24"/>
          <w:color w:val="auto"/>
        </w:rPr>
      </w:pPr>
    </w:p>
    <w:p>
      <w:pPr>
        <w:jc w:val="center"/>
        <w:ind w:right="5260"/>
        <w:spacing w:after="0"/>
        <w:rPr>
          <w:sz w:val="20"/>
          <w:szCs w:val="20"/>
          <w:color w:val="auto"/>
        </w:rPr>
      </w:pPr>
      <w:r>
        <w:rPr>
          <w:rFonts w:ascii="Times New Roman" w:cs="Times New Roman" w:eastAsia="Times New Roman" w:hAnsi="Times New Roman"/>
          <w:sz w:val="14"/>
          <w:szCs w:val="14"/>
          <w:b w:val="1"/>
          <w:bCs w:val="1"/>
          <w:color w:val="0000FF"/>
        </w:rPr>
        <w:t>Subordinate Voting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382016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20160" cy="36830"/>
                    </a:xfrm>
                    <a:prstGeom prst="rect">
                      <a:avLst/>
                    </a:prstGeom>
                    <a:noFill/>
                  </pic:spPr>
                </pic:pic>
              </a:graphicData>
            </a:graphic>
          </wp:anchor>
        </w:drawing>
      </w:r>
    </w:p>
    <w:p>
      <w:pPr>
        <w:spacing w:after="0" w:line="143"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361" w:lineRule="exact"/>
        <w:rPr>
          <w:sz w:val="24"/>
          <w:szCs w:val="24"/>
          <w:color w:val="auto"/>
        </w:rPr>
      </w:pPr>
    </w:p>
    <w:p>
      <w:pPr>
        <w:jc w:val="center"/>
        <w:ind w:right="5260"/>
        <w:spacing w:after="0"/>
        <w:rPr>
          <w:sz w:val="20"/>
          <w:szCs w:val="20"/>
          <w:color w:val="auto"/>
        </w:rPr>
      </w:pPr>
      <w:r>
        <w:rPr>
          <w:rFonts w:ascii="Times New Roman" w:cs="Times New Roman" w:eastAsia="Times New Roman" w:hAnsi="Times New Roman"/>
          <w:sz w:val="14"/>
          <w:szCs w:val="14"/>
          <w:b w:val="1"/>
          <w:bCs w:val="1"/>
          <w:color w:val="0000FF"/>
        </w:rPr>
        <w:t>39342L108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382016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20160" cy="36830"/>
                    </a:xfrm>
                    <a:prstGeom prst="rect">
                      <a:avLst/>
                    </a:prstGeom>
                    <a:noFill/>
                  </pic:spPr>
                </pic:pic>
              </a:graphicData>
            </a:graphic>
          </wp:anchor>
        </w:drawing>
      </w:r>
    </w:p>
    <w:p>
      <w:pPr>
        <w:spacing w:after="0" w:line="143"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361" w:lineRule="exact"/>
        <w:rPr>
          <w:sz w:val="24"/>
          <w:szCs w:val="24"/>
          <w:color w:val="auto"/>
        </w:rPr>
      </w:pPr>
    </w:p>
    <w:p>
      <w:pPr>
        <w:jc w:val="center"/>
        <w:ind w:right="5260"/>
        <w:spacing w:after="0"/>
        <w:rPr>
          <w:sz w:val="20"/>
          <w:szCs w:val="20"/>
          <w:color w:val="auto"/>
        </w:rPr>
      </w:pPr>
      <w:r>
        <w:rPr>
          <w:rFonts w:ascii="Times New Roman" w:cs="Times New Roman" w:eastAsia="Times New Roman" w:hAnsi="Times New Roman"/>
          <w:sz w:val="14"/>
          <w:szCs w:val="14"/>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382016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20160" cy="36830"/>
                    </a:xfrm>
                    <a:prstGeom prst="rect">
                      <a:avLst/>
                    </a:prstGeom>
                    <a:noFill/>
                  </pic:spPr>
                </pic:pic>
              </a:graphicData>
            </a:graphic>
          </wp:anchor>
        </w:drawing>
      </w:r>
    </w:p>
    <w:p>
      <w:pPr>
        <w:spacing w:after="0" w:line="143"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38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Check the appropriate box to designate the rule pursuant to which this Schedule is filed:</w:t>
      </w:r>
    </w:p>
    <w:p>
      <w:pPr>
        <w:spacing w:after="0" w:line="46"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-95885</wp:posOffset>
            </wp:positionV>
            <wp:extent cx="85725" cy="85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6"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-95885</wp:posOffset>
            </wp:positionV>
            <wp:extent cx="85725" cy="85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6"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-95885</wp:posOffset>
            </wp:positionV>
            <wp:extent cx="85725" cy="85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SCHEDULE 13G</w:t>
      </w:r>
    </w:p>
    <w:p>
      <w:pPr>
        <w:spacing w:after="0" w:line="20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CUSIP No. </w:t>
      </w:r>
      <w:r>
        <w:rPr>
          <w:rFonts w:ascii="Times New Roman" w:cs="Times New Roman" w:eastAsia="Times New Roman" w:hAnsi="Times New Roman"/>
          <w:sz w:val="12"/>
          <w:szCs w:val="12"/>
          <w:color w:val="auto"/>
        </w:rPr>
        <w:t>39342L108</w:t>
      </w:r>
    </w:p>
    <w:p>
      <w:pPr>
        <w:spacing w:after="0" w:line="38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4"/>
          <w:szCs w:val="14"/>
          <w:color w:val="auto"/>
        </w:rPr>
        <w:t>Names of Reporting Persons</w:t>
      </w:r>
    </w:p>
    <w:p>
      <w:pPr>
        <w:spacing w:after="0" w:line="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1</w:t>
      </w:r>
    </w:p>
    <w:p>
      <w:pPr>
        <w:spacing w:after="0" w:line="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4"/>
          <w:szCs w:val="14"/>
          <w:color w:val="auto"/>
        </w:rPr>
        <w:t>NOMURA HOLDINGS INC</w:t>
      </w:r>
    </w:p>
    <w:p>
      <w:pPr>
        <w:spacing w:after="0" w:line="2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4"/>
          <w:szCs w:val="14"/>
          <w:color w:val="auto"/>
        </w:rPr>
        <w:t>Check the appropriate box if a member of a Group (see instructions)</w:t>
      </w:r>
    </w:p>
    <w:p>
      <w:pPr>
        <w:spacing w:after="0" w:line="26" w:lineRule="exact"/>
        <w:rPr>
          <w:sz w:val="24"/>
          <w:szCs w:val="24"/>
          <w:color w:val="auto"/>
        </w:rPr>
      </w:pPr>
    </w:p>
    <w:p>
      <w:pPr>
        <w:ind w:left="940" w:hanging="921"/>
        <w:spacing w:after="0"/>
        <w:tabs>
          <w:tab w:leader="none" w:pos="940" w:val="left"/>
        </w:tabs>
        <w:numPr>
          <w:ilvl w:val="0"/>
          <w:numId w:val="1"/>
        </w:numPr>
        <w:rPr>
          <w:rFonts w:ascii="Times New Roman" w:cs="Times New Roman" w:eastAsia="Times New Roman" w:hAnsi="Times New Roman"/>
          <w:sz w:val="29"/>
          <w:szCs w:val="29"/>
          <w:color w:val="auto"/>
          <w:vertAlign w:val="superscript"/>
        </w:rPr>
      </w:pPr>
      <w:r>
        <w:rPr>
          <w:sz w:val="1"/>
          <w:szCs w:val="1"/>
          <w:color w:val="auto"/>
        </w:rPr>
        <w:drawing>
          <wp:inline distT="0" distB="0" distL="0" distR="0">
            <wp:extent cx="85725" cy="857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(a)</w:t>
      </w:r>
    </w:p>
    <w:p>
      <w:pPr>
        <w:ind w:left="940"/>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85725" cy="857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(b)</w:t>
      </w:r>
    </w:p>
    <w:p>
      <w:pPr>
        <w:spacing w:after="0" w:line="23" w:lineRule="exact"/>
        <w:rPr>
          <w:sz w:val="24"/>
          <w:szCs w:val="24"/>
          <w:color w:val="auto"/>
        </w:rPr>
      </w:pPr>
    </w:p>
    <w:p>
      <w:pPr>
        <w:ind w:left="940" w:hanging="921"/>
        <w:spacing w:after="0"/>
        <w:tabs>
          <w:tab w:leader="none" w:pos="9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 Use Only</w:t>
      </w:r>
    </w:p>
    <w:p>
      <w:pPr>
        <w:spacing w:after="0" w:line="37"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4"/>
          <w:szCs w:val="14"/>
          <w:color w:val="auto"/>
        </w:rPr>
        <w:t>Citizenship or Place of Organization</w:t>
      </w:r>
    </w:p>
    <w:p>
      <w:pPr>
        <w:spacing w:after="0" w:line="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4</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840" w:type="dxa"/>
            <w:vAlign w:val="bottom"/>
          </w:tcPr>
          <w:p>
            <w:pPr>
              <w:spacing w:after="0"/>
              <w:rPr>
                <w:sz w:val="16"/>
                <w:szCs w:val="16"/>
                <w:color w:val="auto"/>
              </w:rPr>
            </w:pP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JAPAN</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Sole Voting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Number of</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Shared Voting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Beneficially</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7,314,633.00</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Owned by</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Sole Dispositive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Each</w:t>
            </w: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Reporting</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Person With:</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Shared Dispositive</w:t>
            </w:r>
          </w:p>
        </w:tc>
        <w:tc>
          <w:tcPr>
            <w:tcW w:w="0" w:type="dxa"/>
            <w:vAlign w:val="bottom"/>
          </w:tcPr>
          <w:p>
            <w:pPr>
              <w:spacing w:after="0"/>
              <w:rPr>
                <w:sz w:val="1"/>
                <w:szCs w:val="1"/>
                <w:color w:val="auto"/>
              </w:rPr>
            </w:pPr>
          </w:p>
        </w:tc>
      </w:tr>
      <w:tr>
        <w:trPr>
          <w:trHeight w:val="324"/>
        </w:trPr>
        <w:tc>
          <w:tcPr>
            <w:tcW w:w="840" w:type="dxa"/>
            <w:vAlign w:val="bottom"/>
          </w:tcPr>
          <w:p>
            <w:pPr>
              <w:spacing w:after="0"/>
              <w:rPr>
                <w:sz w:val="24"/>
                <w:szCs w:val="24"/>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28"/>
                <w:szCs w:val="28"/>
                <w:color w:val="auto"/>
                <w:vertAlign w:val="subscript"/>
              </w:rPr>
              <w:t>8</w:t>
            </w:r>
            <w:r>
              <w:rPr>
                <w:rFonts w:ascii="Times New Roman" w:cs="Times New Roman" w:eastAsia="Times New Roman" w:hAnsi="Times New Roman"/>
                <w:sz w:val="14"/>
                <w:szCs w:val="14"/>
                <w:color w:val="auto"/>
              </w:rPr>
              <w:t xml:space="preserve"> Power</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7,314,633.00</w:t>
            </w:r>
          </w:p>
        </w:tc>
        <w:tc>
          <w:tcPr>
            <w:tcW w:w="0" w:type="dxa"/>
            <w:vAlign w:val="bottom"/>
          </w:tcPr>
          <w:p>
            <w:pPr>
              <w:spacing w:after="0"/>
              <w:rPr>
                <w:sz w:val="1"/>
                <w:szCs w:val="1"/>
                <w:color w:val="auto"/>
              </w:rPr>
            </w:pPr>
          </w:p>
        </w:tc>
      </w:tr>
      <w:tr>
        <w:trPr>
          <w:trHeight w:val="225"/>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9</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Aggregate Amount Beneficially Owned by Each Reporting Person</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7,314,633.00</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144"/>
        </w:trPr>
        <w:tc>
          <w:tcPr>
            <w:tcW w:w="840" w:type="dxa"/>
            <w:vAlign w:val="bottom"/>
            <w:vMerge w:val="continue"/>
          </w:tcPr>
          <w:p>
            <w:pPr>
              <w:spacing w:after="0"/>
              <w:rPr>
                <w:sz w:val="12"/>
                <w:szCs w:val="12"/>
                <w:color w:val="auto"/>
              </w:rPr>
            </w:pPr>
          </w:p>
        </w:tc>
        <w:tc>
          <w:tcPr>
            <w:tcW w:w="5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11</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Percent of class represented by amount in row (9)</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3.4 %</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12</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Type of Reporting Person (See Instructions)</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HC</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594995</wp:posOffset>
            </wp:positionH>
            <wp:positionV relativeFrom="paragraph">
              <wp:posOffset>-753110</wp:posOffset>
            </wp:positionV>
            <wp:extent cx="85725" cy="85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141" w:lineRule="exact"/>
        <w:rPr>
          <w:sz w:val="24"/>
          <w:szCs w:val="24"/>
          <w:color w:val="auto"/>
        </w:rPr>
      </w:pPr>
    </w:p>
    <w:p>
      <w:pPr>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Comment for Type of Reporting Person: </w:t>
      </w:r>
      <w:r>
        <w:rPr>
          <w:rFonts w:ascii="Times New Roman" w:cs="Times New Roman" w:eastAsia="Times New Roman" w:hAnsi="Times New Roman"/>
          <w:sz w:val="14"/>
          <w:szCs w:val="14"/>
          <w:color w:val="auto"/>
        </w:rPr>
        <w:t>(1) This represents 7,314,633 Subordinate Voting Shares beneficially owned by Nomura Global Financial Products, Inc. ("NGFP "). NGFP is a wholly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owned subsidiary of Nomura Holdings, Inc., which accordingly may be deemed to beneficially own the Subordinate Voting Shares beneficially owned by NGFP. (2) The percent of class is calculated based on 212,043,849 Subordinate Voting Shares outstanding as of March 31, 2025, as reported in the Issuer's quarterly report on Form 10-Q for the fiscal quarter ended March 31, 2025 filed with the SEC on May 8, 2025.</w:t>
      </w:r>
    </w:p>
    <w:p>
      <w:pPr>
        <w:sectPr>
          <w:pgSz w:w="11900" w:h="16838" w:orient="portrait"/>
          <w:cols w:equalWidth="0" w:num="1">
            <w:col w:w="11280"/>
          </w:cols>
          <w:pgMar w:left="300" w:top="625" w:right="319" w:bottom="0" w:gutter="0" w:footer="0" w:header="0"/>
        </w:sectPr>
      </w:pPr>
    </w:p>
    <w:bookmarkStart w:id="1" w:name="page2"/>
    <w:bookmarkEnd w:id="1"/>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SCHEDULE 13G</w:t>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CUSIP No. </w:t>
      </w:r>
      <w:r>
        <w:rPr>
          <w:rFonts w:ascii="Times New Roman" w:cs="Times New Roman" w:eastAsia="Times New Roman" w:hAnsi="Times New Roman"/>
          <w:sz w:val="12"/>
          <w:szCs w:val="12"/>
          <w:color w:val="auto"/>
        </w:rPr>
        <w:t>39342L108</w:t>
      </w:r>
    </w:p>
    <w:p>
      <w:pPr>
        <w:spacing w:after="0" w:line="3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Names of Reporting Persons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NOMURA GLOBAL FINANCIAL PRODUCTS INC</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Check the appropriate box if a member of a Group (see instructions)</w:t>
      </w:r>
    </w:p>
    <w:p>
      <w:pPr>
        <w:spacing w:after="0" w:line="26" w:lineRule="exact"/>
        <w:rPr>
          <w:sz w:val="20"/>
          <w:szCs w:val="20"/>
          <w:color w:val="auto"/>
        </w:rPr>
      </w:pPr>
    </w:p>
    <w:p>
      <w:pPr>
        <w:ind w:left="940" w:hanging="921"/>
        <w:spacing w:after="0"/>
        <w:tabs>
          <w:tab w:leader="none" w:pos="940" w:val="left"/>
        </w:tabs>
        <w:numPr>
          <w:ilvl w:val="0"/>
          <w:numId w:val="3"/>
        </w:numPr>
        <w:rPr>
          <w:rFonts w:ascii="Times New Roman" w:cs="Times New Roman" w:eastAsia="Times New Roman" w:hAnsi="Times New Roman"/>
          <w:sz w:val="29"/>
          <w:szCs w:val="29"/>
          <w:color w:val="auto"/>
          <w:vertAlign w:val="superscript"/>
        </w:rPr>
      </w:pPr>
      <w:r>
        <w:rPr>
          <w:sz w:val="1"/>
          <w:szCs w:val="1"/>
          <w:color w:val="auto"/>
        </w:rPr>
        <w:drawing>
          <wp:inline distT="0" distB="0" distL="0" distR="0">
            <wp:extent cx="85725" cy="857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(a)</w:t>
      </w:r>
    </w:p>
    <w:p>
      <w:pPr>
        <w:ind w:left="940"/>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85725" cy="857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(b)</w:t>
      </w:r>
    </w:p>
    <w:p>
      <w:pPr>
        <w:spacing w:after="0" w:line="23" w:lineRule="exact"/>
        <w:rPr>
          <w:sz w:val="20"/>
          <w:szCs w:val="20"/>
          <w:color w:val="auto"/>
        </w:rPr>
      </w:pPr>
    </w:p>
    <w:p>
      <w:pPr>
        <w:ind w:left="940" w:hanging="921"/>
        <w:spacing w:after="0"/>
        <w:tabs>
          <w:tab w:leader="none" w:pos="9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 Use Only</w:t>
      </w:r>
    </w:p>
    <w:p>
      <w:pPr>
        <w:spacing w:after="0" w:line="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Citizenship or Place of Organization</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840" w:type="dxa"/>
            <w:vAlign w:val="bottom"/>
          </w:tcPr>
          <w:p>
            <w:pPr>
              <w:spacing w:after="0"/>
              <w:rPr>
                <w:sz w:val="16"/>
                <w:szCs w:val="16"/>
                <w:color w:val="auto"/>
              </w:rPr>
            </w:pP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Sole Voting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Number of</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Shared Voting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Beneficially</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7,314,633.00</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Owned by</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Sole Dispositive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Each</w:t>
            </w: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Reporting</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Person With:</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Shared Dispositive</w:t>
            </w:r>
          </w:p>
        </w:tc>
        <w:tc>
          <w:tcPr>
            <w:tcW w:w="0" w:type="dxa"/>
            <w:vAlign w:val="bottom"/>
          </w:tcPr>
          <w:p>
            <w:pPr>
              <w:spacing w:after="0"/>
              <w:rPr>
                <w:sz w:val="1"/>
                <w:szCs w:val="1"/>
                <w:color w:val="auto"/>
              </w:rPr>
            </w:pPr>
          </w:p>
        </w:tc>
      </w:tr>
      <w:tr>
        <w:trPr>
          <w:trHeight w:val="324"/>
        </w:trPr>
        <w:tc>
          <w:tcPr>
            <w:tcW w:w="840" w:type="dxa"/>
            <w:vAlign w:val="bottom"/>
          </w:tcPr>
          <w:p>
            <w:pPr>
              <w:spacing w:after="0"/>
              <w:rPr>
                <w:sz w:val="24"/>
                <w:szCs w:val="24"/>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28"/>
                <w:szCs w:val="28"/>
                <w:color w:val="auto"/>
                <w:vertAlign w:val="subscript"/>
              </w:rPr>
              <w:t>8</w:t>
            </w:r>
            <w:r>
              <w:rPr>
                <w:rFonts w:ascii="Times New Roman" w:cs="Times New Roman" w:eastAsia="Times New Roman" w:hAnsi="Times New Roman"/>
                <w:sz w:val="14"/>
                <w:szCs w:val="14"/>
                <w:color w:val="auto"/>
              </w:rPr>
              <w:t xml:space="preserve"> Power</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7,314,633.00</w:t>
            </w:r>
          </w:p>
        </w:tc>
        <w:tc>
          <w:tcPr>
            <w:tcW w:w="0" w:type="dxa"/>
            <w:vAlign w:val="bottom"/>
          </w:tcPr>
          <w:p>
            <w:pPr>
              <w:spacing w:after="0"/>
              <w:rPr>
                <w:sz w:val="1"/>
                <w:szCs w:val="1"/>
                <w:color w:val="auto"/>
              </w:rPr>
            </w:pPr>
          </w:p>
        </w:tc>
      </w:tr>
      <w:tr>
        <w:trPr>
          <w:trHeight w:val="225"/>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9</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Aggregate Amount Beneficially Owned by Each Reporting Person</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7,314,633.00</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144"/>
        </w:trPr>
        <w:tc>
          <w:tcPr>
            <w:tcW w:w="840" w:type="dxa"/>
            <w:vAlign w:val="bottom"/>
            <w:vMerge w:val="continue"/>
          </w:tcPr>
          <w:p>
            <w:pPr>
              <w:spacing w:after="0"/>
              <w:rPr>
                <w:sz w:val="12"/>
                <w:szCs w:val="12"/>
                <w:color w:val="auto"/>
              </w:rPr>
            </w:pPr>
          </w:p>
        </w:tc>
        <w:tc>
          <w:tcPr>
            <w:tcW w:w="5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11</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Percent of class represented by amount in row (9)</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3.4 %</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12</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Type of Reporting Person (See Instructions)</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BD</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-753110</wp:posOffset>
            </wp:positionV>
            <wp:extent cx="85725" cy="85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141" w:lineRule="exact"/>
        <w:rPr>
          <w:sz w:val="20"/>
          <w:szCs w:val="20"/>
          <w:color w:val="auto"/>
        </w:rPr>
      </w:pPr>
    </w:p>
    <w:p>
      <w:pPr>
        <w:ind w:right="140"/>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Comment for Type of Reporting Person: </w:t>
      </w:r>
      <w:r>
        <w:rPr>
          <w:rFonts w:ascii="Times New Roman" w:cs="Times New Roman" w:eastAsia="Times New Roman" w:hAnsi="Times New Roman"/>
          <w:sz w:val="14"/>
          <w:szCs w:val="14"/>
          <w:color w:val="auto"/>
        </w:rPr>
        <w:t>(3) The percent of class is calculated based on 212,043,849 Subordinate Voting Shares outstanding as of March 31, 2025, as reported in the Issuer's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quarterly report on Form 10-Q for the fiscal quarter ended March 31, 2025 filed with the SEC on May 8, 2025.</w:t>
      </w: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SCHEDULE 13G</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Item 1.</w:t>
      </w:r>
    </w:p>
    <w:p>
      <w:pPr>
        <w:spacing w:after="0" w:line="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Name of issuer:</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Green Thumb Industries Inc.</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Address of issuer's principal executive offices: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325 West Huron Street, Suite 700, Chicago, Illinois, 60654</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Item 2.</w:t>
      </w:r>
    </w:p>
    <w:p>
      <w:pPr>
        <w:spacing w:after="0" w:line="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Name of person filing:</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Nomura Holdings, Inc. Nomura Global Financial Products, Inc.</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Address or principal business office or, if none, residence:</w:t>
      </w:r>
    </w:p>
    <w:p>
      <w:pPr>
        <w:spacing w:after="0" w:line="163" w:lineRule="exact"/>
        <w:rPr>
          <w:sz w:val="20"/>
          <w:szCs w:val="20"/>
          <w:color w:val="auto"/>
        </w:rPr>
      </w:pPr>
    </w:p>
    <w:p>
      <w:pPr>
        <w:ind w:left="940" w:hanging="921"/>
        <w:spacing w:after="0"/>
        <w:tabs>
          <w:tab w:leader="none" w:pos="940" w:val="left"/>
        </w:tabs>
        <w:numPr>
          <w:ilvl w:val="0"/>
          <w:numId w:val="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3"/>
          <w:szCs w:val="13"/>
          <w:color w:val="auto"/>
        </w:rPr>
        <w:t>Nomura Holdings, Inc.: 13-1, Nihonbashi 1-chome, Chuo-ku, Tokyo 103-8645, Japan Nomura Global Financial Products, Inc.: Worldwide Plaza 309 West 49th Street New York, NY 10019</w:t>
      </w:r>
    </w:p>
    <w:p>
      <w:pPr>
        <w:spacing w:after="0" w:line="6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Citizenship:</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60" w:type="dxa"/>
            <w:vAlign w:val="bottom"/>
          </w:tcPr>
          <w:p>
            <w:pPr>
              <w:spacing w:after="0"/>
              <w:rPr>
                <w:sz w:val="15"/>
                <w:szCs w:val="15"/>
                <w:color w:val="auto"/>
              </w:rPr>
            </w:pPr>
          </w:p>
        </w:tc>
        <w:tc>
          <w:tcPr>
            <w:tcW w:w="9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Nomura Holdings, Inc.: Japan Nomura Global Financial Products, Inc.: Delaware</w:t>
            </w:r>
          </w:p>
        </w:tc>
        <w:tc>
          <w:tcPr>
            <w:tcW w:w="0" w:type="dxa"/>
            <w:vAlign w:val="bottom"/>
          </w:tcPr>
          <w:p>
            <w:pPr>
              <w:spacing w:after="0"/>
              <w:rPr>
                <w:sz w:val="1"/>
                <w:szCs w:val="1"/>
                <w:color w:val="auto"/>
              </w:rPr>
            </w:pPr>
          </w:p>
        </w:tc>
      </w:tr>
      <w:tr>
        <w:trPr>
          <w:trHeight w:val="188"/>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w:t>
            </w:r>
          </w:p>
        </w:tc>
        <w:tc>
          <w:tcPr>
            <w:tcW w:w="9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Title of class of securities:</w:t>
            </w:r>
          </w:p>
        </w:tc>
        <w:tc>
          <w:tcPr>
            <w:tcW w:w="0" w:type="dxa"/>
            <w:vAlign w:val="bottom"/>
          </w:tcPr>
          <w:p>
            <w:pPr>
              <w:spacing w:after="0"/>
              <w:rPr>
                <w:sz w:val="1"/>
                <w:szCs w:val="1"/>
                <w:color w:val="auto"/>
              </w:rPr>
            </w:pPr>
          </w:p>
        </w:tc>
      </w:tr>
      <w:tr>
        <w:trPr>
          <w:trHeight w:val="162"/>
        </w:trPr>
        <w:tc>
          <w:tcPr>
            <w:tcW w:w="660" w:type="dxa"/>
            <w:vAlign w:val="bottom"/>
            <w:vMerge w:val="continue"/>
          </w:tcPr>
          <w:p>
            <w:pPr>
              <w:spacing w:after="0"/>
              <w:rPr>
                <w:sz w:val="14"/>
                <w:szCs w:val="14"/>
                <w:color w:val="auto"/>
              </w:rPr>
            </w:pPr>
          </w:p>
        </w:tc>
        <w:tc>
          <w:tcPr>
            <w:tcW w:w="97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Subordinate Voting Shares, no par value</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9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w:t>
            </w:r>
          </w:p>
        </w:tc>
        <w:tc>
          <w:tcPr>
            <w:tcW w:w="9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CUSIP No.:</w:t>
            </w:r>
          </w:p>
        </w:tc>
        <w:tc>
          <w:tcPr>
            <w:tcW w:w="0" w:type="dxa"/>
            <w:vAlign w:val="bottom"/>
          </w:tcPr>
          <w:p>
            <w:pPr>
              <w:spacing w:after="0"/>
              <w:rPr>
                <w:sz w:val="1"/>
                <w:szCs w:val="1"/>
                <w:color w:val="auto"/>
              </w:rPr>
            </w:pPr>
          </w:p>
        </w:tc>
      </w:tr>
      <w:tr>
        <w:trPr>
          <w:trHeight w:val="162"/>
        </w:trPr>
        <w:tc>
          <w:tcPr>
            <w:tcW w:w="660" w:type="dxa"/>
            <w:vAlign w:val="bottom"/>
            <w:vMerge w:val="continue"/>
          </w:tcPr>
          <w:p>
            <w:pPr>
              <w:spacing w:after="0"/>
              <w:rPr>
                <w:sz w:val="14"/>
                <w:szCs w:val="14"/>
                <w:color w:val="auto"/>
              </w:rPr>
            </w:pPr>
          </w:p>
        </w:tc>
        <w:tc>
          <w:tcPr>
            <w:tcW w:w="97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39342L108</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9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Item 3.</w:t>
            </w:r>
          </w:p>
        </w:tc>
        <w:tc>
          <w:tcPr>
            <w:tcW w:w="9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If this statement is filed pursuant to §§ 240.13d-1(b) or 240.13d-2(b) or (c), check whether the person filing is a:</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(a)</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Broker or dealer registered under section 15 of the Act (15 U.S.C. 78o);</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Bank as defined in section 3(a)(6) of the Act (15 U.S.C. 78c);</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(c)</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Insurance company as defined in section 3(a)(19) of the Act (15 U.S.C. 78c);</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(d)</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Investment company registered under section 8 of the Investment Company Act of 1940 (15 U.S.C. 80a-8);</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(e)</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An investment adviser in accordance with § 240.13d-1(b)(1)(ii)(E);</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(f)</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An employee benefit plan or endowment fund in accordance with § 240.13d-1(b)(1)(ii)(F);</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(g)</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 parent holding company or control person in accordance with § 240.13d-1(b)(1)(ii)(G);</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(h)</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 savings associations as defined in Section 3(b) of the Federal Deposit Insurance Act (12 U.S.C. 1813);</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(i)</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 church plan that is excluded from the definition of an investment company under section 3(c)(14) of the Investment Company Act of 1940 (15 U.S.C. 80a-3);</w:t>
            </w:r>
          </w:p>
        </w:tc>
        <w:tc>
          <w:tcPr>
            <w:tcW w:w="0" w:type="dxa"/>
            <w:vAlign w:val="bottom"/>
          </w:tcPr>
          <w:p>
            <w:pPr>
              <w:spacing w:after="0"/>
              <w:rPr>
                <w:sz w:val="1"/>
                <w:szCs w:val="1"/>
                <w:color w:val="auto"/>
              </w:rPr>
            </w:pPr>
          </w:p>
        </w:tc>
      </w:tr>
      <w:tr>
        <w:trPr>
          <w:trHeight w:val="181"/>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(j)</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 non-U.S. institution in accordance with § 240.13d-1(b)(1)(ii)(J). If filing as a non-U.S. institution in accordance with § 240.13d-1(b)(1)(ii)(J),</w:t>
            </w:r>
          </w:p>
        </w:tc>
        <w:tc>
          <w:tcPr>
            <w:tcW w:w="0" w:type="dxa"/>
            <w:vAlign w:val="bottom"/>
          </w:tcPr>
          <w:p>
            <w:pPr>
              <w:spacing w:after="0"/>
              <w:rPr>
                <w:sz w:val="1"/>
                <w:szCs w:val="1"/>
                <w:color w:val="auto"/>
              </w:rPr>
            </w:pPr>
          </w:p>
        </w:tc>
      </w:tr>
      <w:tr>
        <w:trPr>
          <w:trHeight w:val="98"/>
        </w:trPr>
        <w:tc>
          <w:tcPr>
            <w:tcW w:w="660" w:type="dxa"/>
            <w:vAlign w:val="bottom"/>
            <w:vMerge w:val="continue"/>
          </w:tcPr>
          <w:p>
            <w:pPr>
              <w:spacing w:after="0"/>
              <w:rPr>
                <w:sz w:val="8"/>
                <w:szCs w:val="8"/>
                <w:color w:val="auto"/>
              </w:rPr>
            </w:pPr>
          </w:p>
        </w:tc>
        <w:tc>
          <w:tcPr>
            <w:tcW w:w="97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please specify the type of institution:</w:t>
            </w:r>
          </w:p>
        </w:tc>
        <w:tc>
          <w:tcPr>
            <w:tcW w:w="0" w:type="dxa"/>
            <w:vAlign w:val="bottom"/>
          </w:tcPr>
          <w:p>
            <w:pPr>
              <w:spacing w:after="0"/>
              <w:rPr>
                <w:sz w:val="1"/>
                <w:szCs w:val="1"/>
                <w:color w:val="auto"/>
              </w:rPr>
            </w:pPr>
          </w:p>
        </w:tc>
      </w:tr>
      <w:tr>
        <w:trPr>
          <w:trHeight w:val="90"/>
        </w:trPr>
        <w:tc>
          <w:tcPr>
            <w:tcW w:w="660" w:type="dxa"/>
            <w:vAlign w:val="bottom"/>
          </w:tcPr>
          <w:p>
            <w:pPr>
              <w:spacing w:after="0"/>
              <w:rPr>
                <w:sz w:val="7"/>
                <w:szCs w:val="7"/>
                <w:color w:val="auto"/>
              </w:rPr>
            </w:pPr>
          </w:p>
        </w:tc>
        <w:tc>
          <w:tcPr>
            <w:tcW w:w="9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-1398905</wp:posOffset>
            </wp:positionV>
            <wp:extent cx="85725" cy="857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-1267460</wp:posOffset>
            </wp:positionV>
            <wp:extent cx="85725" cy="85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-1136015</wp:posOffset>
            </wp:positionV>
            <wp:extent cx="85725" cy="85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-1004570</wp:posOffset>
            </wp:positionV>
            <wp:extent cx="85725" cy="85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-873125</wp:posOffset>
            </wp:positionV>
            <wp:extent cx="85725" cy="85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-741680</wp:posOffset>
            </wp:positionV>
            <wp:extent cx="85725" cy="85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-610235</wp:posOffset>
            </wp:positionV>
            <wp:extent cx="85725" cy="85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-478790</wp:posOffset>
            </wp:positionV>
            <wp:extent cx="85725" cy="85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-347345</wp:posOffset>
            </wp:positionV>
            <wp:extent cx="85725" cy="85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-215900</wp:posOffset>
            </wp:positionV>
            <wp:extent cx="85725" cy="85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ind w:left="940" w:hanging="921"/>
        <w:spacing w:after="0"/>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
          <w:szCs w:val="1"/>
          <w:color w:val="auto"/>
        </w:rPr>
        <w:drawing>
          <wp:inline distT="0" distB="0" distL="0" distR="0">
            <wp:extent cx="85725" cy="857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Group, in accordance with Rule 240.13d-1(b)(1)(ii)(K).</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Item 4.</w:t>
            </w:r>
          </w:p>
        </w:tc>
        <w:tc>
          <w:tcPr>
            <w:tcW w:w="3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Ownership</w:t>
            </w:r>
          </w:p>
        </w:tc>
        <w:tc>
          <w:tcPr>
            <w:tcW w:w="0" w:type="dxa"/>
            <w:vAlign w:val="bottom"/>
          </w:tcPr>
          <w:p>
            <w:pPr>
              <w:spacing w:after="0"/>
              <w:rPr>
                <w:sz w:val="1"/>
                <w:szCs w:val="1"/>
                <w:color w:val="auto"/>
              </w:rPr>
            </w:pPr>
          </w:p>
        </w:tc>
      </w:tr>
      <w:tr>
        <w:trPr>
          <w:trHeight w:val="198"/>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w:t>
            </w:r>
          </w:p>
        </w:tc>
        <w:tc>
          <w:tcPr>
            <w:tcW w:w="3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Amount beneficially owned:</w:t>
            </w:r>
          </w:p>
        </w:tc>
        <w:tc>
          <w:tcPr>
            <w:tcW w:w="0" w:type="dxa"/>
            <w:vAlign w:val="bottom"/>
          </w:tcPr>
          <w:p>
            <w:pPr>
              <w:spacing w:after="0"/>
              <w:rPr>
                <w:sz w:val="1"/>
                <w:szCs w:val="1"/>
                <w:color w:val="auto"/>
              </w:rPr>
            </w:pPr>
          </w:p>
        </w:tc>
      </w:tr>
      <w:tr>
        <w:trPr>
          <w:trHeight w:val="162"/>
        </w:trPr>
        <w:tc>
          <w:tcPr>
            <w:tcW w:w="660" w:type="dxa"/>
            <w:vAlign w:val="bottom"/>
            <w:vMerge w:val="continue"/>
          </w:tcPr>
          <w:p>
            <w:pPr>
              <w:spacing w:after="0"/>
              <w:rPr>
                <w:sz w:val="14"/>
                <w:szCs w:val="14"/>
                <w:color w:val="auto"/>
              </w:rPr>
            </w:pPr>
          </w:p>
        </w:tc>
        <w:tc>
          <w:tcPr>
            <w:tcW w:w="37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Items 5-11 of the cover pages are incorporated by reference.</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3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940" w:hanging="921"/>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 of class:</w:t>
      </w:r>
    </w:p>
    <w:p>
      <w:pPr>
        <w:sectPr>
          <w:pgSz w:w="11900" w:h="16863" w:orient="portrait"/>
          <w:cols w:equalWidth="0" w:num="1">
            <w:col w:w="11180"/>
          </w:cols>
          <w:pgMar w:left="300" w:top="120" w:right="419" w:bottom="0" w:gutter="0" w:footer="0" w:header="0"/>
        </w:sectPr>
      </w:pPr>
    </w:p>
    <w:bookmarkStart w:id="2" w:name="page3"/>
    <w:bookmarkEnd w:id="2"/>
    <w:p>
      <w:pPr>
        <w:ind w:left="921"/>
        <w:spacing w:after="0"/>
        <w:rPr>
          <w:sz w:val="20"/>
          <w:szCs w:val="20"/>
          <w:color w:val="auto"/>
        </w:rPr>
      </w:pPr>
      <w:r>
        <w:rPr>
          <w:rFonts w:ascii="Times New Roman" w:cs="Times New Roman" w:eastAsia="Times New Roman" w:hAnsi="Times New Roman"/>
          <w:sz w:val="14"/>
          <w:szCs w:val="14"/>
          <w:color w:val="auto"/>
        </w:rPr>
        <w:t>Items 5-11 of the cover pages are incorporated by reference. %</w:t>
      </w:r>
    </w:p>
    <w:p>
      <w:pPr>
        <w:spacing w:after="0" w:line="37" w:lineRule="exact"/>
        <w:rPr>
          <w:sz w:val="20"/>
          <w:szCs w:val="20"/>
          <w:color w:val="auto"/>
        </w:rPr>
      </w:pPr>
    </w:p>
    <w:p>
      <w:pPr>
        <w:ind w:left="921" w:hanging="921"/>
        <w:spacing w:after="0"/>
        <w:tabs>
          <w:tab w:leader="none" w:pos="921"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shares as to which the person has:</w:t>
      </w:r>
    </w:p>
    <w:p>
      <w:pPr>
        <w:spacing w:after="0" w:line="37" w:lineRule="exact"/>
        <w:rPr>
          <w:rFonts w:ascii="Times New Roman" w:cs="Times New Roman" w:eastAsia="Times New Roman" w:hAnsi="Times New Roman"/>
          <w:sz w:val="14"/>
          <w:szCs w:val="14"/>
          <w:color w:val="auto"/>
        </w:rPr>
      </w:pPr>
    </w:p>
    <w:p>
      <w:pPr>
        <w:ind w:left="921"/>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Sole power to vote or to direct the vote:</w:t>
      </w:r>
    </w:p>
    <w:p>
      <w:pPr>
        <w:spacing w:after="0" w:line="163"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Items 5-11 of the cover pages are incorporated by reference.</w:t>
      </w:r>
    </w:p>
    <w:p>
      <w:pPr>
        <w:spacing w:after="0" w:line="199"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(ii) Shared power to vote or to direct the vote:</w:t>
      </w:r>
    </w:p>
    <w:p>
      <w:pPr>
        <w:spacing w:after="0" w:line="163"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Items 5-11 of the cover pages are incorporated by reference.</w:t>
      </w:r>
    </w:p>
    <w:p>
      <w:pPr>
        <w:spacing w:after="0" w:line="199" w:lineRule="exact"/>
        <w:rPr>
          <w:sz w:val="20"/>
          <w:szCs w:val="20"/>
          <w:color w:val="auto"/>
        </w:rPr>
      </w:pPr>
    </w:p>
    <w:p>
      <w:pPr>
        <w:ind w:left="921" w:right="6840" w:hanging="3"/>
        <w:spacing w:after="0" w:line="509" w:lineRule="auto"/>
        <w:tabs>
          <w:tab w:leader="none" w:pos="1173"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Sole power to dispose or to direct the disposition of: Items 5-11 of the cover pages are incorporated by reference.</w:t>
      </w:r>
    </w:p>
    <w:p>
      <w:pPr>
        <w:spacing w:after="0" w:line="1" w:lineRule="exact"/>
        <w:rPr>
          <w:rFonts w:ascii="Times New Roman" w:cs="Times New Roman" w:eastAsia="Times New Roman" w:hAnsi="Times New Roman"/>
          <w:sz w:val="14"/>
          <w:szCs w:val="14"/>
          <w:color w:val="auto"/>
        </w:rPr>
      </w:pPr>
    </w:p>
    <w:p>
      <w:pPr>
        <w:ind w:left="921" w:right="6840" w:hanging="3"/>
        <w:spacing w:after="0" w:line="509" w:lineRule="auto"/>
        <w:tabs>
          <w:tab w:leader="none" w:pos="1165"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Shared power to dispose or to direct the disposition of: Items 5-11 of the cover pages are incorporated by reference.</w:t>
      </w:r>
    </w:p>
    <w:p>
      <w:pPr>
        <w:spacing w:after="0" w:line="1" w:lineRule="exact"/>
        <w:rPr>
          <w:sz w:val="20"/>
          <w:szCs w:val="20"/>
          <w:color w:val="auto"/>
        </w:rPr>
      </w:pPr>
    </w:p>
    <w:p>
      <w:pPr>
        <w:ind w:left="1"/>
        <w:spacing w:after="0"/>
        <w:tabs>
          <w:tab w:leader="none" w:pos="901" w:val="left"/>
        </w:tabs>
        <w:rPr>
          <w:sz w:val="20"/>
          <w:szCs w:val="20"/>
          <w:color w:val="auto"/>
        </w:rPr>
      </w:pPr>
      <w:r>
        <w:rPr>
          <w:rFonts w:ascii="Times New Roman" w:cs="Times New Roman" w:eastAsia="Times New Roman" w:hAnsi="Times New Roman"/>
          <w:sz w:val="14"/>
          <w:szCs w:val="14"/>
          <w:color w:val="auto"/>
        </w:rPr>
        <w:t>Item 5.</w:t>
      </w:r>
      <w:r>
        <w:rPr>
          <w:sz w:val="20"/>
          <w:szCs w:val="20"/>
          <w:color w:val="auto"/>
        </w:rPr>
        <w:tab/>
      </w:r>
      <w:r>
        <w:rPr>
          <w:rFonts w:ascii="Times New Roman" w:cs="Times New Roman" w:eastAsia="Times New Roman" w:hAnsi="Times New Roman"/>
          <w:sz w:val="14"/>
          <w:szCs w:val="14"/>
          <w:color w:val="auto"/>
        </w:rPr>
        <w:t>Ownership of 5 Percent or Less of a Class.</w:t>
      </w:r>
    </w:p>
    <w:p>
      <w:pPr>
        <w:spacing w:after="0" w:line="46" w:lineRule="exact"/>
        <w:rPr>
          <w:sz w:val="20"/>
          <w:szCs w:val="20"/>
          <w:color w:val="auto"/>
        </w:rPr>
      </w:pPr>
    </w:p>
    <w:p>
      <w:pPr>
        <w:jc w:val="center"/>
        <w:ind w:right="6499"/>
        <w:spacing w:after="0"/>
        <w:rPr>
          <w:sz w:val="20"/>
          <w:szCs w:val="20"/>
          <w:color w:val="auto"/>
        </w:rPr>
      </w:pPr>
      <w:r>
        <w:rPr>
          <w:rFonts w:ascii="Times New Roman" w:cs="Times New Roman" w:eastAsia="Times New Roman" w:hAnsi="Times New Roman"/>
          <w:sz w:val="14"/>
          <w:szCs w:val="14"/>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-95885</wp:posOffset>
            </wp:positionV>
            <wp:extent cx="85725" cy="85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17" w:lineRule="exact"/>
        <w:rPr>
          <w:sz w:val="20"/>
          <w:szCs w:val="20"/>
          <w:color w:val="auto"/>
        </w:rPr>
      </w:pPr>
    </w:p>
    <w:p>
      <w:pPr>
        <w:ind w:left="1"/>
        <w:spacing w:after="0"/>
        <w:tabs>
          <w:tab w:leader="none" w:pos="901" w:val="left"/>
        </w:tabs>
        <w:rPr>
          <w:sz w:val="20"/>
          <w:szCs w:val="20"/>
          <w:color w:val="auto"/>
        </w:rPr>
      </w:pPr>
      <w:r>
        <w:rPr>
          <w:rFonts w:ascii="Times New Roman" w:cs="Times New Roman" w:eastAsia="Times New Roman" w:hAnsi="Times New Roman"/>
          <w:sz w:val="14"/>
          <w:szCs w:val="14"/>
          <w:color w:val="auto"/>
        </w:rPr>
        <w:t>Item 6.</w:t>
      </w:r>
      <w:r>
        <w:rPr>
          <w:sz w:val="20"/>
          <w:szCs w:val="20"/>
          <w:color w:val="auto"/>
        </w:rPr>
        <w:tab/>
      </w:r>
      <w:r>
        <w:rPr>
          <w:rFonts w:ascii="Times New Roman" w:cs="Times New Roman" w:eastAsia="Times New Roman" w:hAnsi="Times New Roman"/>
          <w:sz w:val="14"/>
          <w:szCs w:val="14"/>
          <w:color w:val="auto"/>
        </w:rPr>
        <w:t>Ownership of more than 5 Percent on Behalf of Another Person.</w:t>
      </w:r>
    </w:p>
    <w:p>
      <w:pPr>
        <w:spacing w:after="0" w:line="37"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Not Applicable</w:t>
      </w:r>
    </w:p>
    <w:p>
      <w:pPr>
        <w:spacing w:after="0" w:line="37" w:lineRule="exact"/>
        <w:rPr>
          <w:sz w:val="20"/>
          <w:szCs w:val="20"/>
          <w:color w:val="auto"/>
        </w:rPr>
      </w:pPr>
    </w:p>
    <w:p>
      <w:pPr>
        <w:ind w:left="1"/>
        <w:spacing w:after="0"/>
        <w:tabs>
          <w:tab w:leader="none" w:pos="901" w:val="left"/>
        </w:tabs>
        <w:rPr>
          <w:sz w:val="20"/>
          <w:szCs w:val="20"/>
          <w:color w:val="auto"/>
        </w:rPr>
      </w:pPr>
      <w:r>
        <w:rPr>
          <w:rFonts w:ascii="Times New Roman" w:cs="Times New Roman" w:eastAsia="Times New Roman" w:hAnsi="Times New Roman"/>
          <w:sz w:val="14"/>
          <w:szCs w:val="14"/>
          <w:color w:val="auto"/>
        </w:rPr>
        <w:t>Item 7.</w:t>
      </w:r>
      <w:r>
        <w:rPr>
          <w:sz w:val="20"/>
          <w:szCs w:val="20"/>
          <w:color w:val="auto"/>
        </w:rPr>
        <w:tab/>
      </w:r>
      <w:r>
        <w:rPr>
          <w:rFonts w:ascii="Times New Roman" w:cs="Times New Roman" w:eastAsia="Times New Roman" w:hAnsi="Times New Roman"/>
          <w:sz w:val="14"/>
          <w:szCs w:val="14"/>
          <w:color w:val="auto"/>
        </w:rPr>
        <w:t>Identification and Classification of the Subsidiary Which Acquired the Security Being Reported on by the Parent Holding Company or Control Person.</w:t>
      </w:r>
    </w:p>
    <w:p>
      <w:pPr>
        <w:spacing w:after="0" w:line="37" w:lineRule="exact"/>
        <w:rPr>
          <w:sz w:val="20"/>
          <w:szCs w:val="20"/>
          <w:color w:val="auto"/>
        </w:rPr>
      </w:pPr>
    </w:p>
    <w:p>
      <w:pPr>
        <w:jc w:val="both"/>
        <w:ind w:left="921"/>
        <w:spacing w:after="0" w:line="261" w:lineRule="auto"/>
        <w:rPr>
          <w:sz w:val="20"/>
          <w:szCs w:val="20"/>
          <w:color w:val="auto"/>
        </w:rPr>
      </w:pPr>
      <w:r>
        <w:rPr>
          <w:rFonts w:ascii="Times New Roman" w:cs="Times New Roman" w:eastAsia="Times New Roman" w:hAnsi="Times New Roman"/>
          <w:sz w:val="14"/>
          <w:szCs w:val="14"/>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85"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See Exhibit B</w:t>
      </w:r>
    </w:p>
    <w:p>
      <w:pPr>
        <w:spacing w:after="0" w:line="37" w:lineRule="exact"/>
        <w:rPr>
          <w:sz w:val="20"/>
          <w:szCs w:val="20"/>
          <w:color w:val="auto"/>
        </w:rPr>
      </w:pPr>
    </w:p>
    <w:p>
      <w:pPr>
        <w:ind w:left="1"/>
        <w:spacing w:after="0"/>
        <w:tabs>
          <w:tab w:leader="none" w:pos="901" w:val="left"/>
        </w:tabs>
        <w:rPr>
          <w:sz w:val="20"/>
          <w:szCs w:val="20"/>
          <w:color w:val="auto"/>
        </w:rPr>
      </w:pPr>
      <w:r>
        <w:rPr>
          <w:rFonts w:ascii="Times New Roman" w:cs="Times New Roman" w:eastAsia="Times New Roman" w:hAnsi="Times New Roman"/>
          <w:sz w:val="14"/>
          <w:szCs w:val="14"/>
          <w:color w:val="auto"/>
        </w:rPr>
        <w:t>Item 8.</w:t>
      </w:r>
      <w:r>
        <w:rPr>
          <w:sz w:val="20"/>
          <w:szCs w:val="20"/>
          <w:color w:val="auto"/>
        </w:rPr>
        <w:tab/>
      </w:r>
      <w:r>
        <w:rPr>
          <w:rFonts w:ascii="Times New Roman" w:cs="Times New Roman" w:eastAsia="Times New Roman" w:hAnsi="Times New Roman"/>
          <w:sz w:val="14"/>
          <w:szCs w:val="14"/>
          <w:color w:val="auto"/>
        </w:rPr>
        <w:t>Identification and Classification of Members of the Group.</w:t>
      </w:r>
    </w:p>
    <w:p>
      <w:pPr>
        <w:spacing w:after="0" w:line="37" w:lineRule="exact"/>
        <w:rPr>
          <w:sz w:val="20"/>
          <w:szCs w:val="20"/>
          <w:color w:val="auto"/>
        </w:rPr>
      </w:pPr>
    </w:p>
    <w:p>
      <w:pPr>
        <w:jc w:val="center"/>
        <w:ind w:right="8499"/>
        <w:spacing w:after="0"/>
        <w:rPr>
          <w:sz w:val="20"/>
          <w:szCs w:val="20"/>
          <w:color w:val="auto"/>
        </w:rPr>
      </w:pPr>
      <w:r>
        <w:rPr>
          <w:rFonts w:ascii="Times New Roman" w:cs="Times New Roman" w:eastAsia="Times New Roman" w:hAnsi="Times New Roman"/>
          <w:sz w:val="14"/>
          <w:szCs w:val="14"/>
          <w:color w:val="auto"/>
        </w:rPr>
        <w:t>Not Applicable</w:t>
      </w:r>
    </w:p>
    <w:p>
      <w:pPr>
        <w:spacing w:after="0" w:line="37" w:lineRule="exact"/>
        <w:rPr>
          <w:sz w:val="20"/>
          <w:szCs w:val="20"/>
          <w:color w:val="auto"/>
        </w:rPr>
      </w:pPr>
    </w:p>
    <w:p>
      <w:pPr>
        <w:ind w:left="1"/>
        <w:spacing w:after="0"/>
        <w:tabs>
          <w:tab w:leader="none" w:pos="901" w:val="left"/>
        </w:tabs>
        <w:rPr>
          <w:sz w:val="20"/>
          <w:szCs w:val="20"/>
          <w:color w:val="auto"/>
        </w:rPr>
      </w:pPr>
      <w:r>
        <w:rPr>
          <w:rFonts w:ascii="Times New Roman" w:cs="Times New Roman" w:eastAsia="Times New Roman" w:hAnsi="Times New Roman"/>
          <w:sz w:val="14"/>
          <w:szCs w:val="14"/>
          <w:color w:val="auto"/>
        </w:rPr>
        <w:t>Item 9.</w:t>
      </w:r>
      <w:r>
        <w:rPr>
          <w:sz w:val="20"/>
          <w:szCs w:val="20"/>
          <w:color w:val="auto"/>
        </w:rPr>
        <w:tab/>
      </w:r>
      <w:r>
        <w:rPr>
          <w:rFonts w:ascii="Times New Roman" w:cs="Times New Roman" w:eastAsia="Times New Roman" w:hAnsi="Times New Roman"/>
          <w:sz w:val="14"/>
          <w:szCs w:val="14"/>
          <w:color w:val="auto"/>
        </w:rPr>
        <w:t>Notice of Dissolution of Group.</w:t>
      </w:r>
    </w:p>
    <w:p>
      <w:pPr>
        <w:spacing w:after="0" w:line="37"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Not Applicable</w:t>
      </w:r>
    </w:p>
    <w:p>
      <w:pPr>
        <w:spacing w:after="0" w:line="217" w:lineRule="exact"/>
        <w:rPr>
          <w:sz w:val="20"/>
          <w:szCs w:val="20"/>
          <w:color w:val="auto"/>
        </w:rPr>
      </w:pPr>
    </w:p>
    <w:p>
      <w:pPr>
        <w:ind w:left="1"/>
        <w:spacing w:after="0"/>
        <w:tabs>
          <w:tab w:leader="none" w:pos="901" w:val="left"/>
        </w:tabs>
        <w:rPr>
          <w:sz w:val="20"/>
          <w:szCs w:val="20"/>
          <w:color w:val="auto"/>
        </w:rPr>
      </w:pPr>
      <w:r>
        <w:rPr>
          <w:rFonts w:ascii="Times New Roman" w:cs="Times New Roman" w:eastAsia="Times New Roman" w:hAnsi="Times New Roman"/>
          <w:sz w:val="14"/>
          <w:szCs w:val="14"/>
          <w:color w:val="auto"/>
        </w:rPr>
        <w:t>Item 10.</w:t>
      </w:r>
      <w:r>
        <w:rPr>
          <w:sz w:val="20"/>
          <w:szCs w:val="20"/>
          <w:color w:val="auto"/>
        </w:rPr>
        <w:tab/>
      </w:r>
      <w:r>
        <w:rPr>
          <w:rFonts w:ascii="Times New Roman" w:cs="Times New Roman" w:eastAsia="Times New Roman" w:hAnsi="Times New Roman"/>
          <w:sz w:val="14"/>
          <w:szCs w:val="14"/>
          <w:color w:val="auto"/>
        </w:rPr>
        <w:t>Certifications:</w:t>
      </w:r>
    </w:p>
    <w:p>
      <w:pPr>
        <w:spacing w:after="0" w:line="37" w:lineRule="exact"/>
        <w:rPr>
          <w:sz w:val="20"/>
          <w:szCs w:val="20"/>
          <w:color w:val="auto"/>
        </w:rPr>
      </w:pPr>
    </w:p>
    <w:p>
      <w:pPr>
        <w:ind w:left="921" w:right="40"/>
        <w:spacing w:after="0" w:line="261" w:lineRule="auto"/>
        <w:rPr>
          <w:sz w:val="20"/>
          <w:szCs w:val="20"/>
          <w:color w:val="auto"/>
        </w:rPr>
      </w:pPr>
      <w:r>
        <w:rPr>
          <w:rFonts w:ascii="Times New Roman" w:cs="Times New Roman" w:eastAsia="Times New Roman" w:hAnsi="Times New Roman"/>
          <w:sz w:val="14"/>
          <w:szCs w:val="14"/>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77"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4"/>
          <w:szCs w:val="14"/>
          <w:color w:val="auto"/>
        </w:rPr>
        <w:t>SIGNATURE</w:t>
      </w:r>
    </w:p>
    <w:p>
      <w:pPr>
        <w:spacing w:after="0" w:line="37" w:lineRule="exact"/>
        <w:rPr>
          <w:sz w:val="20"/>
          <w:szCs w:val="20"/>
          <w:color w:val="auto"/>
        </w:rPr>
      </w:pPr>
    </w:p>
    <w:p>
      <w:pPr>
        <w:ind w:left="981"/>
        <w:spacing w:after="0"/>
        <w:rPr>
          <w:sz w:val="20"/>
          <w:szCs w:val="20"/>
          <w:color w:val="auto"/>
        </w:rPr>
      </w:pPr>
      <w:r>
        <w:rPr>
          <w:rFonts w:ascii="Times New Roman" w:cs="Times New Roman" w:eastAsia="Times New Roman" w:hAnsi="Times New Roman"/>
          <w:sz w:val="14"/>
          <w:szCs w:val="14"/>
          <w:color w:val="auto"/>
        </w:rPr>
        <w:t>After reasonable inquiry and to the best of my knowledge and belief, I certify that the information set forth in this statement is true, complete and correct.</w:t>
      </w:r>
    </w:p>
    <w:p>
      <w:pPr>
        <w:spacing w:after="0" w:line="244" w:lineRule="exact"/>
        <w:rPr>
          <w:sz w:val="20"/>
          <w:szCs w:val="20"/>
          <w:color w:val="auto"/>
        </w:rPr>
      </w:pPr>
    </w:p>
    <w:p>
      <w:pPr>
        <w:ind w:left="1821"/>
        <w:spacing w:after="0"/>
        <w:rPr>
          <w:sz w:val="20"/>
          <w:szCs w:val="20"/>
          <w:color w:val="auto"/>
        </w:rPr>
      </w:pPr>
      <w:r>
        <w:rPr>
          <w:rFonts w:ascii="Times New Roman" w:cs="Times New Roman" w:eastAsia="Times New Roman" w:hAnsi="Times New Roman"/>
          <w:sz w:val="14"/>
          <w:szCs w:val="14"/>
          <w:color w:val="auto"/>
        </w:rPr>
        <w:t>NOMURA HOLDINGS INC</w:t>
      </w:r>
    </w:p>
    <w:p>
      <w:pPr>
        <w:spacing w:after="0" w:line="109" w:lineRule="exact"/>
        <w:rPr>
          <w:sz w:val="20"/>
          <w:szCs w:val="20"/>
          <w:color w:val="auto"/>
        </w:rPr>
      </w:pPr>
    </w:p>
    <w:p>
      <w:pPr>
        <w:ind w:left="2701"/>
        <w:spacing w:after="0"/>
        <w:tabs>
          <w:tab w:leader="none" w:pos="3401" w:val="left"/>
        </w:tabs>
        <w:rPr>
          <w:sz w:val="20"/>
          <w:szCs w:val="20"/>
          <w:color w:val="auto"/>
        </w:rPr>
      </w:pPr>
      <w:r>
        <w:rPr>
          <w:rFonts w:ascii="Times New Roman" w:cs="Times New Roman" w:eastAsia="Times New Roman" w:hAnsi="Times New Roman"/>
          <w:sz w:val="14"/>
          <w:szCs w:val="14"/>
          <w:color w:val="auto"/>
        </w:rPr>
        <w:t>Signature:</w:t>
        <w:tab/>
        <w:t>/s/ Samir Patel</w:t>
      </w:r>
    </w:p>
    <w:p>
      <w:pPr>
        <w:spacing w:after="0" w:line="37" w:lineRule="exact"/>
        <w:rPr>
          <w:sz w:val="20"/>
          <w:szCs w:val="20"/>
          <w:color w:val="auto"/>
        </w:rPr>
      </w:pPr>
    </w:p>
    <w:p>
      <w:pPr>
        <w:ind w:left="2701"/>
        <w:spacing w:after="0"/>
        <w:rPr>
          <w:sz w:val="20"/>
          <w:szCs w:val="20"/>
          <w:color w:val="auto"/>
        </w:rPr>
      </w:pPr>
      <w:r>
        <w:rPr>
          <w:rFonts w:ascii="Times New Roman" w:cs="Times New Roman" w:eastAsia="Times New Roman" w:hAnsi="Times New Roman"/>
          <w:sz w:val="14"/>
          <w:szCs w:val="14"/>
          <w:color w:val="auto"/>
        </w:rPr>
        <w:t>Name/Title: Samir Patel, Managing Director</w:t>
      </w:r>
    </w:p>
    <w:p>
      <w:pPr>
        <w:spacing w:after="0" w:line="37" w:lineRule="exact"/>
        <w:rPr>
          <w:sz w:val="20"/>
          <w:szCs w:val="20"/>
          <w:color w:val="auto"/>
        </w:rPr>
      </w:pPr>
    </w:p>
    <w:p>
      <w:pPr>
        <w:ind w:left="2701"/>
        <w:spacing w:after="0"/>
        <w:tabs>
          <w:tab w:leader="none" w:pos="3401"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05/15/2025</w:t>
      </w:r>
    </w:p>
    <w:p>
      <w:pPr>
        <w:spacing w:after="0" w:line="109" w:lineRule="exact"/>
        <w:rPr>
          <w:sz w:val="20"/>
          <w:szCs w:val="20"/>
          <w:color w:val="auto"/>
        </w:rPr>
      </w:pPr>
    </w:p>
    <w:p>
      <w:pPr>
        <w:ind w:left="3261"/>
        <w:spacing w:after="0"/>
        <w:rPr>
          <w:sz w:val="20"/>
          <w:szCs w:val="20"/>
          <w:color w:val="auto"/>
        </w:rPr>
      </w:pPr>
      <w:r>
        <w:rPr>
          <w:rFonts w:ascii="Times New Roman" w:cs="Times New Roman" w:eastAsia="Times New Roman" w:hAnsi="Times New Roman"/>
          <w:sz w:val="14"/>
          <w:szCs w:val="14"/>
          <w:color w:val="auto"/>
        </w:rPr>
        <w:t>NOMURA GLOBAL FINANCIAL PRODUCTS INC</w:t>
      </w:r>
    </w:p>
    <w:p>
      <w:pPr>
        <w:spacing w:after="0" w:line="109" w:lineRule="exact"/>
        <w:rPr>
          <w:sz w:val="20"/>
          <w:szCs w:val="20"/>
          <w:color w:val="auto"/>
        </w:rPr>
      </w:pPr>
    </w:p>
    <w:p>
      <w:pPr>
        <w:ind w:left="2701"/>
        <w:spacing w:after="0"/>
        <w:tabs>
          <w:tab w:leader="none" w:pos="3401" w:val="left"/>
        </w:tabs>
        <w:rPr>
          <w:sz w:val="20"/>
          <w:szCs w:val="20"/>
          <w:color w:val="auto"/>
        </w:rPr>
      </w:pPr>
      <w:r>
        <w:rPr>
          <w:rFonts w:ascii="Times New Roman" w:cs="Times New Roman" w:eastAsia="Times New Roman" w:hAnsi="Times New Roman"/>
          <w:sz w:val="14"/>
          <w:szCs w:val="14"/>
          <w:color w:val="auto"/>
        </w:rPr>
        <w:t>Signature:</w:t>
        <w:tab/>
        <w:t>/s/ Samir Patel</w:t>
      </w:r>
    </w:p>
    <w:p>
      <w:pPr>
        <w:spacing w:after="0" w:line="37" w:lineRule="exact"/>
        <w:rPr>
          <w:sz w:val="20"/>
          <w:szCs w:val="20"/>
          <w:color w:val="auto"/>
        </w:rPr>
      </w:pPr>
    </w:p>
    <w:p>
      <w:pPr>
        <w:ind w:left="2701"/>
        <w:spacing w:after="0"/>
        <w:rPr>
          <w:sz w:val="20"/>
          <w:szCs w:val="20"/>
          <w:color w:val="auto"/>
        </w:rPr>
      </w:pPr>
      <w:r>
        <w:rPr>
          <w:rFonts w:ascii="Times New Roman" w:cs="Times New Roman" w:eastAsia="Times New Roman" w:hAnsi="Times New Roman"/>
          <w:sz w:val="14"/>
          <w:szCs w:val="14"/>
          <w:color w:val="auto"/>
        </w:rPr>
        <w:t>Name/Title: Samir Patel, Authorized Officer</w:t>
      </w:r>
    </w:p>
    <w:p>
      <w:pPr>
        <w:spacing w:after="0" w:line="37" w:lineRule="exact"/>
        <w:rPr>
          <w:sz w:val="20"/>
          <w:szCs w:val="20"/>
          <w:color w:val="auto"/>
        </w:rPr>
      </w:pPr>
    </w:p>
    <w:p>
      <w:pPr>
        <w:ind w:left="2701"/>
        <w:spacing w:after="0"/>
        <w:tabs>
          <w:tab w:leader="none" w:pos="3401"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05/15/2025</w:t>
      </w:r>
    </w:p>
    <w:p>
      <w:pPr>
        <w:spacing w:after="0" w:line="80" w:lineRule="exact"/>
        <w:rPr>
          <w:sz w:val="20"/>
          <w:szCs w:val="20"/>
          <w:color w:val="auto"/>
        </w:rPr>
      </w:pPr>
    </w:p>
    <w:p>
      <w:pPr>
        <w:jc w:val="center"/>
        <w:ind w:right="7819"/>
        <w:spacing w:after="0"/>
        <w:rPr>
          <w:sz w:val="20"/>
          <w:szCs w:val="20"/>
          <w:color w:val="auto"/>
        </w:rPr>
      </w:pPr>
      <w:r>
        <w:rPr>
          <w:rFonts w:ascii="Times New Roman" w:cs="Times New Roman" w:eastAsia="Times New Roman" w:hAnsi="Times New Roman"/>
          <w:sz w:val="14"/>
          <w:szCs w:val="14"/>
          <w:b w:val="1"/>
          <w:bCs w:val="1"/>
          <w:color w:val="auto"/>
        </w:rPr>
        <w:t>Exhibit Information</w:t>
      </w:r>
    </w:p>
    <w:p>
      <w:pPr>
        <w:spacing w:after="0" w:line="20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4"/>
          <w:szCs w:val="14"/>
          <w:color w:val="auto"/>
        </w:rPr>
        <w:t>Exhibit A - Joint Filing Agreement Exhibit B - Subsidiaries</w:t>
      </w:r>
    </w:p>
    <w:p>
      <w:pPr>
        <w:sectPr>
          <w:pgSz w:w="11900" w:h="16838" w:orient="portrait"/>
          <w:cols w:equalWidth="0" w:num="1">
            <w:col w:w="11221"/>
          </w:cols>
          <w:pgMar w:left="319" w:top="283" w:right="359" w:bottom="1440" w:gutter="0" w:footer="0" w:header="0"/>
        </w:sectPr>
      </w:pPr>
    </w:p>
    <w:bookmarkStart w:id="3" w:name="page4"/>
    <w:bookmarkEnd w:id="3"/>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EXHIBIT A</w:t>
      </w:r>
    </w:p>
    <w:p>
      <w:pPr>
        <w:spacing w:after="0" w:line="1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JOINT FILING AGREEMENT</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Joint Filing Agreement as of May 15, 2025.</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Nomura Holdings, Inc.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 Samir Patel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Samir Patel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 Managing Director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Nomura Global Financial Products, Inc.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 Samir Patel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Samir Patel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 Authorized Officer</w:t>
      </w:r>
    </w:p>
    <w:p>
      <w:pPr>
        <w:sectPr>
          <w:pgSz w:w="11900" w:h="16838" w:orient="portrait"/>
          <w:cols w:equalWidth="0" w:num="1">
            <w:col w:w="11160"/>
          </w:cols>
          <w:pgMar w:left="300" w:top="125" w:right="439" w:bottom="1440" w:gutter="0" w:footer="0" w:header="0"/>
        </w:sectPr>
      </w:pPr>
    </w:p>
    <w:bookmarkStart w:id="4" w:name="page5"/>
    <w:bookmarkEnd w:id="4"/>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EXHIBIT B</w:t>
      </w:r>
    </w:p>
    <w:p>
      <w:pPr>
        <w:spacing w:after="0" w:line="150" w:lineRule="exact"/>
        <w:rPr>
          <w:sz w:val="20"/>
          <w:szCs w:val="20"/>
          <w:color w:val="auto"/>
        </w:rPr>
      </w:pPr>
    </w:p>
    <w:p>
      <w:pPr>
        <w:jc w:val="right"/>
        <w:ind w:right="4099"/>
        <w:spacing w:after="0"/>
        <w:rPr>
          <w:sz w:val="20"/>
          <w:szCs w:val="20"/>
          <w:color w:val="auto"/>
        </w:rPr>
      </w:pPr>
      <w:r>
        <w:rPr>
          <w:rFonts w:ascii="Times New Roman" w:cs="Times New Roman" w:eastAsia="Times New Roman" w:hAnsi="Times New Roman"/>
          <w:sz w:val="12"/>
          <w:szCs w:val="12"/>
          <w:b w:val="1"/>
          <w:bCs w:val="1"/>
          <w:color w:val="auto"/>
        </w:rPr>
        <w:t>SUBSIDIARIES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Nomura Global Financial Products, Inc. is a wholly owned subsidiary of Nomura Holdings, Inc.</w:t>
      </w:r>
    </w:p>
    <w:sectPr>
      <w:pgSz w:w="11900" w:h="16838" w:orient="portrait"/>
      <w:cols w:equalWidth="0" w:num="1">
        <w:col w:w="10159"/>
      </w:cols>
      <w:pgMar w:left="3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11"/>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2025-05-15T15:45:28Z</dcterms:created>
  <dcterms:modified xsi:type="dcterms:W3CDTF">2025-05-15T15:45:28Z</dcterms:modified>
</cp:coreProperties>
</file>