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Burk Beth Elaine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520"/>
        <w:spacing w:after="0" w:line="365" w:lineRule="auto"/>
        <w:rPr>
          <w:sz w:val="20"/>
          <w:szCs w:val="20"/>
          <w:color w:val="auto"/>
        </w:rPr>
      </w:pPr>
      <w:r>
        <w:rPr>
          <w:rFonts w:ascii="Times New Roman" w:cs="Times New Roman" w:eastAsia="Times New Roman" w:hAnsi="Times New Roman"/>
          <w:sz w:val="17"/>
          <w:szCs w:val="17"/>
          <w:color w:val="0000FF"/>
        </w:rPr>
        <w:t>325 WEST HURON STREET SUITE 412</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Green Thumb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GTII/GTBIF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02/01/2021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4,681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29.82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41,808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conducted in Canadian dollars at a price of C$38.2430 per share. The price reported is in U.S. Dollars based on the currency exchange rate of 0.7798 as reported by the Bank of Canada as of the close of trading on the Canadian Stock Exchange on February 1, 2021.</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2676"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2021-02-03T15:18:26Z</dcterms:created>
  <dcterms:modified xsi:type="dcterms:W3CDTF">2021-02-03T15:18:26Z</dcterms:modified>
</cp:coreProperties>
</file>