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Green Thumb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Subordinate Voting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39342L108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39342L108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Eminence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14,649,653.00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14,649,653.00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14,649,653.00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100" w:space="60"/>
            <w:col w:w="10000"/>
          </w:cols>
          <w:pgMar w:left="320" w:top="111" w:right="419" w:bottom="0" w:gutter="0" w:footer="0" w:header="0"/>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information set forth on this cover page reflects information as of December 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2022. As of the following dates, such Reporting Person may have been deemed to beneficially own the referenced number of Subordinate Voting Shares, representing the referenced percentage of the outstanding Subordinate Voting Shares at such time: August 31, 2023 (21,171,421, representing 10.1%); December 31, 2023 (19,985,121, representing 9.5%); September 30, 2024 (19,658,730, representing 9.3%); December 31, 2024 (21,151,578, representing 9.98%).</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39342L108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Ricky C. Sandler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7,925.00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14,649,653.00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7,925.00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14,649,653.00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160"/>
          </w:cols>
          <w:pgMar w:left="320" w:top="111" w:right="41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14,657,578.00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information set forth on this cover page reflects information as of December 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2022. As of the following dates, such Reporting Person may have been deemed to beneficially own the referenced number of Subordinate Voting Shares, representing the referenced percentage of the outstanding Subordinate Voting Shares at such time: August 31, 2023 (21,183,346, including sole voting and dispositive power with respect to 11,925 Subordinate Voting Shares directly owned by an account over which Mr. Sandler had investment discretion, representing 10.1%); December 31, 2023 (19,997,046, including sole voting and dispositive power with respect to 11,925 Subordinate Voting Shares directly owned by an account over which Mr. Sandler had investment discretion, representing 9.5%); September 30, 2024 (19,658,730, representing 9.3%); December 31, 2024 (21,151,578, representing 9.98%).</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Green Thumb Industries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325 West Huron Street, Suite 700, Chicago, Illinois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80"/>
        <w:spacing w:after="0" w:line="246" w:lineRule="auto"/>
        <w:rPr>
          <w:sz w:val="20"/>
          <w:szCs w:val="20"/>
          <w:color w:val="auto"/>
        </w:rPr>
      </w:pPr>
      <w:r>
        <w:rPr>
          <w:rFonts w:ascii="Times New Roman" w:cs="Times New Roman" w:eastAsia="Times New Roman" w:hAnsi="Times New Roman"/>
          <w:sz w:val="21"/>
          <w:szCs w:val="21"/>
          <w:color w:val="auto"/>
        </w:rPr>
        <w:t>This statement is filed by Eminence Capital, LP, a Delaware limited partnership ("Eminence Capital") and Ricky C. Sandler, a U.S. Citizen ("Mr. Sandler," and together with Eminence Capital, the "Reporting Persons"). Eminence Capital serves as the management company or investment adviser to, and may be deemed to have shared voting and dispositive power over the Subordinate Voting Shares, no par value (the "Subordinate Voting Shares") of Green Thumb Industries Inc., a British Columbia, Canada corporation (the "Company"), held by various investment funds</w:t>
      </w:r>
    </w:p>
    <w:p>
      <w:pPr>
        <w:spacing w:after="0" w:line="1" w:lineRule="exact"/>
        <w:rPr>
          <w:sz w:val="20"/>
          <w:szCs w:val="20"/>
          <w:color w:val="auto"/>
        </w:rPr>
      </w:pPr>
    </w:p>
    <w:p>
      <w:pPr>
        <w:ind w:left="960" w:right="20" w:hanging="912"/>
        <w:spacing w:after="0" w:line="237"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"Eminence Funds") and a separately managed account (the "Eminence SMA," and together with the Eminence Funds, the "Eminence Funds and SMA") under its management and control. The general partner of Eminence Capital is Eminence Capital GP, LLC, the sole managing member of which is Mr. Sandler. Mr. Sandler is the Chief Executive Officer of Eminence Capital and may be deemed to have (or have had) (i) shared voting and dispositive power with respect to the Subordinate Voting Shares held by the Eminence Funds and SMA and (ii) sole voting and dispositive power with respect to the Subordinate Voting Shares directly owned by an account over which Mr. Sandler had investment discretion. The filing of this statement should not be construed as an admission that any of the Reporting Persons is, for the purposes of Section 13G of the Act, the beneficial owner of the securities reported herein. Address or principal business office or, if none, residence:</w:t>
      </w:r>
    </w:p>
    <w:p>
      <w:pPr>
        <w:spacing w:after="0" w:line="211" w:lineRule="exact"/>
        <w:rPr>
          <w:rFonts w:ascii="Times New Roman" w:cs="Times New Roman" w:eastAsia="Times New Roman" w:hAnsi="Times New Roman"/>
          <w:sz w:val="22"/>
          <w:szCs w:val="22"/>
          <w:color w:val="auto"/>
        </w:rPr>
      </w:pPr>
    </w:p>
    <w:p>
      <w:pPr>
        <w:ind w:left="960" w:right="160" w:hanging="912"/>
        <w:spacing w:after="0" w:line="197" w:lineRule="auto"/>
        <w:tabs>
          <w:tab w:leader="none" w:pos="960" w:val="left"/>
        </w:tabs>
        <w:numPr>
          <w:ilvl w:val="0"/>
          <w:numId w:val="6"/>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The address of the principal business and principal office of Eminence Capital is 399 Park Avenue, 25th Floor, New York, NY 10022. The business address of Mr. Sandler is 399 Park Avenue, 25th Floor, New York, NY 10022. Citizenship:</w:t>
      </w:r>
    </w:p>
    <w:p>
      <w:pPr>
        <w:spacing w:after="0" w:line="204" w:lineRule="exact"/>
        <w:rPr>
          <w:rFonts w:ascii="Times New Roman" w:cs="Times New Roman" w:eastAsia="Times New Roman" w:hAnsi="Times New Roman"/>
          <w:sz w:val="43"/>
          <w:szCs w:val="43"/>
          <w:color w:val="auto"/>
          <w:vertAlign w:val="superscript"/>
        </w:rPr>
      </w:pPr>
    </w:p>
    <w:p>
      <w:pPr>
        <w:ind w:left="960" w:right="12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Eminence Capital is a limited partnership organized under the laws of the State of Delaware. Mr. Sandler is a United States citizen.</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Subordinate Voting Shares, no par value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39342L108</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ectPr>
          <w:pgSz w:w="11900" w:h="16838" w:orient="portrait"/>
          <w:cols w:equalWidth="0" w:num="1">
            <w:col w:w="11160"/>
          </w:cols>
          <w:pgMar w:left="320" w:top="111" w:right="419" w:bottom="0" w:gutter="0" w:footer="0" w:header="0"/>
        </w:sectPr>
      </w:pPr>
    </w:p>
    <w:bookmarkStart w:id="3" w:name="page4"/>
    <w:bookmarkEnd w:id="3"/>
    <w:p>
      <w:pPr>
        <w:spacing w:after="0" w:line="97"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40"/>
        <w:spacing w:after="0" w:line="253" w:lineRule="auto"/>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and the footnote on the cover page for each of the Reporting Persons and is incorporated herein by reference. The percentage set forth in this Schedule 13G</w:t>
      </w:r>
    </w:p>
    <w:p>
      <w:pPr>
        <w:spacing w:after="0" w:line="1" w:lineRule="exact"/>
        <w:rPr>
          <w:sz w:val="20"/>
          <w:szCs w:val="20"/>
          <w:color w:val="auto"/>
        </w:rPr>
      </w:pPr>
    </w:p>
    <w:p>
      <w:pPr>
        <w:ind w:left="920" w:right="240"/>
        <w:spacing w:after="0" w:line="241" w:lineRule="auto"/>
        <w:rPr>
          <w:sz w:val="20"/>
          <w:szCs w:val="20"/>
          <w:color w:val="auto"/>
        </w:rPr>
      </w:pPr>
      <w:r>
        <w:rPr>
          <w:rFonts w:ascii="Times New Roman" w:cs="Times New Roman" w:eastAsia="Times New Roman" w:hAnsi="Times New Roman"/>
          <w:sz w:val="21"/>
          <w:szCs w:val="21"/>
          <w:color w:val="auto"/>
        </w:rPr>
        <w:t>(i) as of December 31, 2022 is calculated based upon an aggregate of 236,485,170 Subordinate Voting Shares outstanding as of November 30, 2022, as reported in the Company's Prospectus Supplement filed pursuant to Rule 424(b)(7) with the Securities and Exchange Commission on December 30, 2022, (ii) as of August 31, 2023 is calculated based upon an aggregate of 209,739,033 Subordinate Voting Shares outstanding as of August 1, 2023, as reported in the Company's Quarterly Report on Form 10-Q for the quarterly period ended June 30, 2023, filed with</w:t>
      </w:r>
    </w:p>
    <w:p>
      <w:pPr>
        <w:spacing w:after="0" w:line="2" w:lineRule="exact"/>
        <w:rPr>
          <w:sz w:val="20"/>
          <w:szCs w:val="20"/>
          <w:color w:val="auto"/>
        </w:rPr>
      </w:pPr>
    </w:p>
    <w:p>
      <w:pPr>
        <w:ind w:left="920" w:right="20" w:hanging="912"/>
        <w:spacing w:after="0" w:line="232"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Securities and Exchange Commission on August 9, 2023, (iii) as of December 31, 2023 is calculated based upon an aggregate of 210,095,615 Subordinate Voting Shares outstanding as of November 1, 2023, as reported in the Company's Quarterly Report on Form 10-Q for the quarterly period ended September 30, 2023, filed with the Securities and Exchange Commission on November 9, 2023, (iv) as of September 30, 2024 is calculated based upon an aggregate of 211,380,808 Subordinate Voting Shares outstanding as of August 1, 2024, as reported in the Company's Quarterly Report on Form 10-Q for the quarterly period ended June 30, 2024, filed with the Securities and Exchange Commission on August 6, 2024 and (v) as of December 31, 2024 is calculated based upon an aggregate of 212,043,394 Subordinate Voting Shares outstanding as of November 1, 2024, as reported in the Company's Quarterly Report on Form 10-Q for the quarterly period ended September 30, 2024, filed with the Securities and Exchange Commission on November 8, 2024.</w:t>
      </w:r>
    </w:p>
    <w:p>
      <w:pPr>
        <w:spacing w:after="0" w:line="1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3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and the footnote on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2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and the footnote on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1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and the footnote on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and the footnote on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61" w:lineRule="auto"/>
        <w:rPr>
          <w:sz w:val="20"/>
          <w:szCs w:val="20"/>
          <w:color w:val="auto"/>
        </w:rPr>
      </w:pPr>
      <w:r>
        <w:rPr>
          <w:rFonts w:ascii="Times New Roman" w:cs="Times New Roman" w:eastAsia="Times New Roman" w:hAnsi="Times New Roman"/>
          <w:sz w:val="21"/>
          <w:szCs w:val="21"/>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w:t>
      </w:r>
    </w:p>
    <w:p>
      <w:pPr>
        <w:sectPr>
          <w:pgSz w:w="11900" w:h="16936" w:orient="portrait"/>
          <w:cols w:equalWidth="0" w:num="1">
            <w:col w:w="11140"/>
          </w:cols>
          <w:pgMar w:left="360" w:top="126" w:right="39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2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1"/>
          <w:szCs w:val="21"/>
          <w:color w:val="auto"/>
        </w:rPr>
        <w:t>No person other than the Reporting Persons and the Eminence Funds and SMA is, and with respect to the related account described in Item 2(a) were, known to have the right to receive, or the power to direct the receipt of dividends from, or proceeds from the sale of, the Subordinate Voting Shares held by the Eminence Funds and SMA.</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Eminence Capital, LP</w:t>
      </w:r>
    </w:p>
    <w:p>
      <w:pPr>
        <w:spacing w:after="0" w:line="152"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Ricky C. Sandler</w:t>
      </w:r>
    </w:p>
    <w:p>
      <w:pPr>
        <w:spacing w:after="0" w:line="4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Name/Title: Ricky C. Sandler, Chief Executive Officer</w:t>
      </w:r>
    </w:p>
    <w:p>
      <w:pPr>
        <w:spacing w:after="0" w:line="44"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Ricky C. Sandler</w:t>
      </w:r>
    </w:p>
    <w:p>
      <w:pPr>
        <w:spacing w:after="0" w:line="152"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Ricky C. Sandler</w:t>
      </w:r>
    </w:p>
    <w:p>
      <w:pPr>
        <w:spacing w:after="0" w:line="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Name/Title: Ricky C. Sandler, Individually</w:t>
      </w:r>
    </w:p>
    <w:p>
      <w:pPr>
        <w:spacing w:after="0" w:line="44"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80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112" w:right="39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14, 2025</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Ricky C. Sandler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7801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Ricky C. Sandler, individually, and as Chief Executive Officer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Eminence Capital, LP</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2025-02-14T15:15:20Z</dcterms:created>
  <dcterms:modified xsi:type="dcterms:W3CDTF">2025-02-14T15:15:20Z</dcterms:modified>
</cp:coreProperties>
</file>