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Kadens Peter A</w:t>
        </w:r>
        <w:r>
          <w:rPr>
            <w:rFonts w:ascii="Arial" w:cs="Arial" w:eastAsia="Arial" w:hAnsi="Arial"/>
            <w:sz w:val="21"/>
            <w:szCs w:val="21"/>
            <w:color w:val="0000EE"/>
          </w:rPr>
          <w:t>.</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0000FF"/>
                <w:w w:val="97"/>
              </w:rPr>
              <w:t>990 GREEN BAY ROAD, UNIT 6</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WINNETKA</w:t>
            </w:r>
          </w:p>
        </w:tc>
        <w:tc>
          <w:tcPr>
            <w:tcW w:w="1360" w:type="dxa"/>
            <w:vAlign w:val="bottom"/>
          </w:tcPr>
          <w:p>
            <w:pPr>
              <w:ind w:left="140"/>
              <w:spacing w:after="0"/>
              <w:rPr>
                <w:sz w:val="20"/>
                <w:szCs w:val="20"/>
                <w:color w:val="auto"/>
              </w:rPr>
            </w:pPr>
            <w:r>
              <w:rPr>
                <w:rFonts w:ascii="Arial" w:cs="Arial" w:eastAsia="Arial" w:hAnsi="Arial"/>
                <w:sz w:val="17"/>
                <w:szCs w:val="17"/>
                <w:color w:val="0000FF"/>
              </w:rPr>
              <w:t>IL</w:t>
            </w:r>
          </w:p>
        </w:tc>
        <w:tc>
          <w:tcPr>
            <w:tcW w:w="1200" w:type="dxa"/>
            <w:vAlign w:val="bottom"/>
          </w:tcPr>
          <w:p>
            <w:pPr>
              <w:spacing w:after="0"/>
              <w:rPr>
                <w:sz w:val="20"/>
                <w:szCs w:val="20"/>
                <w:color w:val="auto"/>
              </w:rPr>
            </w:pPr>
            <w:r>
              <w:rPr>
                <w:rFonts w:ascii="Arial" w:cs="Arial" w:eastAsia="Arial" w:hAnsi="Arial"/>
                <w:sz w:val="17"/>
                <w:szCs w:val="17"/>
                <w:color w:val="0000FF"/>
              </w:rPr>
              <w:t>60093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34"/>
        </w:trPr>
        <w:tc>
          <w:tcPr>
            <w:tcW w:w="3820" w:type="dxa"/>
            <w:vAlign w:val="bottom"/>
            <w:gridSpan w:val="2"/>
          </w:tcPr>
          <w:p>
            <w:pPr>
              <w:ind w:left="80"/>
              <w:spacing w:after="0" w:line="234"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06/26/2020</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210185</wp:posOffset>
            </wp:positionV>
            <wp:extent cx="6964045" cy="768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68286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80"/>
            <w:col w:w="7120"/>
          </w:cols>
          <w:pgMar w:left="460" w:top="225"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600" w:type="dxa"/>
            <w:vAlign w:val="bottom"/>
          </w:tcPr>
          <w:p>
            <w:pPr>
              <w:jc w:val="center"/>
              <w:ind w:left="41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Super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06/26/2020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648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67,814</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Super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06/26/2020</w:t>
            </w:r>
          </w:p>
        </w:tc>
        <w:tc>
          <w:tcPr>
            <w:tcW w:w="1140" w:type="dxa"/>
            <w:vAlign w:val="bottom"/>
          </w:tcPr>
          <w:p>
            <w:pPr>
              <w:spacing w:after="0"/>
              <w:rPr>
                <w:sz w:val="22"/>
                <w:szCs w:val="22"/>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648</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GTI II</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Super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07/02/2020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(2)</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9,000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58,814</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Multiple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07/02/2020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(2)</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9,000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9,000</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Multiple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07/02/2020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9,000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07/02/2020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900,000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900,086</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07/13/2020</w:t>
            </w:r>
          </w:p>
        </w:tc>
        <w:tc>
          <w:tcPr>
            <w:tcW w:w="1140" w:type="dxa"/>
            <w:vAlign w:val="bottom"/>
          </w:tcPr>
          <w:p>
            <w:pPr>
              <w:spacing w:after="0"/>
              <w:rPr>
                <w:sz w:val="18"/>
                <w:szCs w:val="18"/>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(6)</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11.86</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800,086</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07/15/2020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8"/>
              </w:rPr>
              <w:t>G</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785,086</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07/15/2020</w:t>
            </w:r>
          </w:p>
        </w:tc>
        <w:tc>
          <w:tcPr>
            <w:tcW w:w="1140" w:type="dxa"/>
            <w:vAlign w:val="bottom"/>
          </w:tcPr>
          <w:p>
            <w:pPr>
              <w:spacing w:after="0"/>
              <w:rPr>
                <w:sz w:val="18"/>
                <w:szCs w:val="18"/>
                <w:color w:val="auto"/>
              </w:rPr>
            </w:pPr>
          </w:p>
        </w:tc>
        <w:tc>
          <w:tcPr>
            <w:tcW w:w="800" w:type="dxa"/>
            <w:vAlign w:val="bottom"/>
            <w:vMerge w:val="restart"/>
          </w:tcPr>
          <w:p>
            <w:pPr>
              <w:jc w:val="center"/>
              <w:ind w:right="322"/>
              <w:spacing w:after="0"/>
              <w:rPr>
                <w:sz w:val="20"/>
                <w:szCs w:val="20"/>
                <w:color w:val="auto"/>
              </w:rPr>
            </w:pPr>
            <w:r>
              <w:rPr>
                <w:rFonts w:ascii="Arial" w:cs="Arial" w:eastAsia="Arial" w:hAnsi="Arial"/>
                <w:sz w:val="13"/>
                <w:szCs w:val="13"/>
                <w:color w:val="0000FF"/>
                <w:w w:val="98"/>
              </w:rPr>
              <w:t>G</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15,000</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w w:val="98"/>
              </w:rPr>
              <w:t>Foundation</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07/21/2020</w:t>
            </w:r>
          </w:p>
        </w:tc>
        <w:tc>
          <w:tcPr>
            <w:tcW w:w="1140" w:type="dxa"/>
            <w:vAlign w:val="bottom"/>
          </w:tcPr>
          <w:p>
            <w:pPr>
              <w:spacing w:after="0"/>
              <w:rPr>
                <w:sz w:val="18"/>
                <w:szCs w:val="18"/>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(6)</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12.12</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735,086</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4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vMerge w:val="restart"/>
          </w:tcPr>
          <w:p>
            <w:pPr>
              <w:jc w:val="center"/>
              <w:ind w:left="419"/>
              <w:spacing w:after="0"/>
              <w:rPr>
                <w:sz w:val="20"/>
                <w:szCs w:val="20"/>
                <w:color w:val="auto"/>
              </w:rPr>
            </w:pPr>
            <w:r>
              <w:rPr>
                <w:rFonts w:ascii="Arial" w:cs="Arial" w:eastAsia="Arial" w:hAnsi="Arial"/>
                <w:sz w:val="17"/>
                <w:szCs w:val="17"/>
                <w:color w:val="0000FF"/>
                <w:w w:val="91"/>
              </w:rPr>
              <w:t>07/30/2020</w:t>
            </w:r>
          </w:p>
        </w:tc>
        <w:tc>
          <w:tcPr>
            <w:tcW w:w="1140" w:type="dxa"/>
            <w:vAlign w:val="bottom"/>
          </w:tcPr>
          <w:p>
            <w:pPr>
              <w:spacing w:after="0"/>
              <w:rPr>
                <w:sz w:val="18"/>
                <w:szCs w:val="18"/>
                <w:color w:val="auto"/>
              </w:rPr>
            </w:pPr>
          </w:p>
        </w:tc>
        <w:tc>
          <w:tcPr>
            <w:tcW w:w="800" w:type="dxa"/>
            <w:vAlign w:val="bottom"/>
            <w:vMerge w:val="restart"/>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(6)</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85,000</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13.4</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650,086</w:t>
            </w:r>
          </w:p>
        </w:tc>
        <w:tc>
          <w:tcPr>
            <w:tcW w:w="90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7"/>
        </w:trPr>
        <w:tc>
          <w:tcPr>
            <w:tcW w:w="24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Arial" w:cs="Arial" w:eastAsia="Arial" w:hAnsi="Arial"/>
          <w:sz w:val="17"/>
          <w:szCs w:val="17"/>
          <w:color w:val="0000FF"/>
        </w:rPr>
        <w:t>LLC</w:t>
      </w:r>
    </w:p>
    <w:p>
      <w:pPr>
        <w:sectPr>
          <w:pgSz w:w="11900" w:h="16838" w:orient="portrait"/>
          <w:cols w:equalWidth="0" w:num="1">
            <w:col w:w="10960"/>
          </w:cols>
          <w:pgMar w:left="460" w:top="225"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775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277558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57150</wp:posOffset>
            </wp:positionV>
            <wp:extent cx="694690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67691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ind w:left="80"/>
              <w:spacing w:after="0"/>
              <w:rPr>
                <w:sz w:val="20"/>
                <w:szCs w:val="20"/>
                <w:color w:val="auto"/>
              </w:rPr>
            </w:pPr>
            <w:r>
              <w:rPr>
                <w:rFonts w:ascii="Arial" w:cs="Arial" w:eastAsia="Arial" w:hAnsi="Arial"/>
                <w:sz w:val="17"/>
                <w:szCs w:val="17"/>
                <w:color w:val="0000FF"/>
                <w:w w:val="81"/>
              </w:rPr>
              <w:t>The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07/30/2020</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15,000</w:t>
            </w: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580" w:type="dxa"/>
            <w:vAlign w:val="bottom"/>
            <w:vMerge w:val="restart"/>
          </w:tcPr>
          <w:p>
            <w:pPr>
              <w:jc w:val="center"/>
              <w:ind w:left="11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13.4</w:t>
            </w:r>
          </w:p>
        </w:tc>
        <w:tc>
          <w:tcPr>
            <w:tcW w:w="80" w:type="dxa"/>
            <w:vAlign w:val="bottom"/>
          </w:tcPr>
          <w:p>
            <w:pPr>
              <w:spacing w:after="0"/>
              <w:rPr>
                <w:sz w:val="18"/>
                <w:szCs w:val="18"/>
                <w:color w:val="auto"/>
              </w:rPr>
            </w:pPr>
          </w:p>
        </w:tc>
        <w:tc>
          <w:tcPr>
            <w:tcW w:w="700" w:type="dxa"/>
            <w:vAlign w:val="bottom"/>
            <w:gridSpan w:val="2"/>
            <w:vMerge w:val="restart"/>
          </w:tcPr>
          <w:p>
            <w:pPr>
              <w:jc w:val="center"/>
              <w:ind w:left="469"/>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60" w:type="dxa"/>
            <w:vAlign w:val="bottom"/>
            <w:gridSpan w:val="5"/>
            <w:vMerge w:val="restart"/>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Foundation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08/24/2020</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50,000</w:t>
            </w: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14.44</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600,086</w:t>
            </w:r>
          </w:p>
        </w:tc>
        <w:tc>
          <w:tcPr>
            <w:tcW w:w="34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60" w:type="dxa"/>
            <w:vAlign w:val="bottom"/>
            <w:gridSpan w:val="5"/>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Kadens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08/25/2020</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11,200</w:t>
            </w:r>
          </w:p>
        </w:tc>
        <w:tc>
          <w:tcPr>
            <w:tcW w:w="42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660" w:type="dxa"/>
            <w:vAlign w:val="bottom"/>
            <w:gridSpan w:val="2"/>
            <w:vMerge w:val="restart"/>
          </w:tcPr>
          <w:p>
            <w:pPr>
              <w:jc w:val="center"/>
              <w:ind w:left="3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14.81</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588,886</w:t>
            </w:r>
          </w:p>
        </w:tc>
        <w:tc>
          <w:tcPr>
            <w:tcW w:w="34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60" w:type="dxa"/>
            <w:vAlign w:val="bottom"/>
            <w:gridSpan w:val="5"/>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-3635375</wp:posOffset>
            </wp:positionV>
            <wp:extent cx="7031355" cy="3681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3681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distribution to the holder's investors pursuant to the terms of the holder's operating agreement.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conversion of Super Voting Shares into Multiple Voting Shares pursuant to the Amended and Restated Articles of Association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conversion of Multiple Voting Shares into Subordinate Voting Shares pursuant to the Amended and Restated Articles of Association of the Issuer.</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average price. High transacted price was $14.52 and low price transacted was $14.42. The reporting person undertakes to provide to Issuer, any security holder of Issuer, or the staff of the Securities and Exchange Commission, upon request, full information regarding the number of shares sold at each separate price within the ranges set forth.</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average price. High transacted price was $14.84 and low price transacted was $14.80. The reporting person undertakes to provide to Issuer, any security holder of Issuer, or the staff of the Securities and Exchange Commission, upon request, full information regarding the number of shares sold at each separate price within the ranges set forth.</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Information regarding detail of these transactions are unavailable at the time of filing without unnecessary effort or expense.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Peter Kadens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09/01/2020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3982"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2020-09-02T15:28:02Z</dcterms:created>
  <dcterms:modified xsi:type="dcterms:W3CDTF">2020-09-02T15:28:02Z</dcterms:modified>
</cp:coreProperties>
</file>