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63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Kovler Benjamin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325 WEST HURON STREET SUITE 412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193040</wp:posOffset>
            </wp:positionV>
            <wp:extent cx="6964045" cy="6557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6557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63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11,702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5.615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133,302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57,418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RCP23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GTI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II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Outsiders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43,534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GTI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II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96,885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RCP23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11,808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GTI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II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107,368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RCP23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91,665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59,474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Outsiders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9899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98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638" w:gutter="0" w:footer="0" w:header="0"/>
          <w:type w:val="continuous"/>
        </w:sectPr>
      </w:pPr>
    </w:p>
    <w:bookmarkStart w:id="1" w:name="page2"/>
    <w:bookmarkEnd w:id="1"/>
    <w:p>
      <w:pPr>
        <w:spacing w:after="0" w:line="205" w:lineRule="auto"/>
        <w:framePr w:w="520" w:h="109" w:wrap="auto" w:vAnchor="page" w:hAnchor="page" w:x="7760" w:y="3216"/>
        <w:rPr>
          <w:rFonts w:ascii="Arial" w:cs="Arial" w:eastAsia="Arial" w:hAnsi="Arial"/>
          <w:sz w:val="11"/>
          <w:szCs w:val="11"/>
          <w:b w:val="1"/>
          <w:bCs w:val="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Amount</w:t>
      </w:r>
    </w:p>
    <w:p>
      <w:pPr>
        <w:spacing w:after="0" w:line="201" w:lineRule="auto"/>
        <w:framePr w:w="1260" w:h="154" w:wrap="auto" w:vAnchor="page" w:hAnchor="page" w:x="7000" w:y="3250"/>
        <w:rPr>
          <w:rFonts w:ascii="Arial" w:cs="Arial" w:eastAsia="Arial" w:hAnsi="Arial"/>
          <w:sz w:val="16"/>
          <w:szCs w:val="16"/>
          <w:b w:val="1"/>
          <w:bCs w:val="1"/>
          <w:color w:val="0000FF"/>
          <w:highlight w:val="white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00FF"/>
          <w:highlight w:val="white"/>
        </w:rPr>
        <w:t>Attorney-in-Fact</w:t>
      </w:r>
    </w:p>
    <w:p>
      <w:pPr>
        <w:spacing w:after="0" w:line="229" w:lineRule="auto"/>
        <w:framePr w:w="520" w:h="242" w:wrap="auto" w:vAnchor="page" w:hAnchor="page" w:x="7760" w:y="3349"/>
        <w:rPr>
          <w:rFonts w:ascii="Arial" w:cs="Arial" w:eastAsia="Arial" w:hAnsi="Arial"/>
          <w:sz w:val="11"/>
          <w:szCs w:val="11"/>
          <w:b w:val="1"/>
          <w:bCs w:val="1"/>
          <w:color w:val="0000FF"/>
          <w:highlight w:val="white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0000FF"/>
          <w:highlight w:val="white"/>
        </w:rPr>
        <w:t>or Number</w:t>
      </w:r>
    </w:p>
    <w:p>
      <w:pPr>
        <w:spacing w:after="0" w:line="193" w:lineRule="auto"/>
        <w:framePr w:w="2020" w:h="121" w:wrap="auto" w:vAnchor="page" w:hAnchor="page" w:x="7000" w:y="3511"/>
        <w:rPr>
          <w:rFonts w:ascii="Arial" w:cs="Arial" w:eastAsia="Arial" w:hAnsi="Arial"/>
          <w:sz w:val="13"/>
          <w:szCs w:val="13"/>
          <w:b w:val="1"/>
          <w:bCs w:val="1"/>
          <w:color w:val="0000FF"/>
          <w:highlight w:val="white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0000FF"/>
          <w:highlight w:val="white"/>
        </w:rPr>
        <w:t>** Signature of Reporting Person</w:t>
      </w:r>
    </w:p>
    <w:p>
      <w:pPr>
        <w:spacing w:after="0" w:line="226" w:lineRule="auto"/>
        <w:framePr w:w="660" w:h="109" w:wrap="auto" w:vAnchor="page" w:hAnchor="page" w:x="6640" w:y="3616"/>
        <w:rPr>
          <w:rFonts w:ascii="Arial" w:cs="Arial" w:eastAsia="Arial" w:hAnsi="Arial"/>
          <w:sz w:val="12"/>
          <w:szCs w:val="12"/>
          <w:b w:val="1"/>
          <w:bCs w:val="1"/>
          <w:color w:val="0000FF"/>
          <w:highlight w:val="white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0000FF"/>
          <w:highlight w:val="white"/>
        </w:rPr>
        <w:t>Expiration</w:t>
      </w:r>
    </w:p>
    <w:p>
      <w:pPr>
        <w:spacing w:after="0" w:line="226" w:lineRule="auto"/>
        <w:framePr w:w="180" w:h="109" w:wrap="auto" w:vAnchor="page" w:hAnchor="page" w:x="7760" w:y="3616"/>
        <w:rPr>
          <w:rFonts w:ascii="Arial" w:cs="Arial" w:eastAsia="Arial" w:hAnsi="Arial"/>
          <w:sz w:val="10"/>
          <w:szCs w:val="10"/>
          <w:b w:val="1"/>
          <w:bCs w:val="1"/>
          <w:color w:val="0000FF"/>
          <w:highlight w:val="white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0000FF"/>
          <w:highlight w:val="white"/>
        </w:rPr>
        <w:t>of</w:t>
      </w:r>
    </w:p>
    <w:p>
      <w:pPr>
        <w:spacing w:after="0" w:line="188" w:lineRule="auto"/>
        <w:framePr w:w="340" w:h="109" w:wrap="auto" w:vAnchor="page" w:hAnchor="page" w:x="6640" w:y="3749"/>
        <w:rPr>
          <w:rFonts w:ascii="Arial" w:cs="Arial" w:eastAsia="Arial" w:hAnsi="Arial"/>
          <w:sz w:val="12"/>
          <w:szCs w:val="12"/>
          <w:b w:val="1"/>
          <w:bCs w:val="1"/>
          <w:color w:val="0000FF"/>
          <w:highlight w:val="white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0000FF"/>
          <w:highlight w:val="white"/>
        </w:rPr>
        <w:t>Date</w:t>
      </w:r>
    </w:p>
    <w:p>
      <w:pPr>
        <w:spacing w:after="0" w:line="188" w:lineRule="auto"/>
        <w:framePr w:w="880" w:h="109" w:wrap="auto" w:vAnchor="page" w:hAnchor="page" w:x="7360" w:y="3749"/>
        <w:rPr>
          <w:rFonts w:ascii="Arial" w:cs="Arial" w:eastAsia="Arial" w:hAnsi="Arial"/>
          <w:sz w:val="12"/>
          <w:szCs w:val="12"/>
          <w:b w:val="1"/>
          <w:bCs w:val="1"/>
          <w:color w:val="0000FF"/>
          <w:highlight w:val="white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0000FF"/>
          <w:highlight w:val="white"/>
        </w:rPr>
        <w:t>Title  Shares</w:t>
      </w:r>
    </w:p>
    <w:p>
      <w:pPr>
        <w:spacing w:after="0" w:line="201" w:lineRule="auto"/>
        <w:framePr w:w="1580" w:h="154" w:wrap="auto" w:vAnchor="page" w:hAnchor="page" w:x="7000" w:y="3037"/>
        <w:rPr>
          <w:rFonts w:ascii="Arial" w:cs="Arial" w:eastAsia="Arial" w:hAnsi="Arial"/>
          <w:sz w:val="16"/>
          <w:szCs w:val="16"/>
          <w:b w:val="1"/>
          <w:bCs w:val="1"/>
          <w:color w:val="0000FF"/>
          <w:highlight w:val="white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00FF"/>
          <w:highlight w:val="white"/>
        </w:rPr>
        <w:t>/s/ Kathryn A. Lloyd,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20" w:type="dxa"/>
            <w:vAlign w:val="bottom"/>
            <w:gridSpan w:val="11"/>
          </w:tcPr>
          <w:p>
            <w:pPr>
              <w:jc w:val="center"/>
              <w:ind w:right="821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7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24199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419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1. The transaction was conducted in Canadian dollars at a price of C$7.8079 per share. 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of</w:t>
      </w:r>
      <w:r>
        <w:rPr>
          <w:rFonts w:ascii="Arial" w:cs="Arial" w:eastAsia="Arial" w:hAnsi="Arial"/>
          <w:sz w:val="11"/>
          <w:szCs w:val="11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(D)</w:t>
      </w:r>
      <w:r>
        <w:rPr>
          <w:rFonts w:ascii="Arial" w:cs="Arial" w:eastAsia="Arial" w:hAnsi="Arial"/>
          <w:sz w:val="11"/>
          <w:szCs w:val="11"/>
          <w:color w:val="008000"/>
        </w:rPr>
        <w:t>price reported is in U.S. Dollars based on the currency exchange rate of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Transaction(s)</w:t>
      </w:r>
      <w:r>
        <w:rPr>
          <w:rFonts w:ascii="Arial" w:cs="Arial" w:eastAsia="Arial" w:hAnsi="Arial"/>
          <w:sz w:val="11"/>
          <w:szCs w:val="11"/>
          <w:color w:val="008000"/>
        </w:rPr>
        <w:t>0.7192asreported in the Wall Street</w:t>
      </w:r>
    </w:p>
    <w:p>
      <w:pPr>
        <w:spacing w:after="0" w:line="14" w:lineRule="exact"/>
        <w:rPr>
          <w:rFonts w:ascii="Arial" w:cs="Arial" w:eastAsia="Arial" w:hAnsi="Arial"/>
          <w:sz w:val="16"/>
          <w:szCs w:val="16"/>
          <w:b w:val="1"/>
          <w:bCs w:val="1"/>
          <w:color w:val="0000FF"/>
          <w:highlight w:val="white"/>
        </w:rPr>
      </w:pPr>
    </w:p>
    <w:p>
      <w:pPr>
        <w:ind w:left="40"/>
        <w:spacing w:after="0"/>
        <w:tabs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 xml:space="preserve">Journal as of the close of trading on the Canadian Stock Exchange on April 13, 2020.  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(Instr. 3, 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(Instr. 4)</w:t>
      </w: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 5)</w:t>
      </w:r>
    </w:p>
    <w:p>
      <w:pPr>
        <w:sectPr>
          <w:pgSz w:w="11900" w:h="16838" w:orient="portrait"/>
          <w:cols w:equalWidth="0" w:num="1">
            <w:col w:w="11080"/>
          </w:cols>
          <w:pgMar w:left="460" w:top="175" w:right="359" w:bottom="1440" w:gutter="0" w:footer="0" w:header="0"/>
        </w:sectPr>
      </w:pPr>
    </w:p>
    <w:p>
      <w:pPr>
        <w:spacing w:after="0" w:line="200" w:lineRule="exact"/>
        <w:rPr>
          <w:rFonts w:ascii="Arial" w:cs="Arial" w:eastAsia="Arial" w:hAnsi="Arial"/>
          <w:sz w:val="16"/>
          <w:szCs w:val="16"/>
          <w:b w:val="1"/>
          <w:bCs w:val="1"/>
          <w:color w:val="0000FF"/>
          <w:highlight w:val="white"/>
        </w:rPr>
      </w:pPr>
    </w:p>
    <w:p>
      <w:pPr>
        <w:spacing w:after="0" w:line="285" w:lineRule="exact"/>
        <w:rPr>
          <w:rFonts w:ascii="Arial" w:cs="Arial" w:eastAsia="Arial" w:hAnsi="Arial"/>
          <w:sz w:val="16"/>
          <w:szCs w:val="16"/>
          <w:b w:val="1"/>
          <w:bCs w:val="1"/>
          <w:color w:val="0000FF"/>
          <w:highlight w:val="white"/>
        </w:rPr>
      </w:pPr>
    </w:p>
    <w:p>
      <w:pPr>
        <w:ind w:left="5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  <w:vertAlign w:val="subscript"/>
        </w:rPr>
        <w:t>CodeV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owned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  <w:vertAlign w:val="subscript"/>
        </w:rPr>
        <w:t>(A)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directly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  <w:vertAlign w:val="subscript"/>
        </w:rPr>
        <w:t>(D) Exercisable</w:t>
      </w:r>
      <w:r>
        <w:rPr>
          <w:rFonts w:ascii="Arial" w:cs="Arial" w:eastAsia="Arial" w:hAnsi="Arial"/>
          <w:sz w:val="10"/>
          <w:szCs w:val="10"/>
          <w:color w:val="auto"/>
        </w:rPr>
        <w:t>orindirectly.</w:t>
      </w:r>
    </w:p>
    <w:p>
      <w:pPr>
        <w:spacing w:after="0" w:line="2" w:lineRule="exact"/>
        <w:rPr>
          <w:rFonts w:ascii="Arial" w:cs="Arial" w:eastAsia="Arial" w:hAnsi="Arial"/>
          <w:sz w:val="16"/>
          <w:szCs w:val="16"/>
          <w:b w:val="1"/>
          <w:bCs w:val="1"/>
          <w:color w:val="0000FF"/>
          <w:highlight w:val="whit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20" w:lineRule="exact"/>
        <w:rPr>
          <w:rFonts w:ascii="Arial" w:cs="Arial" w:eastAsia="Arial" w:hAnsi="Arial"/>
          <w:sz w:val="16"/>
          <w:szCs w:val="16"/>
          <w:b w:val="1"/>
          <w:bCs w:val="1"/>
          <w:color w:val="0000FF"/>
          <w:highlight w:val="white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00FF"/>
          <w:highlight w:val="white"/>
        </w:rPr>
        <w:br w:type="column"/>
      </w:r>
    </w:p>
    <w:p>
      <w:pPr>
        <w:spacing w:after="0" w:line="22" w:lineRule="exact"/>
        <w:rPr>
          <w:rFonts w:ascii="Arial" w:cs="Arial" w:eastAsia="Arial" w:hAnsi="Arial"/>
          <w:sz w:val="16"/>
          <w:szCs w:val="16"/>
          <w:b w:val="1"/>
          <w:bCs w:val="1"/>
          <w:color w:val="0000FF"/>
          <w:highlight w:val="white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  <w:highlight w:val="white"/>
        </w:rPr>
        <w:t>04/15/2020</w:t>
      </w:r>
    </w:p>
    <w:p>
      <w:pPr>
        <w:spacing w:after="0" w:line="208" w:lineRule="exact"/>
        <w:rPr>
          <w:rFonts w:ascii="Arial" w:cs="Arial" w:eastAsia="Arial" w:hAnsi="Arial"/>
          <w:sz w:val="16"/>
          <w:szCs w:val="16"/>
          <w:b w:val="1"/>
          <w:bCs w:val="1"/>
          <w:color w:val="0000FF"/>
          <w:highlight w:val="white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5" w:lineRule="exact"/>
        <w:rPr>
          <w:rFonts w:ascii="Arial" w:cs="Arial" w:eastAsia="Arial" w:hAnsi="Arial"/>
          <w:sz w:val="16"/>
          <w:szCs w:val="16"/>
          <w:b w:val="1"/>
          <w:bCs w:val="1"/>
          <w:color w:val="0000FF"/>
          <w:highlight w:val="white"/>
        </w:rPr>
      </w:pPr>
    </w:p>
    <w:p>
      <w:pPr>
        <w:sectPr>
          <w:pgSz w:w="11900" w:h="16838" w:orient="portrait"/>
          <w:cols w:equalWidth="0" w:num="2">
            <w:col w:w="8060" w:space="720"/>
            <w:col w:w="2300"/>
          </w:cols>
          <w:pgMar w:left="460" w:top="175" w:right="359" w:bottom="1440" w:gutter="0" w:footer="0" w:header="0"/>
          <w:type w:val="continuous"/>
        </w:sect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03392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2020-04-15T16:52:05Z</dcterms:created>
  <dcterms:modified xsi:type="dcterms:W3CDTF">2020-04-15T16:52:05Z</dcterms:modified>
</cp:coreProperties>
</file>