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155575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520" w:right="120" w:hanging="512"/>
        <w:spacing w:after="0" w:line="286" w:lineRule="auto"/>
        <w:tabs>
          <w:tab w:leader="none" w:pos="4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2053590</wp:posOffset>
            </wp:positionH>
            <wp:positionV relativeFrom="paragraph">
              <wp:posOffset>-24130</wp:posOffset>
            </wp:positionV>
            <wp:extent cx="304292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4292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92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gridSpan w:val="2"/>
          </w:tcPr>
          <w:p>
            <w:pPr>
              <w:jc w:val="center"/>
              <w:ind w:right="2066"/>
              <w:spacing w:after="0"/>
              <w:rPr>
                <w:sz w:val="20"/>
                <w:szCs w:val="20"/>
                <w:color w:val="auto"/>
              </w:rPr>
            </w:pPr>
            <w:r>
              <w:rPr>
                <w:rFonts w:ascii="Times New Roman" w:cs="Times New Roman" w:eastAsia="Times New Roman" w:hAnsi="Times New Roman"/>
                <w:sz w:val="14"/>
                <w:szCs w:val="14"/>
                <w:b w:val="1"/>
                <w:bCs w:val="1"/>
                <w:color w:val="auto"/>
              </w:rPr>
              <w:t>Commission file number 000-56132</w:t>
            </w:r>
          </w:p>
        </w:tc>
      </w:tr>
      <w:tr>
        <w:trPr>
          <w:trHeight w:val="172"/>
        </w:trPr>
        <w:tc>
          <w:tcPr>
            <w:tcW w:w="2580" w:type="dxa"/>
            <w:vAlign w:val="bottom"/>
            <w:gridSpan w:val="2"/>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509"/>
        </w:trPr>
        <w:tc>
          <w:tcPr>
            <w:tcW w:w="6920" w:type="dxa"/>
            <w:vAlign w:val="bottom"/>
            <w:gridSpan w:val="4"/>
          </w:tcPr>
          <w:p>
            <w:pPr>
              <w:ind w:left="440"/>
              <w:spacing w:after="0"/>
              <w:rPr>
                <w:sz w:val="20"/>
                <w:szCs w:val="20"/>
                <w:color w:val="auto"/>
              </w:rPr>
            </w:pPr>
            <w:r>
              <w:rPr>
                <w:rFonts w:ascii="Times New Roman" w:cs="Times New Roman" w:eastAsia="Times New Roman" w:hAnsi="Times New Roman"/>
                <w:sz w:val="40"/>
                <w:szCs w:val="40"/>
                <w:b w:val="1"/>
                <w:bCs w:val="1"/>
                <w:color w:val="auto"/>
                <w:w w:val="99"/>
              </w:rPr>
              <w:t>GREEN THUMB INDUSTRIES INC.</w:t>
            </w:r>
          </w:p>
        </w:tc>
      </w:tr>
      <w:tr>
        <w:trPr>
          <w:trHeight w:val="190"/>
        </w:trPr>
        <w:tc>
          <w:tcPr>
            <w:tcW w:w="1940" w:type="dxa"/>
            <w:vAlign w:val="bottom"/>
          </w:tcPr>
          <w:p>
            <w:pPr>
              <w:spacing w:after="0"/>
              <w:rPr>
                <w:sz w:val="16"/>
                <w:szCs w:val="16"/>
                <w:color w:val="auto"/>
              </w:rPr>
            </w:pPr>
          </w:p>
        </w:tc>
        <w:tc>
          <w:tcPr>
            <w:tcW w:w="4980" w:type="dxa"/>
            <w:vAlign w:val="bottom"/>
            <w:gridSpan w:val="3"/>
          </w:tcPr>
          <w:p>
            <w:pPr>
              <w:jc w:val="center"/>
              <w:ind w:right="1426"/>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72"/>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r>
      <w:tr>
        <w:trPr>
          <w:trHeight w:val="221"/>
        </w:trPr>
        <w:tc>
          <w:tcPr>
            <w:tcW w:w="1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British Columbia</w:t>
            </w:r>
          </w:p>
        </w:tc>
        <w:tc>
          <w:tcPr>
            <w:tcW w:w="498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98-1437430</w:t>
            </w:r>
          </w:p>
        </w:tc>
      </w:tr>
      <w:tr>
        <w:trPr>
          <w:trHeight w:val="121"/>
        </w:trPr>
        <w:tc>
          <w:tcPr>
            <w:tcW w:w="1940" w:type="dxa"/>
            <w:vAlign w:val="bottom"/>
          </w:tcPr>
          <w:p>
            <w:pPr>
              <w:jc w:val="center"/>
              <w:ind w:right="58"/>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100" w:type="dxa"/>
            <w:vAlign w:val="bottom"/>
          </w:tcPr>
          <w:p>
            <w:pPr>
              <w:jc w:val="center"/>
              <w:ind w:left="1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(I.R.S. employer</w:t>
            </w:r>
          </w:p>
        </w:tc>
      </w:tr>
      <w:tr>
        <w:trPr>
          <w:trHeight w:val="142"/>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w w:val="98"/>
              </w:rPr>
              <w:t>identification no.)</w:t>
            </w:r>
          </w:p>
        </w:tc>
      </w:tr>
      <w:tr>
        <w:trPr>
          <w:trHeight w:val="267"/>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325 West Huron Street,</w:t>
            </w:r>
          </w:p>
        </w:tc>
        <w:tc>
          <w:tcPr>
            <w:tcW w:w="6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171"/>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Suite 700 Chicago, Illinois</w:t>
            </w:r>
          </w:p>
        </w:tc>
        <w:tc>
          <w:tcPr>
            <w:tcW w:w="4980" w:type="dxa"/>
            <w:vAlign w:val="bottom"/>
            <w:gridSpan w:val="3"/>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60654</w:t>
            </w:r>
          </w:p>
        </w:tc>
      </w:tr>
      <w:tr>
        <w:trPr>
          <w:trHeight w:val="142"/>
        </w:trPr>
        <w:tc>
          <w:tcPr>
            <w:tcW w:w="19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ind w:left="1226"/>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 (312) 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Subordinate Voting Shares</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Multiple Voting Shares</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Super Voting Shares</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69"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46"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As of May 1, 2026 there were 195,073,442 shares of the registrant’s Subordinate Voting Shares, 37,472 shares of the registrant’s Multiple Voting Shares and 201,690 shares of the registrant’s Super Voting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22"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b w:val="1"/>
          <w:bCs w:val="1"/>
          <w:color w:val="auto"/>
        </w:rPr>
        <w:t>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39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57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20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0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Interim Condensed Consolidated Balance Sheets as of March 31, 2026 and December 31, 2025</w:t>
      </w:r>
    </w:p>
    <w:p>
      <w:pPr>
        <w:spacing w:after="0" w:line="2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Unaudited Interim Condensed Consolidated Statements of Operations for the three months ended March 31, 2026 and 2025</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Unaudited Interim Condensed Consolidated Statements of Changes in Shareholders’ Equity for the three months ended March 31, 2026 and 2025</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Unaudited Interim Condensed Consolidated Statements of Cash Flows for the three months ended March 31, 2026 and 2025</w:t>
      </w:r>
    </w:p>
    <w:p>
      <w:pPr>
        <w:spacing w:after="0" w:line="1" w:lineRule="exact"/>
        <w:rPr>
          <w:sz w:val="20"/>
          <w:szCs w:val="20"/>
          <w:color w:val="auto"/>
        </w:rPr>
      </w:pPr>
    </w:p>
    <w:p>
      <w:pPr>
        <w:ind w:right="2120"/>
        <w:spacing w:after="0" w:line="274" w:lineRule="auto"/>
        <w:rPr>
          <w:sz w:val="20"/>
          <w:szCs w:val="20"/>
          <w:color w:val="auto"/>
        </w:rPr>
      </w:pPr>
      <w:r>
        <w:rPr>
          <w:rFonts w:ascii="Times New Roman" w:cs="Times New Roman" w:eastAsia="Times New Roman" w:hAnsi="Times New Roman"/>
          <w:sz w:val="18"/>
          <w:szCs w:val="18"/>
          <w:color w:val="auto"/>
        </w:rPr>
        <w:t>Notes to Unaudited Interim Condensed Consolidated Financial Statements Management’s Discussion and Analysis of Financial Condition and Results of Operations Quantitative and Qualitative Disclosure About Market Risk Controls and Procedures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Defaults Upon Senior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 Safety Disclosures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901700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39</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3">
            <w:col w:w="1340" w:space="480"/>
            <w:col w:w="8580" w:space="480"/>
            <w:col w:w="36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to “$” or “US$” in this document refer to United States dollars, and all references to “C$” refer to Canadian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“project,”“potential,” “risk,” “anticipate,” “believe,” “plan,” “forecast,” “suggests,”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the Company carries on business; the Company faces intense competition; the Company faces competition from the illicit market as well as products that actually or purportedly comply with the Agricultural Improvement Act of 2018, as amended; the Company is dependent upon the popularity and consumer acceptance of its brand portfolio that the Company licenses from a third-party; the Company has limited trademark protection; as a cannabis business, the Company is subject to unfavorable tax treatment and may incur significant tax liability; as a cannabis company, the Company may be subject to civil asset forfeiture;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or similar claims; the Company’s products may be subject to product recalls; the Company may face unfavorable publicity or consumer perception;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Company’s business, financial condition and results of operations; the Company relies on the expertise of the Company management team and other employees experienced in the cannabis industry, and the loss of key personnel could negatively affect the Company’s business, financial condition and results of operations; the Company's voting control is concentrated; the Company’s capital structure and voting control may cause unpredictability; and sales of substantial amounts of Subordinate Voting Shares by shareholders in the public market may have an adverse effect on the market price of the Company's Subordinate Voting Shares and could affect the Company’s business and financial condition and the results of operations. These and other risks and uncertainties are described further in the “Risk Factors” section of the Company’s Annual Report on Form 10-K for the year ended December 31, 2025, and elsewhere in the Company’s filings with the SEC, which are available on the SEC’s website or at </w:t>
      </w:r>
      <w:r>
        <w:rPr>
          <w:rFonts w:ascii="Times New Roman" w:cs="Times New Roman" w:eastAsia="Times New Roman" w:hAnsi="Times New Roman"/>
          <w:sz w:val="18"/>
          <w:szCs w:val="18"/>
          <w:i w:val="1"/>
          <w:iCs w:val="1"/>
          <w:u w:val="single" w:color="auto"/>
          <w:color w:val="auto"/>
        </w:rPr>
        <w:t>https://investors.gtigrows.com</w:t>
      </w:r>
      <w:r>
        <w:rPr>
          <w:rFonts w:ascii="Times New Roman" w:cs="Times New Roman" w:eastAsia="Times New Roman" w:hAnsi="Times New Roman"/>
          <w:sz w:val="18"/>
          <w:szCs w:val="18"/>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tcBorders>
              <w:bottom w:val="single" w:sz="8" w:color="auto"/>
            </w:tcBorders>
            <w:gridSpan w:val="3"/>
          </w:tcPr>
          <w:p>
            <w:pPr>
              <w:jc w:val="center"/>
              <w:ind w:right="964"/>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156"/>
        </w:trPr>
        <w:tc>
          <w:tcPr>
            <w:tcW w:w="8200" w:type="dxa"/>
            <w:vAlign w:val="bottom"/>
            <w:shd w:val="clear" w:color="auto" w:fill="CFF0FC"/>
          </w:tcPr>
          <w:p>
            <w:pPr>
              <w:ind w:left="3740"/>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gridSpan w:val="2"/>
            <w:shd w:val="clear" w:color="auto" w:fill="CFF0FC"/>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344,512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center"/>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274,298</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Restricted cash and cash equivalents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10,984</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51,897</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51,269</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Income tax receivable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8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25,766</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Convertible notes receivable from related party</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72,000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27,000</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Inventories, 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170,034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158,288</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12,426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11,168</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21,281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18,398</w:t>
            </w:r>
          </w:p>
        </w:tc>
        <w:tc>
          <w:tcPr>
            <w:tcW w:w="100" w:type="dxa"/>
            <w:vAlign w:val="bottom"/>
          </w:tcPr>
          <w:p>
            <w:pPr>
              <w:spacing w:after="0"/>
              <w:rPr>
                <w:sz w:val="14"/>
                <w:szCs w:val="14"/>
                <w:color w:val="auto"/>
              </w:rPr>
            </w:pPr>
          </w:p>
        </w:tc>
      </w:tr>
      <w:tr>
        <w:trPr>
          <w:trHeight w:val="156"/>
        </w:trPr>
        <w:tc>
          <w:tcPr>
            <w:tcW w:w="8200" w:type="dxa"/>
            <w:vAlign w:val="bottom"/>
            <w:shd w:val="clear" w:color="auto" w:fill="CFF0FC"/>
          </w:tcPr>
          <w:p>
            <w:pPr>
              <w:ind w:left="30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673,850</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577,171</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686,499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690,893</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Right of use assets, net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237,728</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239,662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Investments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32,664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32,720</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Investments in associates</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180,039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173,157</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Note receivable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524</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Convertible note receivable from related party</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8"/>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45,000</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424,108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436,681</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Goodwill</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591,764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592,151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Deposits and other assets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4,430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2,097</w:t>
            </w:r>
          </w:p>
        </w:tc>
        <w:tc>
          <w:tcPr>
            <w:tcW w:w="100" w:type="dxa"/>
            <w:vAlign w:val="bottom"/>
          </w:tcPr>
          <w:p>
            <w:pPr>
              <w:spacing w:after="0"/>
              <w:rPr>
                <w:sz w:val="14"/>
                <w:szCs w:val="14"/>
                <w:color w:val="auto"/>
              </w:rPr>
            </w:pPr>
          </w:p>
        </w:tc>
      </w:tr>
      <w:tr>
        <w:trPr>
          <w:trHeight w:val="196"/>
        </w:trPr>
        <w:tc>
          <w:tcPr>
            <w:tcW w:w="82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2,831,606</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center"/>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2,790,056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200" w:type="dxa"/>
            <w:vAlign w:val="bottom"/>
          </w:tcPr>
          <w:p>
            <w:pPr>
              <w:ind w:left="2360"/>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LIABILITIES</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gridSpan w:val="2"/>
            <w:shd w:val="clear" w:color="auto" w:fill="CFF0FC"/>
          </w:tcPr>
          <w:p>
            <w:pPr>
              <w:jc w:val="right"/>
              <w:ind w:right="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20,084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center"/>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24,569</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75,265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88,498</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Compensation payable</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33,341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27,402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Current portion of notes payable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23,579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18,495</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Current portion of lease liabilities</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18,980</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18,351</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Income tax payable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22,906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8200" w:type="dxa"/>
            <w:vAlign w:val="bottom"/>
            <w:shd w:val="clear" w:color="auto" w:fill="CFF0FC"/>
          </w:tcPr>
          <w:p>
            <w:pPr>
              <w:ind w:left="300"/>
              <w:spacing w:after="0" w:line="156"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194,155</w:t>
            </w: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177,315</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Long-Term liabilities: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Lease liabilities, net of current portion</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253,463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255,102</w:t>
            </w: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Notes payable, net of current portion and debt discount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266,344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226,401</w:t>
            </w:r>
          </w:p>
        </w:tc>
        <w:tc>
          <w:tcPr>
            <w:tcW w:w="100" w:type="dxa"/>
            <w:vAlign w:val="bottom"/>
          </w:tcPr>
          <w:p>
            <w:pPr>
              <w:spacing w:after="0"/>
              <w:rPr>
                <w:sz w:val="14"/>
                <w:szCs w:val="14"/>
                <w:color w:val="auto"/>
              </w:rPr>
            </w:pPr>
          </w:p>
        </w:tc>
      </w:tr>
      <w:tr>
        <w:trPr>
          <w:trHeight w:val="162"/>
        </w:trPr>
        <w:tc>
          <w:tcPr>
            <w:tcW w:w="8200" w:type="dxa"/>
            <w:vAlign w:val="bottom"/>
            <w:tcBorders>
              <w:bottom w:val="single" w:sz="8" w:color="CFF0FC"/>
            </w:tcBorders>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220,595</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220,595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2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934,557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879,413</w:t>
            </w:r>
          </w:p>
        </w:tc>
        <w:tc>
          <w:tcPr>
            <w:tcW w:w="100" w:type="dxa"/>
            <w:vAlign w:val="bottom"/>
          </w:tcPr>
          <w:p>
            <w:pPr>
              <w:spacing w:after="0"/>
              <w:rPr>
                <w:sz w:val="13"/>
                <w:szCs w:val="13"/>
                <w:color w:val="auto"/>
              </w:rPr>
            </w:pPr>
          </w:p>
        </w:tc>
      </w:tr>
      <w:tr>
        <w:trPr>
          <w:trHeight w:val="162"/>
        </w:trPr>
        <w:tc>
          <w:tcPr>
            <w:tcW w:w="8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SHAREHOLDERS'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5"/>
        </w:trPr>
        <w:tc>
          <w:tcPr>
            <w:tcW w:w="82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Subordinate Voting Shares (shares authorized, issued and outstanding at March 31, 2026:</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2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unlimited, 202,013,135, and 202,013,135, respectively, at December 31, 2025:</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9"/>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unlimited, 206,629,845, and 206,629,845, respectively)</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82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Multiple Voting Shares (shares authorized, issued and outstanding at March 31, 2026: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unlimited, 37,472 and 37,472, respectively, at December 31, 2025: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unlimited, 37,472 and 37,472, respectively)</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820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Super Voting Shares (shares authorized, issued and outstanding at March 31, 2026:</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2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unlimited, 201,690 and 201,690, respectively, at December 31, 2025:</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9"/>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unlimited, 201,690 and 201,690, respectively)</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Share capital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1,789,894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1,780,590</w:t>
            </w:r>
          </w:p>
        </w:tc>
        <w:tc>
          <w:tcPr>
            <w:tcW w:w="100" w:type="dxa"/>
            <w:vAlign w:val="bottom"/>
          </w:tcPr>
          <w:p>
            <w:pPr>
              <w:spacing w:after="0"/>
              <w:rPr>
                <w:sz w:val="14"/>
                <w:szCs w:val="14"/>
                <w:color w:val="auto"/>
              </w:rPr>
            </w:pPr>
          </w:p>
        </w:tc>
      </w:tr>
      <w:tr>
        <w:trPr>
          <w:trHeight w:val="162"/>
        </w:trPr>
        <w:tc>
          <w:tcPr>
            <w:tcW w:w="82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Contributed deficit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8"/>
              <w:spacing w:after="0" w:line="162" w:lineRule="exact"/>
              <w:rPr>
                <w:sz w:val="20"/>
                <w:szCs w:val="20"/>
                <w:color w:val="auto"/>
              </w:rPr>
            </w:pPr>
            <w:r>
              <w:rPr>
                <w:rFonts w:ascii="Times New Roman" w:cs="Times New Roman" w:eastAsia="Times New Roman" w:hAnsi="Times New Roman"/>
                <w:sz w:val="15"/>
                <w:szCs w:val="15"/>
                <w:color w:val="auto"/>
              </w:rPr>
              <w:t>(77,697)</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(40,576)</w:t>
            </w:r>
          </w:p>
        </w:tc>
      </w:tr>
      <w:tr>
        <w:trPr>
          <w:trHeight w:val="162"/>
        </w:trPr>
        <w:tc>
          <w:tcPr>
            <w:tcW w:w="82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Accumulated earnings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180,814</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165,417</w:t>
            </w:r>
          </w:p>
        </w:tc>
        <w:tc>
          <w:tcPr>
            <w:tcW w:w="100" w:type="dxa"/>
            <w:vAlign w:val="bottom"/>
          </w:tcPr>
          <w:p>
            <w:pPr>
              <w:spacing w:after="0"/>
              <w:rPr>
                <w:sz w:val="14"/>
                <w:szCs w:val="14"/>
                <w:color w:val="auto"/>
              </w:rPr>
            </w:pPr>
          </w:p>
        </w:tc>
      </w:tr>
      <w:tr>
        <w:trPr>
          <w:trHeight w:val="156"/>
        </w:trPr>
        <w:tc>
          <w:tcPr>
            <w:tcW w:w="8200" w:type="dxa"/>
            <w:vAlign w:val="bottom"/>
            <w:shd w:val="clear" w:color="auto" w:fill="CFF0FC"/>
          </w:tcPr>
          <w:p>
            <w:pPr>
              <w:ind w:left="300"/>
              <w:spacing w:after="0" w:line="156" w:lineRule="exact"/>
              <w:rPr>
                <w:sz w:val="20"/>
                <w:szCs w:val="20"/>
                <w:color w:val="auto"/>
              </w:rPr>
            </w:pPr>
            <w:r>
              <w:rPr>
                <w:rFonts w:ascii="Times New Roman" w:cs="Times New Roman" w:eastAsia="Times New Roman" w:hAnsi="Times New Roman"/>
                <w:sz w:val="15"/>
                <w:szCs w:val="15"/>
                <w:color w:val="auto"/>
              </w:rPr>
              <w:t>Equity of Green Thumb Industries Inc.</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1,893,011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1,905,431</w:t>
            </w:r>
          </w:p>
        </w:tc>
        <w:tc>
          <w:tcPr>
            <w:tcW w:w="100" w:type="dxa"/>
            <w:vAlign w:val="bottom"/>
            <w:shd w:val="clear" w:color="auto" w:fill="CFF0FC"/>
          </w:tcPr>
          <w:p>
            <w:pPr>
              <w:spacing w:after="0"/>
              <w:rPr>
                <w:sz w:val="13"/>
                <w:szCs w:val="13"/>
                <w:color w:val="auto"/>
              </w:rPr>
            </w:pPr>
          </w:p>
        </w:tc>
      </w:tr>
      <w:tr>
        <w:trPr>
          <w:trHeight w:val="162"/>
        </w:trPr>
        <w:tc>
          <w:tcPr>
            <w:tcW w:w="82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Noncontrolling interests</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4,038</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5,212</w:t>
            </w:r>
          </w:p>
        </w:tc>
        <w:tc>
          <w:tcPr>
            <w:tcW w:w="100" w:type="dxa"/>
            <w:vAlign w:val="bottom"/>
          </w:tcPr>
          <w:p>
            <w:pPr>
              <w:spacing w:after="0"/>
              <w:rPr>
                <w:sz w:val="14"/>
                <w:szCs w:val="14"/>
                <w:color w:val="auto"/>
              </w:rPr>
            </w:pPr>
          </w:p>
        </w:tc>
      </w:tr>
      <w:tr>
        <w:trPr>
          <w:trHeight w:val="155"/>
        </w:trPr>
        <w:tc>
          <w:tcPr>
            <w:tcW w:w="82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1,897,049</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1,910,643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82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20" w:type="dxa"/>
            <w:vAlign w:val="bottom"/>
            <w:tcBorders>
              <w:bottom w:val="single" w:sz="8" w:color="auto"/>
            </w:tcBorders>
            <w:gridSpan w:val="2"/>
          </w:tcPr>
          <w:p>
            <w:pPr>
              <w:jc w:val="right"/>
              <w:ind w:right="85"/>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2,831,606</w:t>
            </w:r>
          </w:p>
        </w:tc>
        <w:tc>
          <w:tcPr>
            <w:tcW w:w="240" w:type="dxa"/>
            <w:vAlign w:val="bottom"/>
          </w:tcPr>
          <w:p>
            <w:pPr>
              <w:spacing w:after="0"/>
              <w:rPr>
                <w:sz w:val="13"/>
                <w:szCs w:val="13"/>
                <w:color w:val="auto"/>
              </w:rPr>
            </w:pPr>
          </w:p>
        </w:tc>
        <w:tc>
          <w:tcPr>
            <w:tcW w:w="160" w:type="dxa"/>
            <w:vAlign w:val="bottom"/>
            <w:tcBorders>
              <w:bottom w:val="single" w:sz="8" w:color="auto"/>
            </w:tcBorders>
          </w:tcPr>
          <w:p>
            <w:pPr>
              <w:jc w:val="center"/>
              <w:ind w:right="4"/>
              <w:spacing w:after="0" w:line="14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2,790,056</w:t>
            </w:r>
          </w:p>
        </w:tc>
        <w:tc>
          <w:tcPr>
            <w:tcW w:w="100" w:type="dxa"/>
            <w:vAlign w:val="bottom"/>
          </w:tcPr>
          <w:p>
            <w:pPr>
              <w:spacing w:after="0"/>
              <w:rPr>
                <w:sz w:val="13"/>
                <w:szCs w:val="13"/>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-3496945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-3479800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-2022475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20" w:type="dxa"/>
            <w:vAlign w:val="bottom"/>
            <w:tcBorders>
              <w:bottom w:val="single" w:sz="8" w:color="auto"/>
            </w:tcBorders>
            <w:gridSpan w:val="4"/>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56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300,190</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279,540</w:t>
            </w: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(156,545)</w:t>
            </w:r>
          </w:p>
        </w:tc>
        <w:tc>
          <w:tcPr>
            <w:tcW w:w="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(136,265)</w:t>
            </w:r>
          </w:p>
        </w:tc>
        <w:tc>
          <w:tcPr>
            <w:tcW w:w="12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143,645</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w:t>
            </w:r>
          </w:p>
        </w:tc>
        <w:tc>
          <w:tcPr>
            <w:tcW w:w="24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100,793</w:t>
            </w:r>
          </w:p>
        </w:tc>
        <w:tc>
          <w:tcPr>
            <w:tcW w:w="120" w:type="dxa"/>
            <w:vAlign w:val="bottom"/>
            <w:shd w:val="clear" w:color="auto" w:fill="CFF0FC"/>
          </w:tcPr>
          <w:p>
            <w:pPr>
              <w:spacing w:after="0"/>
              <w:rPr>
                <w:sz w:val="18"/>
                <w:szCs w:val="18"/>
                <w:color w:val="auto"/>
              </w:rPr>
            </w:pPr>
          </w:p>
        </w:tc>
      </w:tr>
      <w:tr>
        <w:trPr>
          <w:trHeight w:val="21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102,911</w:t>
            </w:r>
          </w:p>
        </w:tc>
        <w:tc>
          <w:tcPr>
            <w:tcW w:w="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100,793</w:t>
            </w:r>
          </w:p>
        </w:tc>
        <w:tc>
          <w:tcPr>
            <w:tcW w:w="12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22,967</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Pr>
          <w:p>
            <w:pPr>
              <w:spacing w:after="0"/>
              <w:rPr>
                <w:sz w:val="18"/>
                <w:szCs w:val="18"/>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 interest</w:t>
            </w: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63,139</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39,716</w:t>
            </w: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48,092</w:t>
            </w:r>
          </w:p>
        </w:tc>
        <w:tc>
          <w:tcPr>
            <w:tcW w:w="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20" w:type="dxa"/>
            <w:vAlign w:val="bottom"/>
          </w:tcPr>
          <w:p>
            <w:pPr>
              <w:spacing w:after="0"/>
              <w:rPr>
                <w:sz w:val="18"/>
                <w:szCs w:val="18"/>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5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w:t>
            </w:r>
          </w:p>
        </w:tc>
        <w:tc>
          <w:tcPr>
            <w:tcW w:w="5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5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5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230,596,682</w:t>
            </w:r>
          </w:p>
        </w:tc>
        <w:tc>
          <w:tcPr>
            <w:tcW w:w="2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236,120,511</w:t>
            </w:r>
          </w:p>
        </w:tc>
        <w:tc>
          <w:tcPr>
            <w:tcW w:w="12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5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231,827,061</w:t>
            </w:r>
          </w:p>
        </w:tc>
        <w:tc>
          <w:tcPr>
            <w:tcW w:w="2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236,822,468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-2665095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-2395220</wp:posOffset>
            </wp:positionV>
            <wp:extent cx="17970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-2395220</wp:posOffset>
            </wp:positionV>
            <wp:extent cx="10287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-2091055</wp:posOffset>
            </wp:positionV>
            <wp:extent cx="154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-2091055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-1533525</wp:posOffset>
            </wp:positionV>
            <wp:extent cx="15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-676275</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-659130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-676275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-350520</wp:posOffset>
            </wp:positionV>
            <wp:extent cx="1543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-333375</wp:posOffset>
            </wp:positionV>
            <wp:extent cx="154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1543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154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5580" w:right="2860" w:hanging="5570"/>
        <w:spacing w:after="0" w:line="673" w:lineRule="auto"/>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Contributed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220" w:type="dxa"/>
            <w:vAlign w:val="bottom"/>
            <w:vMerge w:val="restart"/>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2025</w:t>
            </w:r>
          </w:p>
        </w:tc>
        <w:tc>
          <w:tcPr>
            <w:tcW w:w="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1,758,504</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(26,854)</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6,362 $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51,265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1,789,080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associated with investment interests</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of deferred shares</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share settlement of equity awards</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1,770,578</w:t>
            </w:r>
          </w:p>
        </w:tc>
        <w:tc>
          <w:tcPr>
            <w:tcW w:w="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(22,993)</w:t>
            </w:r>
          </w:p>
        </w:tc>
        <w:tc>
          <w:tcPr>
            <w:tcW w:w="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4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1,780,590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(40,576)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165,417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1,910,643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options and RSUs</w:t>
            </w:r>
          </w:p>
        </w:tc>
        <w:tc>
          <w:tcPr>
            <w:tcW w:w="2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0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share settlement of equity awards</w:t>
            </w:r>
          </w:p>
        </w:tc>
        <w:tc>
          <w:tcPr>
            <w:tcW w:w="2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9,041</w:t>
            </w: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(14,116)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10,517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Subordinate Voting Shares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(33,297)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15,397</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1,789,894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(77,697)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1,897,049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-1370965</wp:posOffset>
            </wp:positionV>
            <wp:extent cx="146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-1370965</wp:posOffset>
            </wp:positionV>
            <wp:extent cx="146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-1370965</wp:posOffset>
            </wp:positionV>
            <wp:extent cx="146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-1370965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-1370965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-230505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-230505</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-230505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-230505</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-230505</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200" w:type="dxa"/>
            <w:vAlign w:val="bottom"/>
            <w:tcBorders>
              <w:bottom w:val="single" w:sz="8" w:color="auto"/>
            </w:tcBorders>
            <w:gridSpan w:val="3"/>
          </w:tcPr>
          <w:p>
            <w:pPr>
              <w:jc w:val="center"/>
              <w:ind w:right="553"/>
              <w:spacing w:after="0" w:line="142"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attributable to Green Thumb Industries Inc.</w:t>
            </w:r>
          </w:p>
        </w:tc>
        <w:tc>
          <w:tcPr>
            <w:tcW w:w="1120" w:type="dxa"/>
            <w:vAlign w:val="bottom"/>
            <w:gridSpan w:val="2"/>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15,397</w:t>
            </w:r>
          </w:p>
        </w:tc>
        <w:tc>
          <w:tcPr>
            <w:tcW w:w="160" w:type="dxa"/>
            <w:vAlign w:val="bottom"/>
          </w:tcPr>
          <w:p>
            <w:pPr>
              <w:spacing w:after="0"/>
              <w:rPr>
                <w:sz w:val="12"/>
                <w:szCs w:val="12"/>
                <w:color w:val="auto"/>
              </w:rPr>
            </w:pPr>
          </w:p>
        </w:tc>
        <w:tc>
          <w:tcPr>
            <w:tcW w:w="1040" w:type="dxa"/>
            <w:vAlign w:val="bottom"/>
            <w:gridSpan w:val="2"/>
          </w:tcPr>
          <w:p>
            <w:pPr>
              <w:jc w:val="center"/>
              <w:ind w:right="713"/>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8,306</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(loss) income attributable to non-controlling interest</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32,413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29,411</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operating lease right of use assets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(Earnings) loss on equity method investments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(6,470)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Reserve for obsolete inventory expense</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Increase in fair value of investments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w:t>
            </w: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on notes receivable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(474)</w:t>
            </w: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Decrease in fair value of warrants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(66)</w:t>
            </w: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settlement of shares issued in association with investment interests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w:t>
            </w: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Fair value adjustments on related party warrants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 on related party convertible notes receivable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(1,760)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(250)</w:t>
            </w:r>
          </w:p>
        </w:tc>
      </w:tr>
      <w:tr>
        <w:trPr>
          <w:trHeight w:val="149"/>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5,372</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(11,772)</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(8,174)</w:t>
            </w: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(1,290)</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Deposits and other assets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(2,192)</w:t>
            </w: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(4,616)</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(5,459)</w:t>
            </w: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liabilities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(4,078)</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(12,523)</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(11,566)</w:t>
            </w:r>
          </w:p>
        </w:tc>
      </w:tr>
      <w:tr>
        <w:trPr>
          <w:trHeight w:val="148"/>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 receivable and payable, net</w:t>
            </w:r>
          </w:p>
        </w:tc>
        <w:tc>
          <w:tcPr>
            <w:tcW w:w="2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31,260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NET CASH FLOWS PROVIDED BY OPERATING ACTIVITIES</w:t>
            </w:r>
          </w:p>
        </w:tc>
        <w:tc>
          <w:tcPr>
            <w:tcW w:w="2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75,799</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74,219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(18,856)</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(29,839)</w:t>
            </w:r>
          </w:p>
        </w:tc>
      </w:tr>
      <w:tr>
        <w:trPr>
          <w:trHeight w:val="148"/>
        </w:trPr>
        <w:tc>
          <w:tcPr>
            <w:tcW w:w="20" w:type="dxa"/>
            <w:vAlign w:val="bottom"/>
          </w:tcPr>
          <w:p>
            <w:pPr>
              <w:spacing w:after="0"/>
              <w:rPr>
                <w:sz w:val="12"/>
                <w:szCs w:val="12"/>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disposal of property and equipment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Investments in securities and associates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(1,775)</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(735)</w:t>
            </w:r>
          </w:p>
        </w:tc>
      </w:tr>
      <w:tr>
        <w:trPr>
          <w:trHeight w:val="149"/>
        </w:trPr>
        <w:tc>
          <w:tcPr>
            <w:tcW w:w="20" w:type="dxa"/>
            <w:vAlign w:val="bottom"/>
          </w:tcPr>
          <w:p>
            <w:pPr>
              <w:spacing w:after="0"/>
              <w:rPr>
                <w:sz w:val="12"/>
                <w:szCs w:val="12"/>
                <w:color w:val="auto"/>
              </w:rPr>
            </w:pPr>
          </w:p>
        </w:tc>
        <w:tc>
          <w:tcPr>
            <w:tcW w:w="76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Proceeds from equity investments and notes receivable</w:t>
            </w:r>
          </w:p>
        </w:tc>
        <w:tc>
          <w:tcPr>
            <w:tcW w:w="2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FF0FC"/>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NET CASH FLOWS USED IN INVESTING ACTIVITIES</w:t>
            </w:r>
          </w:p>
        </w:tc>
        <w:tc>
          <w:tcPr>
            <w:tcW w:w="2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(20,575)</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(30,568)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(713)</w:t>
            </w:r>
          </w:p>
        </w:tc>
      </w:tr>
      <w:tr>
        <w:trPr>
          <w:trHeight w:val="148"/>
        </w:trPr>
        <w:tc>
          <w:tcPr>
            <w:tcW w:w="20" w:type="dxa"/>
            <w:vAlign w:val="bottom"/>
          </w:tcPr>
          <w:p>
            <w:pPr>
              <w:spacing w:after="0"/>
              <w:rPr>
                <w:sz w:val="12"/>
                <w:szCs w:val="12"/>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 of Subordinate Voting Shares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(33,297)</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(1,038)</w:t>
            </w: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for taxes related to net share settlement of equity awards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(5,075)</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(1,678)</w:t>
            </w:r>
          </w:p>
        </w:tc>
      </w:tr>
      <w:tr>
        <w:trPr>
          <w:trHeight w:val="149"/>
        </w:trPr>
        <w:tc>
          <w:tcPr>
            <w:tcW w:w="20" w:type="dxa"/>
            <w:vAlign w:val="bottom"/>
          </w:tcPr>
          <w:p>
            <w:pPr>
              <w:spacing w:after="0"/>
              <w:rPr>
                <w:sz w:val="12"/>
                <w:szCs w:val="12"/>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exercise of options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net from issuance of notes payable</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49,490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0" w:type="dxa"/>
            <w:vAlign w:val="bottom"/>
          </w:tcPr>
          <w:p>
            <w:pPr>
              <w:spacing w:after="0"/>
              <w:rPr>
                <w:sz w:val="12"/>
                <w:szCs w:val="12"/>
                <w:color w:val="auto"/>
              </w:rPr>
            </w:pPr>
          </w:p>
        </w:tc>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 of notes payable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(4,626)</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(2,677)</w:t>
            </w:r>
          </w:p>
        </w:tc>
      </w:tr>
      <w:tr>
        <w:trPr>
          <w:trHeight w:val="142"/>
        </w:trPr>
        <w:tc>
          <w:tcPr>
            <w:tcW w:w="20" w:type="dxa"/>
            <w:vAlign w:val="bottom"/>
          </w:tcPr>
          <w:p>
            <w:pPr>
              <w:spacing w:after="0"/>
              <w:rPr>
                <w:sz w:val="12"/>
                <w:szCs w:val="12"/>
                <w:color w:val="auto"/>
              </w:rPr>
            </w:pPr>
          </w:p>
        </w:tc>
        <w:tc>
          <w:tcPr>
            <w:tcW w:w="7640" w:type="dxa"/>
            <w:vAlign w:val="bottom"/>
            <w:tcBorders>
              <w:top w:val="single" w:sz="8" w:color="CFF0FC"/>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NET CASH FLOWS PROVIDED BY (USED IN) FINANCING ACTIVITIES</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5,706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(4,756)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 AND RESTRICTED CASH AND CASH EQUIVALENTS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60,930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38,895</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 BEGINNING OF PERIOD</w:t>
            </w:r>
          </w:p>
        </w:tc>
        <w:tc>
          <w:tcPr>
            <w:tcW w:w="2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285,282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171,687</w:t>
            </w: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64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 END OF PERIOD</w:t>
            </w:r>
          </w:p>
        </w:tc>
        <w:tc>
          <w:tcPr>
            <w:tcW w:w="1120" w:type="dxa"/>
            <w:vAlign w:val="bottom"/>
            <w:gridSpan w:val="2"/>
            <w:shd w:val="clear" w:color="auto" w:fill="CFF0FC"/>
          </w:tcPr>
          <w:p>
            <w:pPr>
              <w:jc w:val="right"/>
              <w:ind w:right="7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346,212</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center"/>
              <w:ind w:right="71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210,582</w:t>
            </w:r>
          </w:p>
        </w:tc>
        <w:tc>
          <w:tcPr>
            <w:tcW w:w="100" w:type="dxa"/>
            <w:vAlign w:val="bottom"/>
            <w:shd w:val="clear" w:color="auto" w:fill="CFF0FC"/>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-1774190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-1774190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-1306195</wp:posOffset>
            </wp:positionV>
            <wp:extent cx="93980" cy="136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-1306195</wp:posOffset>
            </wp:positionV>
            <wp:extent cx="93980" cy="136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-535305</wp:posOffset>
            </wp:positionV>
            <wp:extent cx="9398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-535305</wp:posOffset>
            </wp:positionV>
            <wp:extent cx="939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United States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Borders>
              <w:top w:val="single" w:sz="8" w:color="auto"/>
            </w:tcBorders>
          </w:tcPr>
          <w:p>
            <w:pPr>
              <w:spacing w:after="0"/>
              <w:rPr>
                <w:sz w:val="18"/>
                <w:szCs w:val="18"/>
                <w:color w:val="auto"/>
              </w:rPr>
            </w:pPr>
          </w:p>
        </w:tc>
        <w:tc>
          <w:tcPr>
            <w:tcW w:w="7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1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2"/>
        </w:trPr>
        <w:tc>
          <w:tcPr>
            <w:tcW w:w="120" w:type="dxa"/>
            <w:vAlign w:val="bottom"/>
          </w:tcPr>
          <w:p>
            <w:pPr>
              <w:spacing w:after="0"/>
              <w:rPr>
                <w:sz w:val="12"/>
                <w:szCs w:val="12"/>
                <w:color w:val="auto"/>
              </w:rPr>
            </w:pPr>
          </w:p>
        </w:tc>
        <w:tc>
          <w:tcPr>
            <w:tcW w:w="7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Interest paid</w:t>
            </w:r>
          </w:p>
        </w:tc>
        <w:tc>
          <w:tcPr>
            <w:tcW w:w="20" w:type="dxa"/>
            <w:vAlign w:val="bottom"/>
          </w:tcPr>
          <w:p>
            <w:pPr>
              <w:spacing w:after="0"/>
              <w:rPr>
                <w:sz w:val="12"/>
                <w:szCs w:val="12"/>
                <w:color w:val="auto"/>
              </w:rPr>
            </w:pPr>
          </w:p>
        </w:tc>
        <w:tc>
          <w:tcPr>
            <w:tcW w:w="8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7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8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Taxes paid</w:t>
            </w:r>
          </w:p>
        </w:tc>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155</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20" w:type="dxa"/>
            <w:vAlign w:val="bottom"/>
          </w:tcPr>
          <w:p>
            <w:pPr>
              <w:spacing w:after="0"/>
              <w:rPr>
                <w:sz w:val="11"/>
                <w:szCs w:val="11"/>
                <w:color w:val="auto"/>
              </w:rPr>
            </w:pPr>
          </w:p>
        </w:tc>
        <w:tc>
          <w:tcPr>
            <w:tcW w:w="78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8"/>
        </w:trPr>
        <w:tc>
          <w:tcPr>
            <w:tcW w:w="120" w:type="dxa"/>
            <w:vAlign w:val="bottom"/>
          </w:tcPr>
          <w:p>
            <w:pPr>
              <w:spacing w:after="0"/>
              <w:rPr>
                <w:sz w:val="16"/>
                <w:szCs w:val="16"/>
                <w:color w:val="auto"/>
              </w:rPr>
            </w:pPr>
          </w:p>
        </w:tc>
        <w:tc>
          <w:tcPr>
            <w:tcW w:w="78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Accrued capital expenditures</w:t>
            </w:r>
          </w:p>
        </w:tc>
        <w:tc>
          <w:tcPr>
            <w:tcW w:w="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(3,213)</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(7,660)</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Pr>
          <w:p>
            <w:pPr>
              <w:spacing w:after="0"/>
              <w:rPr>
                <w:sz w:val="16"/>
                <w:szCs w:val="16"/>
                <w:color w:val="auto"/>
              </w:rPr>
            </w:pPr>
          </w:p>
        </w:tc>
      </w:tr>
      <w:tr>
        <w:trPr>
          <w:trHeight w:val="129"/>
        </w:trPr>
        <w:tc>
          <w:tcPr>
            <w:tcW w:w="79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Noncash change in right of use asset</w:t>
            </w:r>
          </w:p>
        </w:tc>
        <w:tc>
          <w:tcPr>
            <w:tcW w:w="20" w:type="dxa"/>
            <w:vAlign w:val="bottom"/>
          </w:tcPr>
          <w:p>
            <w:pPr>
              <w:spacing w:after="0"/>
              <w:rPr>
                <w:sz w:val="11"/>
                <w:szCs w:val="11"/>
                <w:color w:val="auto"/>
              </w:rPr>
            </w:pPr>
          </w:p>
        </w:tc>
        <w:tc>
          <w:tcPr>
            <w:tcW w:w="8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(2,496)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7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8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Noncash change in lease liability</w:t>
            </w:r>
          </w:p>
        </w:tc>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2,496</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9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Issuance of shares associated with investment interests</w:t>
            </w:r>
          </w:p>
        </w:tc>
        <w:tc>
          <w:tcPr>
            <w:tcW w:w="20" w:type="dxa"/>
            <w:vAlign w:val="bottom"/>
          </w:tcPr>
          <w:p>
            <w:pPr>
              <w:spacing w:after="0"/>
              <w:rPr>
                <w:sz w:val="11"/>
                <w:szCs w:val="11"/>
                <w:color w:val="auto"/>
              </w:rPr>
            </w:pPr>
          </w:p>
        </w:tc>
        <w:tc>
          <w:tcPr>
            <w:tcW w:w="8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7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8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Distribution of deferred shares</w:t>
            </w:r>
          </w:p>
        </w:tc>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(6,362)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20" w:type="dxa"/>
            <w:vAlign w:val="bottom"/>
          </w:tcPr>
          <w:p>
            <w:pPr>
              <w:spacing w:after="0"/>
              <w:rPr>
                <w:sz w:val="11"/>
                <w:szCs w:val="11"/>
                <w:color w:val="auto"/>
              </w:rPr>
            </w:pPr>
          </w:p>
        </w:tc>
        <w:tc>
          <w:tcPr>
            <w:tcW w:w="78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AND DISPOSITIONS</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120" w:type="dxa"/>
            <w:vAlign w:val="bottom"/>
          </w:tcPr>
          <w:p>
            <w:pPr>
              <w:spacing w:after="0"/>
              <w:rPr>
                <w:sz w:val="12"/>
                <w:szCs w:val="12"/>
                <w:color w:val="auto"/>
              </w:rPr>
            </w:pPr>
          </w:p>
        </w:tc>
        <w:tc>
          <w:tcPr>
            <w:tcW w:w="78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gridSpan w:val="2"/>
            <w:shd w:val="clear" w:color="auto" w:fill="CFF0FC"/>
          </w:tcPr>
          <w:p>
            <w:pPr>
              <w:jc w:val="right"/>
              <w:ind w:right="71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6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78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78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78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Identifiable Intangible assets</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78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78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Deposits and other assets</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78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Liabilities assumed</w:t>
            </w: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2"/>
        </w:trPr>
        <w:tc>
          <w:tcPr>
            <w:tcW w:w="1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4"/>
        </w:trPr>
        <w:tc>
          <w:tcPr>
            <w:tcW w:w="120" w:type="dxa"/>
            <w:vAlign w:val="bottom"/>
          </w:tcPr>
          <w:p>
            <w:pPr>
              <w:spacing w:after="0"/>
              <w:rPr>
                <w:sz w:val="9"/>
                <w:szCs w:val="9"/>
                <w:color w:val="auto"/>
              </w:rPr>
            </w:pPr>
          </w:p>
        </w:tc>
        <w:tc>
          <w:tcPr>
            <w:tcW w:w="782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RECONCILIATION OF CASH, AND CASH EQUIVALENTS AND</w:t>
            </w:r>
          </w:p>
        </w:tc>
        <w:tc>
          <w:tcPr>
            <w:tcW w:w="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Pr>
          <w:p>
            <w:pPr>
              <w:spacing w:after="0"/>
              <w:rPr>
                <w:sz w:val="9"/>
                <w:szCs w:val="9"/>
                <w:color w:val="auto"/>
              </w:rPr>
            </w:pPr>
          </w:p>
        </w:tc>
      </w:tr>
      <w:tr>
        <w:trPr>
          <w:trHeight w:val="173"/>
        </w:trPr>
        <w:tc>
          <w:tcPr>
            <w:tcW w:w="120" w:type="dxa"/>
            <w:vAlign w:val="bottom"/>
          </w:tcPr>
          <w:p>
            <w:pPr>
              <w:spacing w:after="0"/>
              <w:rPr>
                <w:sz w:val="15"/>
                <w:szCs w:val="15"/>
                <w:color w:val="auto"/>
              </w:rPr>
            </w:pPr>
          </w:p>
        </w:tc>
        <w:tc>
          <w:tcPr>
            <w:tcW w:w="7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r>
      <w:tr>
        <w:trPr>
          <w:trHeight w:val="148"/>
        </w:trPr>
        <w:tc>
          <w:tcPr>
            <w:tcW w:w="120" w:type="dxa"/>
            <w:vAlign w:val="bottom"/>
          </w:tcPr>
          <w:p>
            <w:pPr>
              <w:spacing w:after="0"/>
              <w:rPr>
                <w:sz w:val="12"/>
                <w:szCs w:val="12"/>
                <w:color w:val="auto"/>
              </w:rPr>
            </w:pPr>
          </w:p>
        </w:tc>
        <w:tc>
          <w:tcPr>
            <w:tcW w:w="78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2"/>
          </w:tcPr>
          <w:p>
            <w:pPr>
              <w:jc w:val="right"/>
              <w:ind w:right="71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344,512</w:t>
            </w:r>
          </w:p>
        </w:tc>
        <w:tc>
          <w:tcPr>
            <w:tcW w:w="160" w:type="dxa"/>
            <w:vAlign w:val="bottom"/>
          </w:tcPr>
          <w:p>
            <w:pPr>
              <w:spacing w:after="0"/>
              <w:rPr>
                <w:sz w:val="12"/>
                <w:szCs w:val="12"/>
                <w:color w:val="auto"/>
              </w:rPr>
            </w:pPr>
          </w:p>
        </w:tc>
        <w:tc>
          <w:tcPr>
            <w:tcW w:w="580" w:type="dxa"/>
            <w:vAlign w:val="bottom"/>
            <w:gridSpan w:val="2"/>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78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CASH, AND CASH EQUIVALENTS AND RESTRICED CASH</w:t>
            </w:r>
          </w:p>
        </w:tc>
        <w:tc>
          <w:tcPr>
            <w:tcW w:w="860" w:type="dxa"/>
            <w:vAlign w:val="bottom"/>
            <w:tcBorders>
              <w:bottom w:val="single" w:sz="8" w:color="auto"/>
            </w:tcBorders>
            <w:gridSpan w:val="2"/>
          </w:tcPr>
          <w:p>
            <w:pPr>
              <w:jc w:val="right"/>
              <w:ind w:right="719"/>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346,212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210,582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-2108200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-2091055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-2108200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-2091055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-1893570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-1876425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-1893570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-1876425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-1653540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-1636395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-1653540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-1636395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-1414145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-1396365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-1414145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-1396365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-128270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-128270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77"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333"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520" w:right="60"/>
        <w:spacing w:after="0" w:line="272" w:lineRule="auto"/>
        <w:rPr>
          <w:sz w:val="20"/>
          <w:szCs w:val="20"/>
          <w:color w:val="auto"/>
        </w:rPr>
      </w:pPr>
      <w:r>
        <w:rPr>
          <w:rFonts w:ascii="Times New Roman" w:cs="Times New Roman" w:eastAsia="Times New Roman" w:hAnsi="Times New Roman"/>
          <w:sz w:val="17"/>
          <w:szCs w:val="17"/>
          <w:color w:val="auto"/>
        </w:rPr>
        <w:t>Green Thumb Industries Inc. (“Green Thumb,” the “Company,” “we” or “us”), a national cannabis consumer packaged goods company and retailer, promotes well-being through the power of cannabis while being committed to community and sustainable, profitable growth. Green Thumb manufactures and distributes a portfolio of cannabis consumer packaged goods brands including &amp;Shine, Beboe, Dogwalkers, Doctor Solomon’s, Good Green, incredibles, and RYTHM. The Company distributes and markets these products to third-party licensed retail cannabis stores across the United States as well as to Green Thumb's own Retail stores (which we refer to as our Retail business). The Company also owns and operates retail cannabis stores that include a national chain named RISE, which sell our products and third-party products. As of March 31, 2026, Green Thumb has revenue in fourteen markets (California, Connecticut, Florida, Illinois, Maryland, Massachusetts, Minnesota, Nevada, New Jersey, New York, Ohio, Pennsylvania, Rhode Island and Virginia), employs approximately 4,900 people and serves millions of patients and customers annually.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registered office is located at 250 Howe Street,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Vancouver, British Columbia, V6C 3R8. The Company’s U.S.</w:t>
      </w:r>
    </w:p>
    <w:p>
      <w:pPr>
        <w:ind w:left="520"/>
        <w:spacing w:after="0"/>
        <w:rPr>
          <w:sz w:val="20"/>
          <w:szCs w:val="20"/>
          <w:color w:val="auto"/>
        </w:rPr>
      </w:pPr>
      <w:r>
        <w:rPr>
          <w:rFonts w:ascii="Times New Roman" w:cs="Times New Roman" w:eastAsia="Times New Roman" w:hAnsi="Times New Roman"/>
          <w:sz w:val="18"/>
          <w:szCs w:val="18"/>
          <w:color w:val="auto"/>
        </w:rPr>
        <w:t>headquarters are at 325 W. Huron St., Suite 700, Chicago, IL 60654.</w:t>
      </w:r>
    </w:p>
    <w:p>
      <w:pPr>
        <w:spacing w:after="0" w:line="20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2025 (the “2025 Form 10-K”). In the opinion of management, the financial data presented includes all adjustments necessary to present fairly the financial position, results of operations and cash flows for the interim periods presented. Certain previously reported amounts have been reclassified between line items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294"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left="520" w:right="46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Note 2 to the Company's Consolidated Financial Statements included in the 2025 Form 10-K.</w:t>
      </w:r>
    </w:p>
    <w:p>
      <w:pPr>
        <w:spacing w:after="0" w:line="266"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left="520" w:right="6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March 31, 2026, the Company had 7,549,128 options, 7,298,323 restricted stock units and 1,702,347 warrants outstanding. As of March 31, 2025, the Company had 7,454,997 options, 6,990,745 restricted stock units and 1,811,075 warrants outstanding.</w:t>
      </w:r>
    </w:p>
    <w:p>
      <w:pPr>
        <w:spacing w:after="0" w:line="189" w:lineRule="exact"/>
        <w:rPr>
          <w:sz w:val="20"/>
          <w:szCs w:val="20"/>
          <w:color w:val="auto"/>
        </w:rPr>
      </w:pPr>
    </w:p>
    <w:p>
      <w:pPr>
        <w:ind w:left="520" w:right="200"/>
        <w:spacing w:after="0" w:line="261" w:lineRule="auto"/>
        <w:rPr>
          <w:sz w:val="20"/>
          <w:szCs w:val="20"/>
          <w:color w:val="auto"/>
        </w:rPr>
      </w:pPr>
      <w:r>
        <w:rPr>
          <w:rFonts w:ascii="Times New Roman" w:cs="Times New Roman" w:eastAsia="Times New Roman" w:hAnsi="Times New Roman"/>
          <w:sz w:val="18"/>
          <w:szCs w:val="18"/>
          <w:color w:val="auto"/>
        </w:rPr>
        <w:t>In order to determine diluted earnings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720" w:hanging="1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52" w:hanging="452"/>
        <w:spacing w:after="0"/>
        <w:tabs>
          <w:tab w:leader="none" w:pos="4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the three months ended March 31, 2026 and 2025, the computation of diluted earnings per share included 1,230,378 and 701,957 restricted stock units, respectively. There were no dilutive options or warrants during the three months ended March 31, 2026 and 2025, as the relevant strike prices were greater than the average stock price during those periods. For the three months ended March 31, 2026 and 2025, the weighted average number of anti-dilutive stock options excluded from the computation of diluted earnings per share were 492,760 and 1,346,760, respectively.</w:t>
      </w:r>
    </w:p>
    <w:p>
      <w:pPr>
        <w:spacing w:after="0" w:line="392" w:lineRule="exact"/>
        <w:rPr>
          <w:sz w:val="20"/>
          <w:szCs w:val="20"/>
          <w:color w:val="auto"/>
        </w:rPr>
      </w:pPr>
    </w:p>
    <w:p>
      <w:pPr>
        <w:ind w:left="432" w:hanging="432"/>
        <w:spacing w:after="0"/>
        <w:tabs>
          <w:tab w:leader="none" w:pos="43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337" w:lineRule="exact"/>
        <w:rPr>
          <w:rFonts w:ascii="Times New Roman" w:cs="Times New Roman" w:eastAsia="Times New Roman" w:hAnsi="Times New Roman"/>
          <w:sz w:val="18"/>
          <w:szCs w:val="18"/>
          <w:b w:val="1"/>
          <w:bCs w:val="1"/>
          <w:color w:val="auto"/>
        </w:rPr>
      </w:pPr>
    </w:p>
    <w:p>
      <w:pPr>
        <w:ind w:left="1012" w:right="60" w:hanging="503"/>
        <w:spacing w:after="0" w:line="253" w:lineRule="auto"/>
        <w:tabs>
          <w:tab w:leader="none" w:pos="10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ind w:left="512" w:right="100"/>
        <w:spacing w:after="0" w:line="282" w:lineRule="auto"/>
        <w:rPr>
          <w:sz w:val="20"/>
          <w:szCs w:val="20"/>
          <w:color w:val="auto"/>
        </w:rPr>
      </w:pPr>
      <w:r>
        <w:rPr>
          <w:rFonts w:ascii="Times New Roman" w:cs="Times New Roman" w:eastAsia="Times New Roman" w:hAnsi="Times New Roman"/>
          <w:sz w:val="18"/>
          <w:szCs w:val="18"/>
          <w:color w:val="auto"/>
        </w:rPr>
        <w:t>The Company reviews recently issued accounting standards on a quarterly basis and has determined there are no standards yet to be adopted which are relevant to the business for disclosure.</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5" w:right="37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560" w:hanging="1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00" w:lineRule="exact"/>
        <w:rPr>
          <w:sz w:val="20"/>
          <w:szCs w:val="20"/>
          <w:color w:val="auto"/>
        </w:rPr>
      </w:pPr>
    </w:p>
    <w:p>
      <w:pPr>
        <w:spacing w:after="0" w:line="318"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include the following at March 31, 2026 and December 31, 2025:</w:t>
      </w: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3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8"/>
              </w:rPr>
              <w:t>thousands)</w:t>
            </w:r>
          </w:p>
        </w:tc>
        <w:tc>
          <w:tcPr>
            <w:tcW w:w="1900" w:type="dxa"/>
            <w:vAlign w:val="bottom"/>
            <w:tcBorders>
              <w:bottom w:val="single" w:sz="8" w:color="auto"/>
            </w:tcBorders>
          </w:tcPr>
          <w:p>
            <w:pPr>
              <w:spacing w:after="0"/>
              <w:rPr>
                <w:sz w:val="17"/>
                <w:szCs w:val="17"/>
                <w:color w:val="auto"/>
              </w:rPr>
            </w:pPr>
          </w:p>
        </w:tc>
      </w:tr>
      <w:tr>
        <w:trPr>
          <w:trHeight w:val="19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miscellaneous</w:t>
            </w: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12,223</w:t>
            </w:r>
          </w:p>
        </w:tc>
      </w:tr>
      <w:tr>
        <w:trPr>
          <w:trHeight w:val="20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4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82,016</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80,665</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79,560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70,007</w:t>
            </w:r>
          </w:p>
        </w:tc>
      </w:tr>
      <w:tr>
        <w:trPr>
          <w:trHeight w:val="203"/>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(5,907)</w:t>
            </w: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inventories, net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170,034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158,288</w:t>
            </w:r>
          </w:p>
        </w:tc>
      </w:tr>
      <w:tr>
        <w:trPr>
          <w:trHeight w:val="20"/>
        </w:trPr>
        <w:tc>
          <w:tcPr>
            <w:tcW w:w="3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-161925</wp:posOffset>
            </wp:positionV>
            <wp:extent cx="146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363"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property and equipment consisted of the following:</w:t>
      </w: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3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1920" w:type="dxa"/>
            <w:vAlign w:val="bottom"/>
            <w:tcBorders>
              <w:bottom w:val="single" w:sz="8" w:color="auto"/>
            </w:tcBorders>
          </w:tcPr>
          <w:p>
            <w:pPr>
              <w:spacing w:after="0"/>
              <w:rPr>
                <w:sz w:val="17"/>
                <w:szCs w:val="17"/>
                <w:color w:val="auto"/>
              </w:rPr>
            </w:pPr>
          </w:p>
        </w:tc>
      </w:tr>
      <w:tr>
        <w:trPr>
          <w:trHeight w:val="19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364,409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361,898</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Equipment, computers and furniture</w:t>
            </w:r>
          </w:p>
        </w:tc>
        <w:tc>
          <w:tcPr>
            <w:tcW w:w="1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238,458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230,532</w:t>
            </w:r>
          </w:p>
        </w:tc>
      </w:tr>
      <w:tr>
        <w:trPr>
          <w:trHeight w:val="20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2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280,824</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277,518</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1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35,207</w:t>
            </w:r>
          </w:p>
        </w:tc>
      </w:tr>
      <w:tr>
        <w:trPr>
          <w:trHeight w:val="20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12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6,312</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Assets under construction</w:t>
            </w:r>
          </w:p>
        </w:tc>
        <w:tc>
          <w:tcPr>
            <w:tcW w:w="1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22,854</w:t>
            </w:r>
          </w:p>
        </w:tc>
      </w:tr>
      <w:tr>
        <w:trPr>
          <w:trHeight w:val="203"/>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26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35,083</w:t>
            </w:r>
          </w:p>
        </w:tc>
        <w:tc>
          <w:tcPr>
            <w:tcW w:w="2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-7620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203"/>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w:t>
            </w:r>
          </w:p>
        </w:tc>
        <w:tc>
          <w:tcPr>
            <w:tcW w:w="138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984,670</w:t>
            </w:r>
          </w:p>
        </w:tc>
        <w:tc>
          <w:tcPr>
            <w:tcW w:w="2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969,084</w:t>
            </w:r>
          </w:p>
        </w:tc>
      </w:tr>
      <w:tr>
        <w:trPr>
          <w:trHeight w:val="203"/>
        </w:trPr>
        <w:tc>
          <w:tcPr>
            <w:tcW w:w="20" w:type="dxa"/>
            <w:vAlign w:val="bottom"/>
          </w:tcPr>
          <w:p>
            <w:pPr>
              <w:spacing w:after="0"/>
              <w:rPr>
                <w:sz w:val="17"/>
                <w:szCs w:val="17"/>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80" w:type="dxa"/>
            <w:vAlign w:val="bottom"/>
            <w:tcBorders>
              <w:bottom w:val="single" w:sz="8" w:color="CFF0FC"/>
            </w:tcBorders>
            <w:shd w:val="clear" w:color="auto" w:fill="CFF0FC"/>
          </w:tcPr>
          <w:p>
            <w:pPr>
              <w:spacing w:after="0"/>
              <w:rPr>
                <w:sz w:val="17"/>
                <w:szCs w:val="17"/>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(298,171)</w:t>
            </w:r>
          </w:p>
        </w:tc>
        <w:tc>
          <w:tcPr>
            <w:tcW w:w="200" w:type="dxa"/>
            <w:vAlign w:val="bottom"/>
            <w:tcBorders>
              <w:bottom w:val="single" w:sz="8" w:color="CFF0FC"/>
            </w:tcBorders>
            <w:shd w:val="clear" w:color="auto" w:fill="CFF0FC"/>
          </w:tcPr>
          <w:p>
            <w:pPr>
              <w:spacing w:after="0"/>
              <w:rPr>
                <w:sz w:val="17"/>
                <w:szCs w:val="17"/>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(278,191)</w:t>
            </w: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686,499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690,893</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-162560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under construction represent costs associated with construction projects related to cultivation and production facilities and retail stores.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totaled $20,730 thousand, of which $13,229 thousand is included in cost of goods 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totaled $16,837 thousand, of which $10,749 thousand is included in cost of goods sold.</w:t>
      </w: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5" w:right="5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234"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38"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and December 31, 2025, intangible assets consisted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30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00" w:type="dxa"/>
            <w:vAlign w:val="bottom"/>
          </w:tcPr>
          <w:p>
            <w:pPr>
              <w:spacing w:after="0"/>
              <w:rPr>
                <w:sz w:val="10"/>
                <w:szCs w:val="10"/>
                <w:color w:val="auto"/>
              </w:rPr>
            </w:pPr>
          </w:p>
        </w:tc>
        <w:tc>
          <w:tcPr>
            <w:tcW w:w="1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280" w:type="dxa"/>
            <w:vAlign w:val="bottom"/>
          </w:tcPr>
          <w:p>
            <w:pPr>
              <w:spacing w:after="0"/>
              <w:rPr>
                <w:sz w:val="10"/>
                <w:szCs w:val="10"/>
                <w:color w:val="auto"/>
              </w:rPr>
            </w:pPr>
          </w:p>
        </w:tc>
        <w:tc>
          <w:tcPr>
            <w:tcW w:w="1100" w:type="dxa"/>
            <w:vAlign w:val="bottom"/>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300" w:type="dxa"/>
            <w:vAlign w:val="bottom"/>
          </w:tcPr>
          <w:p>
            <w:pPr>
              <w:spacing w:after="0"/>
              <w:rPr>
                <w:sz w:val="10"/>
                <w:szCs w:val="10"/>
                <w:color w:val="auto"/>
              </w:rPr>
            </w:pPr>
          </w:p>
        </w:tc>
        <w:tc>
          <w:tcPr>
            <w:tcW w:w="12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Licenses and permits</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681,749</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258,066</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423,683</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682,639</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246,669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435,970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Trademarks</w:t>
            </w:r>
          </w:p>
        </w:tc>
        <w:tc>
          <w:tcPr>
            <w:tcW w:w="6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3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3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680" w:type="dxa"/>
            <w:vAlign w:val="bottom"/>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15,140</w:t>
            </w:r>
          </w:p>
        </w:tc>
        <w:tc>
          <w:tcPr>
            <w:tcW w:w="300" w:type="dxa"/>
            <w:vAlign w:val="bottom"/>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15,076</w:t>
            </w:r>
          </w:p>
        </w:tc>
        <w:tc>
          <w:tcPr>
            <w:tcW w:w="300" w:type="dxa"/>
            <w:vAlign w:val="bottom"/>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80" w:type="dxa"/>
            <w:vAlign w:val="bottom"/>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15,140</w:t>
            </w:r>
          </w:p>
        </w:tc>
        <w:tc>
          <w:tcPr>
            <w:tcW w:w="30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698,319</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274,211</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424,108</w:t>
            </w: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699,209</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262,528</w:t>
            </w:r>
          </w:p>
        </w:tc>
        <w:tc>
          <w:tcPr>
            <w:tcW w:w="100" w:type="dxa"/>
            <w:vAlign w:val="bottom"/>
          </w:tcPr>
          <w:p>
            <w:pPr>
              <w:spacing w:after="0"/>
              <w:rPr>
                <w:sz w:val="12"/>
                <w:szCs w:val="12"/>
                <w:color w:val="auto"/>
              </w:rPr>
            </w:pP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436,681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for the three months ended March 31, 2026 and 2025 of $11,683 thousand and $12,574 thousand, respectively. As of March 31, 2026 and December 31, 2025, intangible assets are carried net of accumulated impairment losses of $31,131 thousand as of each period then ended.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March 31, 2026:</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5"/>
                <w:szCs w:val="15"/>
                <w:color w:val="auto"/>
              </w:rPr>
            </w:pPr>
          </w:p>
        </w:tc>
        <w:tc>
          <w:tcPr>
            <w:tcW w:w="2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of 2026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24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24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207,600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424,108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weighted average amortization period remaining for intangible assets was 9.58 years.</w:t>
      </w:r>
    </w:p>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and December 31, 2025 the balances of goodwill, by segment, consisted of the following:</w:t>
      </w:r>
    </w:p>
    <w:p>
      <w:pPr>
        <w:spacing w:after="0" w:line="394"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tcBorders>
              <w:bottom w:val="single" w:sz="8" w:color="auto"/>
            </w:tcBorders>
          </w:tcPr>
          <w:p>
            <w:pPr>
              <w:spacing w:after="0"/>
              <w:rPr>
                <w:sz w:val="18"/>
                <w:szCs w:val="18"/>
                <w:color w:val="auto"/>
              </w:rPr>
            </w:pPr>
          </w:p>
        </w:tc>
      </w:tr>
      <w:tr>
        <w:trPr>
          <w:trHeight w:val="19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Retail</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276,955</w:t>
            </w:r>
          </w:p>
        </w:tc>
        <w:tc>
          <w:tcPr>
            <w:tcW w:w="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277,342</w:t>
            </w:r>
          </w:p>
        </w:tc>
      </w:tr>
      <w:tr>
        <w:trPr>
          <w:trHeight w:val="202"/>
        </w:trPr>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Consumer packaged goods</w:t>
            </w:r>
          </w:p>
        </w:tc>
        <w:tc>
          <w:tcPr>
            <w:tcW w:w="1560" w:type="dxa"/>
            <w:vAlign w:val="bottom"/>
            <w:tcBorders>
              <w:bottom w:val="single" w:sz="8" w:color="CFF0FC"/>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314,809</w:t>
            </w:r>
          </w:p>
        </w:tc>
        <w:tc>
          <w:tcPr>
            <w:tcW w:w="24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314,809</w:t>
            </w:r>
          </w:p>
        </w:tc>
      </w:tr>
      <w:tr>
        <w:trPr>
          <w:trHeight w:val="23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591,764</w:t>
            </w:r>
          </w:p>
        </w:tc>
        <w:tc>
          <w:tcPr>
            <w:tcW w:w="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592,151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543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1543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86" w:lineRule="exact"/>
        <w:rPr>
          <w:sz w:val="20"/>
          <w:szCs w:val="20"/>
          <w:color w:val="auto"/>
        </w:rPr>
      </w:pPr>
    </w:p>
    <w:p>
      <w:pPr>
        <w:ind w:left="520" w:right="420"/>
        <w:spacing w:after="0" w:line="266" w:lineRule="auto"/>
        <w:rPr>
          <w:sz w:val="20"/>
          <w:szCs w:val="20"/>
          <w:color w:val="auto"/>
        </w:rPr>
      </w:pPr>
      <w:r>
        <w:rPr>
          <w:rFonts w:ascii="Times New Roman" w:cs="Times New Roman" w:eastAsia="Times New Roman" w:hAnsi="Times New Roman"/>
          <w:sz w:val="18"/>
          <w:szCs w:val="18"/>
          <w:color w:val="auto"/>
        </w:rPr>
        <w:t>Goodwill is recognized net of accumulated impairment losses of $57,372 thousand as of March 31, 2026 and December 31, 2025, respectively. During the three months ended March 31, 2026 and 2025, there were no conditions present that would require consideration as to whether an impairment test was necessary.</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302"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held various equity interests in cannabis-related companies as well as investments in note(s) receivable instruments that had a combined fair value of $32,664 thousand and $32,720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investments during the three months ended March 31, 2026 and year ended December 31, 2025:</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2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Borders>
              <w:bottom w:val="single" w:sz="8" w:color="auto"/>
            </w:tcBorders>
          </w:tcPr>
          <w:p>
            <w:pPr>
              <w:spacing w:after="0"/>
              <w:rPr>
                <w:sz w:val="12"/>
                <w:szCs w:val="12"/>
                <w:color w:val="auto"/>
              </w:rPr>
            </w:pPr>
          </w:p>
        </w:tc>
      </w:tr>
      <w:tr>
        <w:trPr>
          <w:trHeight w:val="14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Beginning</w:t>
            </w:r>
          </w:p>
        </w:tc>
        <w:tc>
          <w:tcPr>
            <w:tcW w:w="17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32,720</w:t>
            </w:r>
          </w:p>
        </w:tc>
        <w:tc>
          <w:tcPr>
            <w:tcW w:w="2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43,578</w:t>
            </w:r>
          </w:p>
        </w:tc>
      </w:tr>
      <w:tr>
        <w:trPr>
          <w:trHeight w:val="149"/>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r>
      <w:tr>
        <w:trPr>
          <w:trHeight w:val="148"/>
        </w:trPr>
        <w:tc>
          <w:tcPr>
            <w:tcW w:w="2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17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adjustments</w:t>
            </w:r>
          </w:p>
        </w:tc>
        <w:tc>
          <w:tcPr>
            <w:tcW w:w="1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(10,998)</w:t>
            </w:r>
          </w:p>
        </w:tc>
      </w:tr>
      <w:tr>
        <w:trPr>
          <w:trHeight w:val="148"/>
        </w:trPr>
        <w:tc>
          <w:tcPr>
            <w:tcW w:w="2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17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r>
      <w:tr>
        <w:trPr>
          <w:trHeight w:val="142"/>
        </w:trPr>
        <w:tc>
          <w:tcPr>
            <w:tcW w:w="2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17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32,664</w:t>
            </w: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32,720</w:t>
            </w:r>
          </w:p>
        </w:tc>
      </w:tr>
      <w:tr>
        <w:trPr>
          <w:trHeight w:val="20"/>
        </w:trPr>
        <w:tc>
          <w:tcPr>
            <w:tcW w:w="2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-128270</wp:posOffset>
            </wp:positionV>
            <wp:extent cx="1454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w:t>
      </w:r>
    </w:p>
    <w:p>
      <w:pPr>
        <w:spacing w:after="0" w:line="229"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The Company invests in both publicly traded and privately held cannabis and cannabis-related companies. Generally, publicly traded entities have readily determinable fair values and are classified as Level 1 investments. Meanwhile, non-publicly traded entities generally do not have readily determinable fair values and are classified as Level 3 investments. The Company has classified all of its holdings as trading securities and recorded such amounts within investments on the Company's unaudited interim condensed consolidated balance sheet. There were no unrealized gains or losses recognized on the Company's equity investments held during the three months ended March 31, 2026 and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 held no Level 1 equity investments.</w:t>
      </w:r>
    </w:p>
    <w:p>
      <w:pPr>
        <w:spacing w:after="0" w:line="225" w:lineRule="exact"/>
        <w:rPr>
          <w:sz w:val="20"/>
          <w:szCs w:val="20"/>
          <w:color w:val="auto"/>
        </w:rPr>
      </w:pPr>
    </w:p>
    <w:p>
      <w:pPr>
        <w:jc w:val="both"/>
        <w:ind w:left="520" w:right="100"/>
        <w:spacing w:after="0" w:line="266" w:lineRule="auto"/>
        <w:rPr>
          <w:sz w:val="20"/>
          <w:szCs w:val="20"/>
          <w:color w:val="auto"/>
        </w:rPr>
      </w:pPr>
      <w:r>
        <w:rPr>
          <w:rFonts w:ascii="Times New Roman" w:cs="Times New Roman" w:eastAsia="Times New Roman" w:hAnsi="Times New Roman"/>
          <w:sz w:val="18"/>
          <w:szCs w:val="18"/>
          <w:color w:val="auto"/>
        </w:rPr>
        <w:t>The fair value of Company's Level 3 equity investments as of the three months ended March 31, 2026 and 2025 was $29,775 thousand and $36,487 thousand, respectively. During the three months ended March 31, 2026 and 2025, the Company's Level 3 equity investments had no changes in fair value.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12 - Fair Value Measurements for additional details.</w:t>
      </w: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Notes Receivable Instruments</w:t>
      </w:r>
    </w:p>
    <w:p>
      <w:pPr>
        <w:spacing w:after="0" w:line="229"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color w:val="auto"/>
        </w:rPr>
        <w:t>The Company invests in both publicly traded and privately held cannabis and cannabis-related companies by providing financing through notes receivable instruments. The fair value of these notes receivable instruments include the initial investment and contractual accrued interest recorded within interest income on the unaudited interim condensed consolidated statements of operations.The Company has classified all of its notes receivable instruments as trading securities and included such amounts within investments on the Company's unaudited interim condensed consolidated balance sheets.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 held no Level 1 notes receivable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580" w:hanging="1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8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 xml:space="preserve">Notes Receivable Instruments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Level 3 notes receivable instruments during the three months ended March 31, 2026 and 2025:</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140" w:type="dxa"/>
            <w:vAlign w:val="bottom"/>
            <w:tcBorders>
              <w:top w:val="single" w:sz="8" w:color="auto"/>
              <w:bottom w:val="single" w:sz="8" w:color="auto"/>
            </w:tcBorders>
            <w:gridSpan w:val="3"/>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jc w:val="right"/>
              <w:ind w:right="8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Beginning</w:t>
            </w:r>
          </w:p>
        </w:tc>
        <w:tc>
          <w:tcPr>
            <w:tcW w:w="24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3"/>
          </w:tcPr>
          <w:p>
            <w:pPr>
              <w:jc w:val="center"/>
              <w:ind w:left="9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2,945</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7,091</w:t>
            </w:r>
          </w:p>
        </w:tc>
        <w:tc>
          <w:tcPr>
            <w:tcW w:w="0" w:type="dxa"/>
            <w:vAlign w:val="bottom"/>
          </w:tcPr>
          <w:p>
            <w:pPr>
              <w:spacing w:after="0"/>
              <w:rPr>
                <w:sz w:val="1"/>
                <w:szCs w:val="1"/>
                <w:color w:val="auto"/>
              </w:rPr>
            </w:pPr>
          </w:p>
        </w:tc>
      </w:tr>
      <w:tr>
        <w:trPr>
          <w:trHeight w:val="149"/>
        </w:trPr>
        <w:tc>
          <w:tcPr>
            <w:tcW w:w="5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w:t>
            </w:r>
          </w:p>
        </w:tc>
        <w:tc>
          <w:tcPr>
            <w:tcW w:w="240" w:type="dxa"/>
            <w:vAlign w:val="bottom"/>
            <w:shd w:val="clear" w:color="auto" w:fill="CFF0FC"/>
          </w:tcPr>
          <w:p>
            <w:pPr>
              <w:spacing w:after="0"/>
              <w:rPr>
                <w:sz w:val="12"/>
                <w:szCs w:val="12"/>
                <w:color w:val="auto"/>
              </w:rPr>
            </w:pPr>
          </w:p>
        </w:tc>
        <w:tc>
          <w:tcPr>
            <w:tcW w:w="2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240" w:type="dxa"/>
            <w:vAlign w:val="bottom"/>
          </w:tcPr>
          <w:p>
            <w:pPr>
              <w:spacing w:after="0"/>
              <w:rPr>
                <w:sz w:val="12"/>
                <w:szCs w:val="12"/>
                <w:color w:val="auto"/>
              </w:rPr>
            </w:pPr>
          </w:p>
        </w:tc>
        <w:tc>
          <w:tcPr>
            <w:tcW w:w="2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50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Transfers and other</w:t>
            </w:r>
          </w:p>
        </w:tc>
        <w:tc>
          <w:tcPr>
            <w:tcW w:w="240" w:type="dxa"/>
            <w:vAlign w:val="bottom"/>
            <w:tcBorders>
              <w:bottom w:val="single" w:sz="8" w:color="CFF0FC"/>
            </w:tcBorders>
            <w:shd w:val="clear" w:color="auto" w:fill="CFF0FC"/>
          </w:tcPr>
          <w:p>
            <w:pPr>
              <w:spacing w:after="0"/>
              <w:rPr>
                <w:sz w:val="12"/>
                <w:szCs w:val="12"/>
                <w:color w:val="auto"/>
              </w:rPr>
            </w:pPr>
          </w:p>
        </w:tc>
        <w:tc>
          <w:tcPr>
            <w:tcW w:w="2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42"/>
        </w:trPr>
        <w:tc>
          <w:tcPr>
            <w:tcW w:w="5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Ending</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2,889</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6,974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-128270</wp:posOffset>
            </wp:positionV>
            <wp:extent cx="1543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Level 3 notes receivable instruments had stated interest rates of 10.0% and terms of five years.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12 - Fair Value Measurements for additional details.</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5" w:right="5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12"/>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Unaudited Interim Condensed Consolidated Financial Statements </w:t>
      </w:r>
      <w:r>
        <w:rPr>
          <w:rFonts w:ascii="Times New Roman" w:cs="Times New Roman" w:eastAsia="Times New Roman" w:hAnsi="Times New Roman"/>
          <w:sz w:val="17"/>
          <w:szCs w:val="17"/>
          <w:i w:val="1"/>
          <w:iCs w:val="1"/>
          <w:color w:val="auto"/>
        </w:rPr>
        <w:t>(Amounts Expressed in United States Dollars, Except Where Stated Otherwise)</w:t>
      </w:r>
    </w:p>
    <w:p>
      <w:pPr>
        <w:spacing w:after="0" w:line="8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The Company records material real estate and equipment leases with an initial term of twelve months or more on the balance sheet. Real estate lease agreements for some locations provide for rent escalations and renewal options. Certain real estate leases require payment for fixed and variable non-lease components, such as taxes, insurance and maintenance, as part of base rent. In those circumstances, the Company elected the practical expedient to not separate the lease components from non-lease components.</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months ended March 31, 2026 and 2025, the Company recorded operating lease expense of $13,448 thousand and $12,768 thousand, respectively.</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leases as of March 31, 2026 and December 31, 2025 were as follows:</w:t>
      </w:r>
    </w:p>
    <w:p>
      <w:pPr>
        <w:spacing w:after="0" w:line="327"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7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6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9.61</w:t>
            </w:r>
          </w:p>
        </w:tc>
        <w:tc>
          <w:tcPr>
            <w:tcW w:w="25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9.80</w:t>
            </w:r>
          </w:p>
        </w:tc>
      </w:tr>
      <w:tr>
        <w:trPr>
          <w:trHeight w:val="188"/>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12.16%</w:t>
            </w:r>
          </w:p>
        </w:tc>
      </w:tr>
    </w:tbl>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March 31, 2026 were as follows:</w:t>
      </w:r>
    </w:p>
    <w:p>
      <w:pPr>
        <w:spacing w:after="0" w:line="246"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of Lease Liability</w:t>
            </w: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Related Party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0"/>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Remainder of 2026</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37,950</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395</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38,345</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50,474</w:t>
            </w:r>
          </w:p>
        </w:tc>
        <w:tc>
          <w:tcPr>
            <w:tcW w:w="160" w:type="dxa"/>
            <w:vAlign w:val="bottom"/>
          </w:tcPr>
          <w:p>
            <w:pPr>
              <w:spacing w:after="0"/>
              <w:rPr>
                <w:sz w:val="12"/>
                <w:szCs w:val="12"/>
                <w:color w:val="auto"/>
              </w:rPr>
            </w:pP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50,965</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49,210</w:t>
            </w:r>
          </w:p>
        </w:tc>
        <w:tc>
          <w:tcPr>
            <w:tcW w:w="16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49,492</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45,769</w:t>
            </w:r>
          </w:p>
        </w:tc>
        <w:tc>
          <w:tcPr>
            <w:tcW w:w="160" w:type="dxa"/>
            <w:vAlign w:val="bottom"/>
          </w:tcPr>
          <w:p>
            <w:pPr>
              <w:spacing w:after="0"/>
              <w:rPr>
                <w:sz w:val="12"/>
                <w:szCs w:val="12"/>
                <w:color w:val="auto"/>
              </w:rPr>
            </w:pP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46,056</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43,571</w:t>
            </w:r>
          </w:p>
        </w:tc>
        <w:tc>
          <w:tcPr>
            <w:tcW w:w="16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43,864</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2031 and thereafter</w:t>
            </w:r>
          </w:p>
        </w:tc>
        <w:tc>
          <w:tcPr>
            <w:tcW w:w="220" w:type="dxa"/>
            <w:vAlign w:val="bottom"/>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258,164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258,639</w:t>
            </w: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485,138</w:t>
            </w:r>
          </w:p>
        </w:tc>
        <w:tc>
          <w:tcPr>
            <w:tcW w:w="16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487,361</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interest</w:t>
            </w:r>
          </w:p>
        </w:tc>
        <w:tc>
          <w:tcPr>
            <w:tcW w:w="220" w:type="dxa"/>
            <w:vAlign w:val="bottom"/>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(214,325)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(214,918)</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Present value of lease liability</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270,813</w:t>
            </w:r>
          </w:p>
        </w:tc>
        <w:tc>
          <w:tcPr>
            <w:tcW w:w="16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1,630</w:t>
            </w:r>
          </w:p>
        </w:tc>
        <w:tc>
          <w:tcPr>
            <w:tcW w:w="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145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145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Operating Leases</w:t>
      </w:r>
    </w:p>
    <w:p>
      <w:pPr>
        <w:spacing w:after="0" w:line="229" w:lineRule="exact"/>
        <w:rPr>
          <w:sz w:val="20"/>
          <w:szCs w:val="20"/>
          <w:color w:val="auto"/>
        </w:rPr>
      </w:pPr>
    </w:p>
    <w:p>
      <w:pPr>
        <w:ind w:left="520" w:right="320"/>
        <w:spacing w:after="0" w:line="261" w:lineRule="auto"/>
        <w:rPr>
          <w:sz w:val="20"/>
          <w:szCs w:val="20"/>
          <w:color w:val="auto"/>
        </w:rPr>
      </w:pPr>
      <w:r>
        <w:rPr>
          <w:rFonts w:ascii="Times New Roman" w:cs="Times New Roman" w:eastAsia="Times New Roman" w:hAnsi="Times New Roman"/>
          <w:sz w:val="18"/>
          <w:szCs w:val="18"/>
          <w:color w:val="auto"/>
        </w:rPr>
        <w:t>Mosaic Real Estate, LLC, which owns certain facilities leased by the Company, is owned in part by Benjamin Kovler, the Chairman and Chief Executive Officer of the Company (through KP Capital, LLC), and Anthony Georgiadis, the President and a director of the Company (through Three One Four Holdings, LLC). For the three months ended March 31, 2026 and 2025, the Company recorded lease expense of $126 thousand, associated with these leasing arrangements.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6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77"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33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March 31, 2026 and December 31, 2025, notes payable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900" w:type="dxa"/>
            <w:vAlign w:val="bottom"/>
            <w:tcBorders>
              <w:bottom w:val="single" w:sz="8" w:color="auto"/>
            </w:tcBorders>
            <w:gridSpan w:val="3"/>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96"/>
        </w:trPr>
        <w:tc>
          <w:tcPr>
            <w:tcW w:w="4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Syndicated credit facility</w:t>
            </w:r>
            <w:r>
              <w:rPr>
                <w:rFonts w:ascii="Times New Roman" w:cs="Times New Roman" w:eastAsia="Times New Roman" w:hAnsi="Times New Roman"/>
                <w:sz w:val="21"/>
                <w:szCs w:val="21"/>
                <w:color w:val="auto"/>
                <w:vertAlign w:val="superscript"/>
              </w:rPr>
              <w:t>1</w:t>
            </w:r>
          </w:p>
        </w:tc>
        <w:tc>
          <w:tcPr>
            <w:tcW w:w="16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186,761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140,909</w:t>
            </w:r>
          </w:p>
        </w:tc>
      </w:tr>
      <w:tr>
        <w:trPr>
          <w:trHeight w:val="203"/>
        </w:trPr>
        <w:tc>
          <w:tcPr>
            <w:tcW w:w="40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Mortgage notes</w:t>
            </w:r>
            <w:r>
              <w:rPr>
                <w:rFonts w:ascii="Times New Roman" w:cs="Times New Roman" w:eastAsia="Times New Roman" w:hAnsi="Times New Roman"/>
                <w:sz w:val="21"/>
                <w:szCs w:val="21"/>
                <w:color w:val="auto"/>
                <w:vertAlign w:val="superscript"/>
              </w:rPr>
              <w:t>2</w:t>
            </w:r>
          </w:p>
        </w:tc>
        <w:tc>
          <w:tcPr>
            <w:tcW w:w="168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103,162</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103,987</w:t>
            </w:r>
          </w:p>
        </w:tc>
      </w:tr>
      <w:tr>
        <w:trPr>
          <w:trHeight w:val="19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notes payable</w:t>
            </w:r>
          </w:p>
        </w:tc>
        <w:tc>
          <w:tcPr>
            <w:tcW w:w="16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289,923</w:t>
            </w: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244,896</w:t>
            </w: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 of notes payable</w:t>
            </w:r>
          </w:p>
        </w:tc>
        <w:tc>
          <w:tcPr>
            <w:tcW w:w="168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(23,579)</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(18,495)</w:t>
            </w:r>
          </w:p>
        </w:tc>
      </w:tr>
      <w:tr>
        <w:trPr>
          <w:trHeight w:val="23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Notes payable, net of current portion</w:t>
            </w:r>
          </w:p>
        </w:tc>
        <w:tc>
          <w:tcPr>
            <w:tcW w:w="16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266,344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226,401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145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1454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01" w:lineRule="exact"/>
        <w:rPr>
          <w:sz w:val="20"/>
          <w:szCs w:val="20"/>
          <w:color w:val="auto"/>
        </w:rPr>
      </w:pPr>
    </w:p>
    <w:p>
      <w:pPr>
        <w:jc w:val="both"/>
        <w:ind w:left="1020" w:right="80" w:firstLine="6"/>
        <w:spacing w:after="0" w:line="237" w:lineRule="auto"/>
        <w:tabs>
          <w:tab w:leader="none" w:pos="1155"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March 31, 2026 and December 31, 2025, the Credit Facility (as defined below in Section (a) of this Note 7), had an outstanding principal balance of $188,750 thousand and $142,500 thousand, respectively. The Credit Facility was issued at a discount, the carrying value of which was $1,989 thousand and $1,591 thousand as of March 31, 2026 and December 31, 2025, respectively. The Credit Facility matures on September 11, 2029.</w:t>
      </w:r>
    </w:p>
    <w:p>
      <w:pPr>
        <w:spacing w:after="0" w:line="210" w:lineRule="exact"/>
        <w:rPr>
          <w:sz w:val="20"/>
          <w:szCs w:val="20"/>
          <w:color w:val="auto"/>
        </w:rPr>
      </w:pPr>
    </w:p>
    <w:p>
      <w:pPr>
        <w:ind w:left="1020" w:right="20" w:firstLine="6"/>
        <w:spacing w:after="0" w:line="244" w:lineRule="auto"/>
        <w:tabs>
          <w:tab w:leader="none" w:pos="1115" w:val="left"/>
        </w:tabs>
        <w:numPr>
          <w:ilvl w:val="1"/>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issued mortgage notes in connection with various operating properties at an aggregate value of $112,285 thousand as of March 31, 2026 and December 31, 2025. The mortgage notes were issued at a discount, the carrying value of which was $747 thousand and $799 thousand, and are presented net of principal payments of $8,376 thousand and $7,499 thousand as of March 31, 2026 and December 31, 2025, respectively. These mortgage notes mature between December 31, 2028 and June 5, 2035 with interest rates ranging between 5.00% and 7.77%.</w:t>
      </w:r>
    </w:p>
    <w:p>
      <w:pPr>
        <w:spacing w:after="0" w:line="388" w:lineRule="exact"/>
        <w:rPr>
          <w:rFonts w:ascii="Times New Roman" w:cs="Times New Roman" w:eastAsia="Times New Roman" w:hAnsi="Times New Roman"/>
          <w:sz w:val="22"/>
          <w:szCs w:val="22"/>
          <w:color w:val="auto"/>
          <w:vertAlign w:val="superscript"/>
        </w:rPr>
      </w:pPr>
    </w:p>
    <w:p>
      <w:pPr>
        <w:ind w:left="440" w:hanging="432"/>
        <w:spacing w:after="0"/>
        <w:tabs>
          <w:tab w:leader="none" w:pos="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Syndicated Credit Facility</w:t>
      </w:r>
    </w:p>
    <w:p>
      <w:pPr>
        <w:spacing w:after="0" w:line="229"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On September 11, 2024, the Company entered into a $150,000 thousand syndicated credit facility led by Valley National Bank, which was amended on February 19, 2026 via Amendment No. 1 thereto to increase the total amount borrowed to $200,000 thousand (as amended, the “Credit Facility”). The Credit Facility has a maturity date of September 11, 2029 and bears interest from the date of issuance at SOFR plus 500 basis points, payable quarterly. As of March 31, 2026, the floating interest rate on the Credit Facility was 8.67%.</w:t>
      </w:r>
    </w:p>
    <w:p>
      <w:pPr>
        <w:spacing w:after="0" w:line="180" w:lineRule="exact"/>
        <w:rPr>
          <w:sz w:val="20"/>
          <w:szCs w:val="20"/>
          <w:color w:val="auto"/>
        </w:rPr>
      </w:pPr>
    </w:p>
    <w:p>
      <w:pPr>
        <w:ind w:left="520" w:right="220"/>
        <w:spacing w:after="0" w:line="261" w:lineRule="auto"/>
        <w:rPr>
          <w:sz w:val="20"/>
          <w:szCs w:val="20"/>
          <w:color w:val="auto"/>
        </w:rPr>
      </w:pPr>
      <w:r>
        <w:rPr>
          <w:rFonts w:ascii="Times New Roman" w:cs="Times New Roman" w:eastAsia="Times New Roman" w:hAnsi="Times New Roman"/>
          <w:sz w:val="18"/>
          <w:szCs w:val="18"/>
          <w:color w:val="auto"/>
        </w:rPr>
        <w:t>The Credit Facility includes certain covenants which require the Company to maintain a debt service coverage ratio of 1.5 to 1.0, a funded debt to Adjusted Earnings Before Interest Depreciation and Amortization (“Adjusted EBITDA”) (see “Non-GAAP Measures” below for additional information on Adjusted EBITDA) ratio no greater than 3.5 to 1.0, and a tangible net worth of at least $500 thousand. As of March 31, 2026, the Company was in compliance with all covenants associated with the Credit Facility.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40" w:hanging="3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Accounting Standards Codification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classes of share capital, with each class having no par value:</w:t>
      </w:r>
    </w:p>
    <w:p>
      <w:pPr>
        <w:spacing w:after="0" w:line="221" w:lineRule="exact"/>
        <w:rPr>
          <w:sz w:val="20"/>
          <w:szCs w:val="20"/>
          <w:color w:val="auto"/>
        </w:rPr>
      </w:pPr>
    </w:p>
    <w:p>
      <w:pPr>
        <w:ind w:left="860" w:hanging="343"/>
        <w:spacing w:after="0"/>
        <w:tabs>
          <w:tab w:leader="none" w:pos="8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 Voting Shares</w:t>
      </w:r>
    </w:p>
    <w:p>
      <w:pPr>
        <w:spacing w:after="0" w:line="121" w:lineRule="exact"/>
        <w:rPr>
          <w:sz w:val="20"/>
          <w:szCs w:val="20"/>
          <w:color w:val="auto"/>
        </w:rPr>
      </w:pPr>
    </w:p>
    <w:p>
      <w:pPr>
        <w:ind w:left="1140" w:right="8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  Multiple Voting Shares</w:t>
      </w:r>
    </w:p>
    <w:p>
      <w:pPr>
        <w:spacing w:after="0" w:line="121" w:lineRule="exact"/>
        <w:rPr>
          <w:sz w:val="20"/>
          <w:szCs w:val="20"/>
          <w:color w:val="auto"/>
        </w:rPr>
      </w:pPr>
    </w:p>
    <w:p>
      <w:pPr>
        <w:ind w:left="1140" w:right="660"/>
        <w:spacing w:after="0" w:line="282" w:lineRule="auto"/>
        <w:rPr>
          <w:sz w:val="20"/>
          <w:szCs w:val="20"/>
          <w:color w:val="auto"/>
        </w:rPr>
      </w:pPr>
      <w:r>
        <w:rPr>
          <w:rFonts w:ascii="Times New Roman" w:cs="Times New Roman" w:eastAsia="Times New Roman" w:hAnsi="Times New Roman"/>
          <w:sz w:val="18"/>
          <w:szCs w:val="18"/>
          <w:color w:val="auto"/>
        </w:rPr>
        <w:t>Each Multiple Voting Share is entitled to 100 votes per share at shareholder meetings of the Company and is exchangeable for 100 Subordinate Voting Shares. The Company is authorized to issue an unlimited number of Multiple Voting Shares.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(iii) Super Voting Shares</w:t>
      </w:r>
    </w:p>
    <w:p>
      <w:pPr>
        <w:spacing w:after="0" w:line="121" w:lineRule="exact"/>
        <w:rPr>
          <w:sz w:val="20"/>
          <w:szCs w:val="20"/>
          <w:color w:val="auto"/>
        </w:rPr>
      </w:pPr>
    </w:p>
    <w:p>
      <w:pPr>
        <w:ind w:left="1140" w:right="540"/>
        <w:spacing w:after="0" w:line="266" w:lineRule="auto"/>
        <w:rPr>
          <w:sz w:val="20"/>
          <w:szCs w:val="20"/>
          <w:color w:val="auto"/>
        </w:rPr>
      </w:pPr>
      <w:r>
        <w:rPr>
          <w:rFonts w:ascii="Times New Roman" w:cs="Times New Roman" w:eastAsia="Times New Roman" w:hAnsi="Times New Roman"/>
          <w:sz w:val="18"/>
          <w:szCs w:val="18"/>
          <w:color w:val="auto"/>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Issued and Outstanding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the issued and outstanding shares by class is as follows:</w:t>
      </w:r>
    </w:p>
    <w:p>
      <w:pPr>
        <w:spacing w:after="0" w:line="246"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Issued and Outstanding</w:t>
            </w:r>
          </w:p>
        </w:tc>
        <w:tc>
          <w:tcPr>
            <w:tcW w:w="1360" w:type="dxa"/>
            <w:vAlign w:val="bottom"/>
            <w:tcBorders>
              <w:bottom w:val="single" w:sz="8" w:color="auto"/>
            </w:tcBorders>
          </w:tcPr>
          <w:p>
            <w:pPr>
              <w:spacing w:after="0"/>
              <w:rPr>
                <w:sz w:val="15"/>
                <w:szCs w:val="15"/>
                <w:color w:val="auto"/>
              </w:rPr>
            </w:pPr>
          </w:p>
        </w:tc>
      </w:tr>
      <w:tr>
        <w:trPr>
          <w:trHeight w:val="117"/>
        </w:trPr>
        <w:tc>
          <w:tcPr>
            <w:tcW w:w="5320" w:type="dxa"/>
            <w:vAlign w:val="bottom"/>
          </w:tcPr>
          <w:p>
            <w:pPr>
              <w:spacing w:after="0"/>
              <w:rPr>
                <w:sz w:val="10"/>
                <w:szCs w:val="10"/>
                <w:color w:val="auto"/>
              </w:rPr>
            </w:pPr>
          </w:p>
        </w:tc>
        <w:tc>
          <w:tcPr>
            <w:tcW w:w="134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Subordinate</w:t>
            </w:r>
          </w:p>
        </w:tc>
        <w:tc>
          <w:tcPr>
            <w:tcW w:w="140" w:type="dxa"/>
            <w:vAlign w:val="bottom"/>
          </w:tcPr>
          <w:p>
            <w:pPr>
              <w:spacing w:after="0"/>
              <w:rPr>
                <w:sz w:val="10"/>
                <w:szCs w:val="10"/>
                <w:color w:val="auto"/>
              </w:rPr>
            </w:pPr>
          </w:p>
        </w:tc>
        <w:tc>
          <w:tcPr>
            <w:tcW w:w="15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Multiple</w:t>
            </w:r>
          </w:p>
        </w:tc>
        <w:tc>
          <w:tcPr>
            <w:tcW w:w="1360" w:type="dxa"/>
            <w:vAlign w:val="bottom"/>
          </w:tcPr>
          <w:p>
            <w:pPr>
              <w:jc w:val="right"/>
              <w:ind w:right="437"/>
              <w:spacing w:after="0" w:line="118" w:lineRule="exact"/>
              <w:rPr>
                <w:sz w:val="20"/>
                <w:szCs w:val="20"/>
                <w:color w:val="auto"/>
              </w:rPr>
            </w:pPr>
            <w:r>
              <w:rPr>
                <w:rFonts w:ascii="Times New Roman" w:cs="Times New Roman" w:eastAsia="Times New Roman" w:hAnsi="Times New Roman"/>
                <w:sz w:val="13"/>
                <w:szCs w:val="13"/>
                <w:b w:val="1"/>
                <w:bCs w:val="1"/>
                <w:color w:val="auto"/>
              </w:rPr>
              <w:t>Super</w:t>
            </w:r>
          </w:p>
        </w:tc>
      </w:tr>
      <w:tr>
        <w:trPr>
          <w:trHeight w:val="148"/>
        </w:trPr>
        <w:tc>
          <w:tcPr>
            <w:tcW w:w="5320" w:type="dxa"/>
            <w:vAlign w:val="bottom"/>
          </w:tcPr>
          <w:p>
            <w:pPr>
              <w:spacing w:after="0"/>
              <w:rPr>
                <w:sz w:val="12"/>
                <w:szCs w:val="12"/>
                <w:color w:val="auto"/>
              </w:rPr>
            </w:pPr>
          </w:p>
        </w:tc>
        <w:tc>
          <w:tcPr>
            <w:tcW w:w="1340" w:type="dxa"/>
            <w:vAlign w:val="bottom"/>
          </w:tcPr>
          <w:p>
            <w:pPr>
              <w:jc w:val="right"/>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4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1360" w:type="dxa"/>
            <w:vAlign w:val="bottom"/>
          </w:tcPr>
          <w:p>
            <w:pPr>
              <w:jc w:val="right"/>
              <w:ind w:right="417"/>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r>
      <w:tr>
        <w:trPr>
          <w:trHeight w:val="173"/>
        </w:trPr>
        <w:tc>
          <w:tcPr>
            <w:tcW w:w="5320" w:type="dxa"/>
            <w:vAlign w:val="bottom"/>
          </w:tcPr>
          <w:p>
            <w:pPr>
              <w:spacing w:after="0"/>
              <w:rPr>
                <w:sz w:val="15"/>
                <w:szCs w:val="15"/>
                <w:color w:val="auto"/>
              </w:rPr>
            </w:pPr>
          </w:p>
        </w:tc>
        <w:tc>
          <w:tcPr>
            <w:tcW w:w="13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 2026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206,629,845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37,472</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201,690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upon exercise of 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Issuances of shares upon vesting of RSUs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1,423,290</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Super Voting 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(6,045,000)</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202,013,135</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37,472</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93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93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946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946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390" w:lineRule="exact"/>
        <w:rPr>
          <w:sz w:val="20"/>
          <w:szCs w:val="20"/>
          <w:color w:val="auto"/>
        </w:rPr>
      </w:pPr>
    </w:p>
    <w:p>
      <w:pPr>
        <w:ind w:left="1300" w:hanging="439"/>
        <w:spacing w:after="0"/>
        <w:tabs>
          <w:tab w:leader="none" w:pos="130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Repurchase of Subordinate and Super Voting Shares</w:t>
      </w:r>
    </w:p>
    <w:p>
      <w:pPr>
        <w:spacing w:after="0" w:line="337"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On September 23, 2025, the Company's Board of Directors authorized a new share repurchase program that commenced immediately following the expiration of the Company's previous share repurchase program. The new program authorizes the Company to repurchase its Subordinate Voting Shares over a 12-month period at an aggregate cost of up to $50,000 thousand. On April 21, 2026, the Company’s Board of Directors authorized an expansion of the share repurchase program such that the Company may purchase Subordinate Voting Shares at an aggregate cost of up to $150,000 thousand.</w:t>
      </w:r>
    </w:p>
    <w:p>
      <w:pPr>
        <w:spacing w:after="0" w:line="75"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approximately 6,045,000 Subordinate Voting Shares for approximately $33,300 thousand, at an average price of $5.51 per share.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70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39" w:lineRule="exact"/>
        <w:rPr>
          <w:sz w:val="20"/>
          <w:szCs w:val="20"/>
          <w:color w:val="auto"/>
        </w:rPr>
      </w:pPr>
    </w:p>
    <w:p>
      <w:pPr>
        <w:ind w:left="452" w:hanging="452"/>
        <w:spacing w:after="0"/>
        <w:tabs>
          <w:tab w:leader="none" w:pos="4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52"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-219710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right="80"/>
        <w:spacing w:after="0" w:line="256" w:lineRule="auto"/>
        <w:rPr>
          <w:sz w:val="20"/>
          <w:szCs w:val="20"/>
          <w:color w:val="auto"/>
        </w:rPr>
      </w:pPr>
      <w:r>
        <w:rPr>
          <w:rFonts w:ascii="Times New Roman" w:cs="Times New Roman" w:eastAsia="Times New Roman" w:hAnsi="Times New Roman"/>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9"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In June 2018, the Company established the Green Thumb Industries Inc. 2018 Stock and Incentive Plan, which was amended by Amendment No. 1, Amendment No. 2 Amendment No. 3 and Amendment No. 4 thereto (as amended, the “Plan”). The maximum number of Restricted Stock Units (“RSUs”) and options outstanding under the Plan at any time shall not exceed 15% of the then issued and outstanding shares on an as-converted basis.</w:t>
      </w:r>
    </w:p>
    <w:p>
      <w:pPr>
        <w:spacing w:after="0" w:line="72" w:lineRule="exact"/>
        <w:rPr>
          <w:sz w:val="20"/>
          <w:szCs w:val="20"/>
          <w:color w:val="auto"/>
        </w:rPr>
      </w:pPr>
    </w:p>
    <w:p>
      <w:pPr>
        <w:ind w:left="512"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w:t>
      </w:r>
    </w:p>
    <w:p>
      <w:pPr>
        <w:spacing w:after="0" w:line="72" w:lineRule="exact"/>
        <w:rPr>
          <w:sz w:val="20"/>
          <w:szCs w:val="20"/>
          <w:color w:val="auto"/>
        </w:rPr>
      </w:pPr>
    </w:p>
    <w:p>
      <w:pPr>
        <w:ind w:left="532" w:right="80"/>
        <w:spacing w:after="0" w:line="266" w:lineRule="auto"/>
        <w:rPr>
          <w:sz w:val="20"/>
          <w:szCs w:val="20"/>
          <w:color w:val="auto"/>
        </w:rPr>
      </w:pPr>
      <w:r>
        <w:rPr>
          <w:rFonts w:ascii="Times New Roman" w:cs="Times New Roman" w:eastAsia="Times New Roman" w:hAnsi="Times New Roman"/>
          <w:sz w:val="18"/>
          <w:szCs w:val="18"/>
          <w:color w:val="auto"/>
        </w:rPr>
        <w:t>Option and RSU awards generally vest over three years, and options typically have a life of seven to ten years. Option grants under the Plan are determined by the Compensation Committee of the Company’s Board of Directors with the option price set at no less than 100% of the fair market value of a share on the date of grant.</w:t>
      </w:r>
    </w:p>
    <w:p>
      <w:pPr>
        <w:spacing w:after="0" w:line="6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33" w:lineRule="exact"/>
        <w:rPr>
          <w:sz w:val="20"/>
          <w:szCs w:val="20"/>
          <w:color w:val="auto"/>
        </w:rPr>
      </w:pPr>
    </w:p>
    <w:tbl>
      <w:tblPr>
        <w:tblLayout w:type="fixed"/>
        <w:tblInd w:w="792"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6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160" w:type="dxa"/>
            <w:vAlign w:val="bottom"/>
          </w:tcPr>
          <w:p>
            <w:pPr>
              <w:spacing w:after="0"/>
              <w:rPr>
                <w:sz w:val="13"/>
                <w:szCs w:val="13"/>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3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Exercise Price Remaining Contractual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7,692,764</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(138,636)</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7,549,128</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6,165,052</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permitted under ASC 718, the Company has made an accounting policy choice to account for forfeitures when they occur.</w:t>
      </w:r>
    </w:p>
    <w:p>
      <w:pPr>
        <w:spacing w:after="0" w:line="25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18" w:name="page19"/>
    <w:bookmarkEnd w:id="18"/>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48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177" w:lineRule="exact"/>
        <w:rPr>
          <w:sz w:val="20"/>
          <w:szCs w:val="20"/>
          <w:color w:val="auto"/>
        </w:rPr>
      </w:pPr>
    </w:p>
    <w:p>
      <w:pPr>
        <w:ind w:left="952" w:hanging="443"/>
        <w:spacing w:after="0"/>
        <w:tabs>
          <w:tab w:leader="none" w:pos="952"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38"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512"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March 31, 2026 and December 31, 2025 and the changes during the three months ended March 31, 2026:</w:t>
      </w:r>
    </w:p>
    <w:p>
      <w:pPr>
        <w:spacing w:after="0" w:line="170" w:lineRule="exact"/>
        <w:rPr>
          <w:sz w:val="20"/>
          <w:szCs w:val="20"/>
          <w:color w:val="auto"/>
        </w:rPr>
      </w:pPr>
    </w:p>
    <w:tbl>
      <w:tblPr>
        <w:tblLayout w:type="fixed"/>
        <w:tblInd w:w="792"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3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23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09"/>
        </w:trPr>
        <w:tc>
          <w:tcPr>
            <w:tcW w:w="47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360" w:type="dxa"/>
            <w:vAlign w:val="bottom"/>
            <w:vMerge w:val="restart"/>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64"/>
        </w:trPr>
        <w:tc>
          <w:tcPr>
            <w:tcW w:w="472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2025</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9,518,293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107,681</w:t>
            </w:r>
          </w:p>
        </w:tc>
        <w:tc>
          <w:tcPr>
            <w:tcW w:w="2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(904,361)</w:t>
            </w:r>
          </w:p>
        </w:tc>
        <w:tc>
          <w:tcPr>
            <w:tcW w:w="20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(1,423,290)</w:t>
            </w:r>
          </w:p>
        </w:tc>
        <w:tc>
          <w:tcPr>
            <w:tcW w:w="2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March 31, 2026</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7,298,323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stock-based compensation expense for the three months ended March 31, 2026 and 2025 was as follows:</w:t>
      </w:r>
    </w:p>
    <w:p>
      <w:pPr>
        <w:spacing w:after="0" w:line="246" w:lineRule="exact"/>
        <w:rPr>
          <w:sz w:val="20"/>
          <w:szCs w:val="20"/>
          <w:color w:val="auto"/>
        </w:rPr>
      </w:pPr>
    </w:p>
    <w:tbl>
      <w:tblPr>
        <w:tblLayout w:type="fixed"/>
        <w:tblInd w:w="73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expense</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4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0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4997450</wp:posOffset>
            </wp:positionH>
            <wp:positionV relativeFrom="paragraph">
              <wp:posOffset>-25400</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4997450</wp:posOffset>
            </wp:positionH>
            <wp:positionV relativeFrom="paragraph">
              <wp:posOffset>-7620</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-25400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As of March 31, 2026, $50,546 thousand of total unrecognized expense related to stock-based compensation awards is expected to be recognized over a weighted-average period of 1.59 years.</w:t>
      </w:r>
    </w:p>
    <w:p>
      <w:pPr>
        <w:spacing w:after="0" w:line="189"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2"/>
          </w:cols>
          <w:pgMar w:left="328" w:top="765" w:right="619" w:bottom="1440" w:gutter="0" w:footer="0" w:header="0"/>
        </w:sectPr>
      </w:pPr>
    </w:p>
    <w:bookmarkStart w:id="19" w:name="page20"/>
    <w:bookmarkEnd w:id="1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46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18"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months ended March 31, 2026 and 2025:</w:t>
      </w:r>
    </w:p>
    <w:p>
      <w:pPr>
        <w:spacing w:after="0" w:line="286"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3160" w:type="dxa"/>
            <w:vAlign w:val="bottom"/>
          </w:tcPr>
          <w:p>
            <w:pPr>
              <w:spacing w:after="0"/>
              <w:rPr>
                <w:sz w:val="18"/>
                <w:szCs w:val="18"/>
                <w:color w:val="auto"/>
              </w:rPr>
            </w:pPr>
          </w:p>
        </w:tc>
        <w:tc>
          <w:tcPr>
            <w:tcW w:w="2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63,139</w:t>
            </w:r>
          </w:p>
        </w:tc>
        <w:tc>
          <w:tcPr>
            <w:tcW w:w="1380" w:type="dxa"/>
            <w:vAlign w:val="bottom"/>
            <w:tcBorders>
              <w:top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39,716</w:t>
            </w:r>
          </w:p>
        </w:tc>
        <w:tc>
          <w:tcPr>
            <w:tcW w:w="16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48,092</w:t>
            </w:r>
          </w:p>
        </w:tc>
        <w:tc>
          <w:tcPr>
            <w:tcW w:w="1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6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3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2026 and 2025 were based on the Company’s forecasted annualized effective tax rates and were adjusted for discrete items that occurred within the periods presented.</w:t>
      </w:r>
    </w:p>
    <w:p>
      <w:pPr>
        <w:spacing w:after="0" w:line="1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IRS has taken the position that cannabis companies are subject to the limitations of the U.S. Internal Revenue Code of 1986, as amended (“IRC”) Section 280E under which cannabis companies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765" w:right="639" w:bottom="1440" w:gutter="0" w:footer="0" w:header="0"/>
        </w:sectPr>
      </w:pPr>
    </w:p>
    <w:bookmarkStart w:id="20" w:name="page21"/>
    <w:bookmarkEnd w:id="20"/>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198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45" w:lineRule="exact"/>
        <w:rPr>
          <w:sz w:val="20"/>
          <w:szCs w:val="20"/>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other income (expense) was comprised of the following:</w:t>
      </w:r>
    </w:p>
    <w:p>
      <w:pPr>
        <w:spacing w:after="0" w:line="286"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60" w:type="dxa"/>
            <w:vAlign w:val="bottom"/>
            <w:tcBorders>
              <w:bottom w:val="single" w:sz="8" w:color="auto"/>
            </w:tcBorders>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bottom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adjustments on related party warrants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adjustments on warrants liability</w:t>
            </w: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20" w:type="dxa"/>
            <w:vAlign w:val="bottom"/>
          </w:tcPr>
          <w:p>
            <w:pPr>
              <w:spacing w:after="0"/>
              <w:rPr>
                <w:sz w:val="17"/>
                <w:szCs w:val="17"/>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from settlement of arbitration award</w:t>
            </w:r>
          </w:p>
        </w:tc>
        <w:tc>
          <w:tcPr>
            <w:tcW w:w="1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 from equity method investments</w:t>
            </w: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20" w:type="dxa"/>
            <w:vAlign w:val="bottom"/>
          </w:tcPr>
          <w:p>
            <w:pPr>
              <w:spacing w:after="0"/>
              <w:rPr>
                <w:sz w:val="17"/>
                <w:szCs w:val="17"/>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income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22,967</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-162560</wp:posOffset>
            </wp:positionV>
            <wp:extent cx="162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765" w:right="111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4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245" w:lineRule="exact"/>
        <w:rPr>
          <w:sz w:val="20"/>
          <w:szCs w:val="20"/>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w:t>
      </w:r>
    </w:p>
    <w:p>
      <w:pPr>
        <w:spacing w:after="0" w:line="71"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spacing w:after="0" w:line="6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Claims and Litigation</w:t>
      </w:r>
    </w:p>
    <w:p>
      <w:pPr>
        <w:spacing w:after="0" w:line="121"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March 31, 2026:</w:t>
      </w:r>
    </w:p>
    <w:p>
      <w:pPr>
        <w:spacing w:after="0" w:line="54" w:lineRule="exact"/>
        <w:rPr>
          <w:sz w:val="20"/>
          <w:szCs w:val="20"/>
          <w:color w:val="auto"/>
        </w:rPr>
      </w:pPr>
    </w:p>
    <w:p>
      <w:pPr>
        <w:ind w:left="1020" w:hanging="503"/>
        <w:spacing w:after="0" w:line="25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in the amount of $912 thousand. On March 27, 2026, the Company and plaintiff entered into a settlement agreement whereby the Company remitted $6,750 thousand to plaintiff in full satisfaction of all claims against the Company. As of March 31, 2026, the matter was fully resolved.</w:t>
      </w:r>
    </w:p>
    <w:p>
      <w:pPr>
        <w:spacing w:after="0" w:line="79"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5, 2026, the Company was notified of an arbitration award in favor of Green Thumb in relation to a 2018 agreement with Ascend Wellness Holdings Inc.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Ascend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On February 12, 2026, Ascend remitted $17,000 thousand to the Company in order to settle the matter in accordance with the parties’ settlement agreement. For the three months ended March 31, 2026, such amount was included within other income (expense) on the unaudited interim condensed consolidated statements of operations.</w:t>
      </w:r>
    </w:p>
    <w:p>
      <w:pPr>
        <w:spacing w:after="0" w:line="75"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Construction Commitments</w:t>
      </w:r>
    </w:p>
    <w:p>
      <w:pPr>
        <w:spacing w:after="0" w:line="121" w:lineRule="exact"/>
        <w:rPr>
          <w:sz w:val="20"/>
          <w:szCs w:val="20"/>
          <w:color w:val="auto"/>
        </w:rPr>
      </w:pPr>
    </w:p>
    <w:p>
      <w:pPr>
        <w:ind w:left="520" w:right="7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held approximately $5,800 thousand of open construction commitments to contractors on work being performed which are generally expected to be completed within 12 months.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68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39" w:lineRule="exact"/>
        <w:rPr>
          <w:sz w:val="20"/>
          <w:szCs w:val="20"/>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87"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115"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investments, accounts payable and accrued liabilities, notes payable and warrant liability.</w:t>
      </w:r>
    </w:p>
    <w:p>
      <w:pPr>
        <w:spacing w:after="0" w:line="54"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It was not practicable to estimate the fair value of the Company's long-term notes payable, which consist of the Credit Facility and mortgage notes, since there were no quoted market prices or active trading markets. The carrying amount of notes payable at March 31, 2026 and December 31, 2025 was $289,923 thousand and $244,896 thousand, respectively, which includes $23,579 thousand and $18,495 thousand, respectively, of short-term debt due within one year.</w:t>
      </w:r>
    </w:p>
    <w:p>
      <w:pPr>
        <w:spacing w:after="0" w:line="72" w:lineRule="exact"/>
        <w:rPr>
          <w:sz w:val="20"/>
          <w:szCs w:val="20"/>
          <w:color w:val="auto"/>
        </w:rPr>
      </w:pPr>
    </w:p>
    <w:p>
      <w:pPr>
        <w:ind w:left="520" w:right="58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7"/>
                <w:szCs w:val="17"/>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7"/>
                <w:szCs w:val="17"/>
                <w:color w:val="auto"/>
              </w:rPr>
            </w:pPr>
          </w:p>
        </w:tc>
        <w:tc>
          <w:tcPr>
            <w:tcW w:w="13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344,512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7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40" w:type="dxa"/>
            <w:vAlign w:val="bottom"/>
          </w:tcPr>
          <w:p>
            <w:pPr>
              <w:spacing w:after="0"/>
              <w:rPr>
                <w:sz w:val="17"/>
                <w:szCs w:val="17"/>
                <w:color w:val="auto"/>
              </w:rPr>
            </w:pPr>
          </w:p>
        </w:tc>
        <w:tc>
          <w:tcPr>
            <w:tcW w:w="182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82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32,664</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346,212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32,664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7"/>
                <w:szCs w:val="17"/>
                <w:color w:val="auto"/>
              </w:rPr>
            </w:pPr>
          </w:p>
        </w:tc>
        <w:tc>
          <w:tcPr>
            <w:tcW w:w="182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7"/>
                <w:szCs w:val="17"/>
                <w:color w:val="auto"/>
              </w:rPr>
            </w:pPr>
          </w:p>
        </w:tc>
        <w:tc>
          <w:tcPr>
            <w:tcW w:w="13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274,298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3"/>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7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140" w:type="dxa"/>
            <w:vAlign w:val="bottom"/>
          </w:tcPr>
          <w:p>
            <w:pPr>
              <w:spacing w:after="0"/>
              <w:rPr>
                <w:sz w:val="17"/>
                <w:szCs w:val="17"/>
                <w:color w:val="auto"/>
              </w:rPr>
            </w:pPr>
          </w:p>
        </w:tc>
        <w:tc>
          <w:tcPr>
            <w:tcW w:w="182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0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32,720</w:t>
            </w:r>
          </w:p>
        </w:tc>
        <w:tc>
          <w:tcPr>
            <w:tcW w:w="14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285,282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2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32,720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-162560</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-162560</wp:posOffset>
            </wp:positionV>
            <wp:extent cx="93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-162560</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0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39"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presents revenues by type for the three months ended March 31, 2026 and 2025:</w:t>
      </w:r>
    </w:p>
    <w:p>
      <w:pPr>
        <w:spacing w:after="0" w:line="200" w:lineRule="exact"/>
        <w:rPr>
          <w:sz w:val="20"/>
          <w:szCs w:val="20"/>
          <w:color w:val="auto"/>
        </w:rPr>
      </w:pPr>
    </w:p>
    <w:p>
      <w:pPr>
        <w:spacing w:after="0" w:line="237"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0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6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tc>
        <w:tc>
          <w:tcPr>
            <w:tcW w:w="1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198,672</w:t>
            </w: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167,539</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170,284</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(75,409)</w:t>
            </w:r>
          </w:p>
        </w:tc>
        <w:tc>
          <w:tcPr>
            <w:tcW w:w="2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(89,416)</w:t>
            </w:r>
          </w:p>
        </w:tc>
      </w:tr>
      <w:tr>
        <w:trPr>
          <w:trHeight w:val="249"/>
        </w:trPr>
        <w:tc>
          <w:tcPr>
            <w:tcW w:w="20" w:type="dxa"/>
            <w:vAlign w:val="bottom"/>
          </w:tcPr>
          <w:p>
            <w:pPr>
              <w:spacing w:after="0"/>
              <w:rPr>
                <w:sz w:val="21"/>
                <w:szCs w:val="21"/>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1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300,190</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279,540</w:t>
            </w:r>
          </w:p>
        </w:tc>
      </w:tr>
      <w:tr>
        <w:trPr>
          <w:trHeight w:val="197"/>
        </w:trPr>
        <w:tc>
          <w:tcPr>
            <w:tcW w:w="20" w:type="dxa"/>
            <w:vAlign w:val="bottom"/>
          </w:tcPr>
          <w:p>
            <w:pPr>
              <w:spacing w:after="0"/>
              <w:rPr>
                <w:sz w:val="17"/>
                <w:szCs w:val="17"/>
                <w:color w:val="auto"/>
              </w:rPr>
            </w:pPr>
          </w:p>
        </w:tc>
        <w:tc>
          <w:tcPr>
            <w:tcW w:w="382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Cost of goods sold</w:t>
            </w: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125,248</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133,353</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104,141</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99,790</w:t>
            </w: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(72,844)</w:t>
            </w: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(96,878)</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156,545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136,265</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Gross profit</w:t>
            </w:r>
          </w:p>
        </w:tc>
        <w:tc>
          <w:tcPr>
            <w:tcW w:w="1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65,319</w:t>
            </w: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63,398</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70,494</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7,462</w:t>
            </w: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143,645</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143,275</w:t>
            </w:r>
          </w:p>
        </w:tc>
      </w:tr>
      <w:tr>
        <w:trPr>
          <w:trHeight w:val="196"/>
        </w:trPr>
        <w:tc>
          <w:tcPr>
            <w:tcW w:w="20" w:type="dxa"/>
            <w:vAlign w:val="bottom"/>
          </w:tcPr>
          <w:p>
            <w:pPr>
              <w:spacing w:after="0"/>
              <w:rPr>
                <w:sz w:val="17"/>
                <w:szCs w:val="17"/>
                <w:color w:val="auto"/>
              </w:rPr>
            </w:pPr>
          </w:p>
        </w:tc>
        <w:tc>
          <w:tcPr>
            <w:tcW w:w="382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11,088</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18,323</w:t>
            </w: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32,413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29,411</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-2185670</wp:posOffset>
            </wp:positionV>
            <wp:extent cx="1543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-2167890</wp:posOffset>
            </wp:positionV>
            <wp:extent cx="1543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-1610995</wp:posOffset>
            </wp:positionV>
            <wp:extent cx="154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-744855</wp:posOffset>
            </wp:positionV>
            <wp:extent cx="154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-727710</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1543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7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Goodwill assigned to the Retail segment as of March 31, 2026 and December 31, 2025 was $276,955 thousand and $277,342 thousand, respectively. Intangible assets, net assigned to the Retail segment as of March 31, 2026 and December 31, 2025 was $244,509 thousand and $251,846 thousand, respectively.</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Goodwill assigned to the Consumer Packaged Goods segment as of March 31, 2026 and December 31, 2025 was $314,809 thousand at each period end. Intangible assets, net assigned to the Consumer Packaged Goods segment as of March 31, 2026 and December 31, 2025 was $179,599 thousand and $184,835 thousand, respectively.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80" w:right="274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26"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WITH AFFILIATED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acquired a noncontrolling financial interest in Agrify Corporation (now known as RYTHM Inc. or “RYM”) in November 2024. In connection with the transaction, Benjamin Kovler, Chairman and Chief Executive Officer and Armon Vakali, Vice President, Strategic Initiatives and Partnerships, both of Green Thumb, began serving as RYM's Chairman and Interim Chief Executive Officer and member of RYM's Board, respectively. The following is a summary of transactions between Green Thumb and RYM:</w:t>
      </w:r>
    </w:p>
    <w:p>
      <w:pPr>
        <w:spacing w:after="0" w:line="28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held approximately 33% ownership interest in RYM and accounted for the investment using the equity method of accounting. As of each of those periods then ended, the Company's investment in RYM had a carrying value of $159,491 thousand and $152,374 thousand, respectively. During the three months ended March 31, 2026 and 2025, the Company recorded earnings (losses) from its ownership interest in RYM of $6,479 thousand and ($650) thousand, respectively, within other income (expense) on the Company's unaudited interim condensed consolidated statements of operations.</w:t>
      </w:r>
    </w:p>
    <w:p>
      <w:pPr>
        <w:spacing w:after="0" w:line="28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Convertible Notes Receivable:</w:t>
      </w:r>
    </w:p>
    <w:p>
      <w:pPr>
        <w:spacing w:after="0" w:line="229"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Company extended convertible notes receivable (the “May 2025 Notes” and “August 2025 Notes”) to RYM in the previous year. The following amounts were held by the Company as of as of March 31, 2026 and December 31, 2025, respectively:</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0D0D0D"/>
              </w:rPr>
              <w:t>March 31, 2026</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0D0D0D"/>
              </w:rPr>
              <w:t>December 31, 2025</w:t>
            </w:r>
          </w:p>
        </w:tc>
      </w:tr>
      <w:tr>
        <w:trPr>
          <w:trHeight w:val="199"/>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0D0D0D"/>
              </w:rPr>
              <w:t>(in thousands)</w:t>
            </w:r>
          </w:p>
        </w:tc>
        <w:tc>
          <w:tcPr>
            <w:tcW w:w="2360" w:type="dxa"/>
            <w:vAlign w:val="bottom"/>
            <w:tcBorders>
              <w:bottom w:val="single" w:sz="8" w:color="auto"/>
            </w:tcBorders>
          </w:tcPr>
          <w:p>
            <w:pPr>
              <w:spacing w:after="0"/>
              <w:rPr>
                <w:sz w:val="17"/>
                <w:szCs w:val="17"/>
                <w:color w:val="auto"/>
              </w:rPr>
            </w:pPr>
          </w:p>
        </w:tc>
      </w:tr>
      <w:tr>
        <w:trPr>
          <w:trHeight w:val="196"/>
        </w:trPr>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2025 Notes - maturing November 22, 2026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r>
      <w:tr>
        <w:trPr>
          <w:trHeight w:val="203"/>
        </w:trPr>
        <w:tc>
          <w:tcPr>
            <w:tcW w:w="20" w:type="dxa"/>
            <w:vAlign w:val="bottom"/>
          </w:tcPr>
          <w:p>
            <w:pPr>
              <w:spacing w:after="0"/>
              <w:rPr>
                <w:sz w:val="17"/>
                <w:szCs w:val="17"/>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August 2025 Notes - maturing February 25, 2027</w:t>
            </w:r>
          </w:p>
        </w:tc>
        <w:tc>
          <w:tcPr>
            <w:tcW w:w="20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Curret convertible notes receivable from RYM</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27,000</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-162560</wp:posOffset>
            </wp:positionV>
            <wp:extent cx="1200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94" w:lineRule="exact"/>
        <w:rPr>
          <w:sz w:val="20"/>
          <w:szCs w:val="20"/>
          <w:color w:val="auto"/>
        </w:rPr>
      </w:pPr>
    </w:p>
    <w:p>
      <w:pPr>
        <w:jc w:val="both"/>
        <w:ind w:left="520" w:right="100"/>
        <w:spacing w:after="0" w:line="266" w:lineRule="auto"/>
        <w:rPr>
          <w:sz w:val="20"/>
          <w:szCs w:val="20"/>
          <w:color w:val="auto"/>
        </w:rPr>
      </w:pPr>
      <w:r>
        <w:rPr>
          <w:rFonts w:ascii="Times New Roman" w:cs="Times New Roman" w:eastAsia="Times New Roman" w:hAnsi="Times New Roman"/>
          <w:sz w:val="18"/>
          <w:szCs w:val="18"/>
          <w:color w:val="auto"/>
        </w:rPr>
        <w:t>The May and August 2025 Notes bear interest of 10% per annum and are convertible into shares of RYM or pre-funded warrants at maturity. As of the year ended December 31, 2025, the August 2025 Notes were classified as non-current and, accordingly, were included within non-current notes receivable from related parties on the Company's unaudited interim condensed consolidated balance sheets.</w:t>
      </w:r>
    </w:p>
    <w:p>
      <w:pPr>
        <w:spacing w:after="0" w:line="176"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accrued interest associated with the Company's convertible notes receivable from RYM totaled $600 thousand and $2,326 thousand, respectively.</w:t>
      </w:r>
    </w:p>
    <w:p>
      <w:pPr>
        <w:spacing w:after="0" w:line="26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Licensing and Management Services Agreements:</w:t>
      </w:r>
    </w:p>
    <w:p>
      <w:pPr>
        <w:spacing w:after="0" w:line="229"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8"/>
          <w:szCs w:val="18"/>
          <w:color w:val="auto"/>
        </w:rPr>
        <w:t>In May and August 2025, Green Thumb sold its intellectual property rights in brands including RYTHM, incredibles, Beboe, Dogwalkers, Doctor Solomon's, &amp;Shine and Good Green to RYM. As part of the transaction, RYM agreed to license the intellectual property rights back to Green Thumb in exchange for a licensing fee (the “License Agreements”). As of March 31, 2026, the Company incurred $8,978 thousand in license fees that were recorded within cost of sales on the Company's unaudited interim condensed consolidated statements of operations. As of March 31, 2026 and December 31, 2025, the Company owed RYM $6,621 thousand and $6,801 thousand, respectively in association with the License Agreements. Such amounts were included within accounts payable on the unaudited interim condensed consolidated balance sheets.</w:t>
      </w:r>
    </w:p>
    <w:p>
      <w:pPr>
        <w:spacing w:after="0" w:line="187" w:lineRule="exact"/>
        <w:rPr>
          <w:sz w:val="20"/>
          <w:szCs w:val="20"/>
          <w:color w:val="auto"/>
        </w:rPr>
      </w:pPr>
    </w:p>
    <w:p>
      <w:pPr>
        <w:jc w:val="both"/>
        <w:ind w:left="520" w:right="340"/>
        <w:spacing w:after="0" w:line="266" w:lineRule="auto"/>
        <w:rPr>
          <w:sz w:val="20"/>
          <w:szCs w:val="20"/>
          <w:color w:val="auto"/>
        </w:rPr>
      </w:pPr>
      <w:r>
        <w:rPr>
          <w:rFonts w:ascii="Times New Roman" w:cs="Times New Roman" w:eastAsia="Times New Roman" w:hAnsi="Times New Roman"/>
          <w:sz w:val="18"/>
          <w:szCs w:val="18"/>
          <w:color w:val="auto"/>
        </w:rPr>
        <w:t>On March 31, 2026, the License Agreements were amended to replace the prior revenue-based fee structure with fixed annual licensing fees of $70,000 thousand, payable in monthly installments. The fees are subject to an annual increase equal to two times a Consumer Price Index-based escalator. No other terms of the License Agreements were modified. The amendment became effective on April 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jc w:val="both"/>
        <w:ind w:left="2772" w:right="2700" w:hanging="3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Unaudited Interim Condensed Consolidated Financial Statements </w:t>
      </w:r>
      <w:r>
        <w:rPr>
          <w:rFonts w:ascii="Times New Roman" w:cs="Times New Roman" w:eastAsia="Times New Roman" w:hAnsi="Times New Roman"/>
          <w:sz w:val="18"/>
          <w:szCs w:val="18"/>
          <w:i w:val="1"/>
          <w:iCs w:val="1"/>
          <w:color w:val="auto"/>
        </w:rPr>
        <w:t>(Amounts Expressed in United States Dollars, Except Where Stated Otherwise)</w:t>
      </w:r>
    </w:p>
    <w:p>
      <w:pPr>
        <w:spacing w:after="0" w:line="326" w:lineRule="exact"/>
        <w:rPr>
          <w:sz w:val="20"/>
          <w:szCs w:val="20"/>
          <w:color w:val="auto"/>
        </w:rPr>
      </w:pPr>
    </w:p>
    <w:p>
      <w:pPr>
        <w:ind w:left="532" w:hanging="532"/>
        <w:spacing w:after="0"/>
        <w:tabs>
          <w:tab w:leader="none" w:pos="53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WITH AFFILIATED ENTITIES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12" w:hanging="503"/>
        <w:spacing w:after="0"/>
        <w:tabs>
          <w:tab w:leader="none" w:pos="1012"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Licensing and Management Services Agreements </w:t>
      </w:r>
      <w:r>
        <w:rPr>
          <w:rFonts w:ascii="Times New Roman" w:cs="Times New Roman" w:eastAsia="Times New Roman" w:hAnsi="Times New Roman"/>
          <w:sz w:val="18"/>
          <w:szCs w:val="18"/>
          <w:i w:val="1"/>
          <w:iCs w:val="1"/>
          <w:color w:val="auto"/>
        </w:rPr>
        <w:t>(Continued)</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512" w:right="560"/>
        <w:spacing w:after="0" w:line="282" w:lineRule="auto"/>
        <w:rPr>
          <w:sz w:val="20"/>
          <w:szCs w:val="20"/>
          <w:color w:val="auto"/>
        </w:rPr>
      </w:pPr>
      <w:r>
        <w:rPr>
          <w:rFonts w:ascii="Times New Roman" w:cs="Times New Roman" w:eastAsia="Times New Roman" w:hAnsi="Times New Roman"/>
          <w:sz w:val="18"/>
          <w:szCs w:val="18"/>
          <w:color w:val="auto"/>
        </w:rPr>
        <w:t>Separately, the Company routinely provides operational support services to RYM pursuant to two shared services agreements, for which the Company was owed $3,235 thousand and $3,186 thousand, respectively.</w:t>
      </w:r>
    </w:p>
    <w:p>
      <w:pPr>
        <w:spacing w:after="0" w:line="374" w:lineRule="exact"/>
        <w:rPr>
          <w:sz w:val="20"/>
          <w:szCs w:val="20"/>
          <w:color w:val="auto"/>
        </w:rPr>
      </w:pPr>
    </w:p>
    <w:p>
      <w:pPr>
        <w:ind w:left="532" w:hanging="532"/>
        <w:spacing w:after="0"/>
        <w:tabs>
          <w:tab w:leader="none" w:pos="53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2" w:hanging="512"/>
        <w:spacing w:after="0"/>
        <w:tabs>
          <w:tab w:leader="none" w:pos="51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Subordinate and Super Voting Shares</w:t>
      </w:r>
    </w:p>
    <w:p>
      <w:pPr>
        <w:spacing w:after="0" w:line="121" w:lineRule="exact"/>
        <w:rPr>
          <w:rFonts w:ascii="Times New Roman" w:cs="Times New Roman" w:eastAsia="Times New Roman" w:hAnsi="Times New Roman"/>
          <w:sz w:val="18"/>
          <w:szCs w:val="18"/>
          <w:b w:val="1"/>
          <w:bCs w:val="1"/>
          <w:color w:val="auto"/>
        </w:rPr>
      </w:pPr>
    </w:p>
    <w:p>
      <w:pPr>
        <w:ind w:left="51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21, 2026, the Company's Board of Directors authorized an increase in its most recent share repurchase program such that the Company may purchase Subordinate Voting Shares at an aggregate cost of up to $150,000 thousand. In addition, on that same date, the Company entered into a securities purchase agreement to purchase 7,393,787 Subordinate voting shares at a price of $6.00 per share.</w:t>
      </w:r>
    </w:p>
    <w:p>
      <w:pPr>
        <w:spacing w:after="0" w:line="279"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Rescheduling of Medical Marijuana</w:t>
      </w:r>
    </w:p>
    <w:p>
      <w:pPr>
        <w:spacing w:after="0" w:line="229" w:lineRule="exact"/>
        <w:rPr>
          <w:rFonts w:ascii="Times New Roman" w:cs="Times New Roman" w:eastAsia="Times New Roman" w:hAnsi="Times New Roman"/>
          <w:sz w:val="18"/>
          <w:szCs w:val="18"/>
          <w:b w:val="1"/>
          <w:bCs w:val="1"/>
          <w:color w:val="auto"/>
        </w:rPr>
      </w:pPr>
    </w:p>
    <w:p>
      <w:pPr>
        <w:ind w:left="51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23, 2026, the U.S. Department of Justice (“DOJ”) issued a Final Order (the “Order”) immediately placing both Food and Drug Administration (“FDA”) approved marijuana products and state-regulated medical marijuana products in Schedule III of the Controlled Substances Act (“CSA”). The Order establishes a bifurcated framework by immediately rescheduling the following into Schedule III: (1) FDA-approved drug products containing marijuana, and (2) marijuana subject to a qualifying state medical marijuana license. All other marijuana, including unlicensed bulk marijuana and marijuana operated under adult-use state programs, remains in Schedule I of the CSA. Simultaneously, the DOJ initiated an expedited administrative hearing process to consider broader rescheduling of marijuana, which will commence on June 29, 2026 and complete on July 15, 2026.</w:t>
      </w:r>
    </w:p>
    <w:p>
      <w:pPr>
        <w:spacing w:after="0" w:line="188" w:lineRule="exact"/>
        <w:rPr>
          <w:rFonts w:ascii="Times New Roman" w:cs="Times New Roman" w:eastAsia="Times New Roman" w:hAnsi="Times New Roman"/>
          <w:sz w:val="18"/>
          <w:szCs w:val="18"/>
          <w:b w:val="1"/>
          <w:bCs w:val="1"/>
          <w:color w:val="auto"/>
        </w:rPr>
      </w:pPr>
    </w:p>
    <w:p>
      <w:pPr>
        <w:ind w:left="51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holders of state medical marijuana licenses will no longer be subject to section 280E of the IRC. The Company is evaluating the impact here while awaiting further guidance from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26" w:name="page27"/>
    <w:bookmarkEnd w:id="26"/>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 DISCUSSION AND ANALYSIS OF FINANCIAL CONDITION AND RESULTS OF OPERATION</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This management discussion and analysis (“MD&amp;A”) of the financial condition and results of operations of Green Thumb Industries Inc. (the “Company” or “Green Thumb”) is for the three months ended March 31, 2026 and 2025. It is supplemental to, and should be read in conjunction with, the Company’s unaudited interim condensed consolidated financial statements as of March 31, 2026 and the consolidated financial statements for the year ended December 31, 2025 included in the Company’s Annual Report on Form 10-K for the year ended December 31, 2025 filed with the U.S. Securities and Exchange Commission (“SEC”) on February 25, 2026 (the “2025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w:t>
      </w:r>
    </w:p>
    <w:p>
      <w:pPr>
        <w:spacing w:after="0" w:line="18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2025 Form 10-K.” As a result of many factors, the Company’s actual results may differ materially from those anticipated in these forward-looking statements and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21"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March 31, 2026, Green Thumb has operations in fourteen U.S. markets, employs approximately 4,900 people and serves millions of patients and customers annually.</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Green Thumb’s core business is manufacturing, distributing and marketing a portfolio of cannabis consumer packaged goods brands, including &amp;Shine, Beboe, Dogwalkers, Doctor Solomon’s, Good Green, incredibles and RYTHM (which we refer to as our Consumer Packaged Goods business). The Company distributes and markets these products to third-party licensed retail cannabis stores across the United States as well as to Green Thumb-owned retail stores (which we refer to as our Retail business). The Company developed and acquired its consumer packaged goods brands over the course of the Company's operating history and then, in transactions that closed on May 20, 2025 and August 27, 2025, the Company, through sales of equity interests of indirectly owned subsidiaries, sold the intellectual property related to those brands to RYTHM, Inc (formerly known as Agrify Corporation, and referred to herein as "RYM"). In connection with this sale, the Company entered into licensing arrangements with RYM for the Company's continued, exclusive use of these brands for cannabis products in its existing markets. On March 31, 2026, the License Agreements were amended to replace the revenue-based fee structure with fixed annual licensing fees. The amendment became effective on April 1, 2026. As of March 31, 2026, the Company owns approximately 33% of the outstanding shares of common stock of RYM.</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(none of which are individually material to the Company).</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Green Thumb owns and operates a national cannabis retail chain called RISE Dispensaries that aims to bring patients and customers a variety of high-quality products at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are located in the fourteen states in which we operate. As of March 31, 2026, the Company had 114 open and operating Retail stores. The Company’s new store opening plans will remain fluid depending on market conditions, obtaining local licensing and other permissions, construction considerations and subject to the Company’s capital allocation plans as described under the heading “Liquidity, Financing Activities During the Period, and Capital Resources” below.</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selected consolidated financial results for the periods, and as of the dates, indicated. The (i) unaudited interim condensed consolidated statements of operations for the three months ended March 31, 2026 and 2025 and (ii) unaudited interim condensed consolidated balance sheet as of March 31, 2026 and December 31, 2025 have been derived from, and should be read in conjunction with, the unaudited interim condensed consolidated financial statements and accompanying notes presented in Item 1 of this quarterly report on Form 10-Q.</w:t>
      </w:r>
    </w:p>
    <w:p>
      <w:pPr>
        <w:spacing w:after="0" w:line="19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tcBorders>
              <w:bottom w:val="single" w:sz="8" w:color="auto"/>
            </w:tcBorders>
            <w:gridSpan w:val="6"/>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ind w:right="56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75"/>
              </w:rPr>
              <w:t>share</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ind w:right="3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8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and per share amounts)</w:t>
            </w:r>
          </w:p>
        </w:tc>
        <w:tc>
          <w:tcPr>
            <w:tcW w:w="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Borders>
              <w:bottom w:val="single" w:sz="8" w:color="auto"/>
            </w:tcBorders>
            <w:gridSpan w:val="4"/>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 net of discounts</w:t>
            </w:r>
          </w:p>
        </w:tc>
        <w:tc>
          <w:tcPr>
            <w:tcW w:w="9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300,190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279,540</w:t>
            </w:r>
          </w:p>
        </w:tc>
        <w:tc>
          <w:tcPr>
            <w:tcW w:w="3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20,650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4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(156,545)</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(136,265)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20,280</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143,645</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143,275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8"/>
        </w:trPr>
        <w:tc>
          <w:tcPr>
            <w:tcW w:w="4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102,911</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100,793</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w:t>
            </w:r>
          </w:p>
        </w:tc>
        <w:tc>
          <w:tcPr>
            <w:tcW w:w="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5"/>
        </w:trPr>
        <w:tc>
          <w:tcPr>
            <w:tcW w:w="464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Total expenses</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102,911</w:t>
            </w: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100,793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2,118</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40,734</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42,482</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4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22,405</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(2,766)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(25,171)</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(910)%</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 and non-controlling interest</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63,139</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39,716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23,423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8"/>
        </w:trPr>
        <w:tc>
          <w:tcPr>
            <w:tcW w:w="4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48,092</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16,777</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2"/>
        </w:trPr>
        <w:tc>
          <w:tcPr>
            <w:tcW w:w="46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before non-controlling interest</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15,047</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8,401</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6,646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8"/>
        </w:trPr>
        <w:tc>
          <w:tcPr>
            <w:tcW w:w="4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(468)%</w:t>
            </w:r>
          </w:p>
        </w:tc>
        <w:tc>
          <w:tcPr>
            <w:tcW w:w="0" w:type="dxa"/>
            <w:vAlign w:val="bottom"/>
          </w:tcPr>
          <w:p>
            <w:pPr>
              <w:spacing w:after="0"/>
              <w:rPr>
                <w:sz w:val="1"/>
                <w:szCs w:val="1"/>
                <w:color w:val="auto"/>
              </w:rPr>
            </w:pPr>
          </w:p>
        </w:tc>
      </w:tr>
      <w:tr>
        <w:trPr>
          <w:trHeight w:val="182"/>
        </w:trPr>
        <w:tc>
          <w:tcPr>
            <w:tcW w:w="464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Green Thumb Industries Inc.</w:t>
            </w:r>
          </w:p>
        </w:tc>
        <w:tc>
          <w:tcPr>
            <w:tcW w:w="980" w:type="dxa"/>
            <w:vAlign w:val="bottom"/>
            <w:tcBorders>
              <w:bottom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15,397</w:t>
            </w:r>
          </w:p>
        </w:tc>
        <w:tc>
          <w:tcPr>
            <w:tcW w:w="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8,306</w:t>
            </w:r>
          </w:p>
        </w:tc>
        <w:tc>
          <w:tcPr>
            <w:tcW w:w="320" w:type="dxa"/>
            <w:vAlign w:val="bottom"/>
            <w:tcBorders>
              <w:bottom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7,091</w:t>
            </w:r>
          </w:p>
        </w:tc>
        <w:tc>
          <w:tcPr>
            <w:tcW w:w="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3"/>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per share - basic</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9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29"/>
        </w:trPr>
        <w:tc>
          <w:tcPr>
            <w:tcW w:w="46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230,596,682</w:t>
            </w: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236,120,511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7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231,827,061</w:t>
            </w:r>
          </w:p>
        </w:tc>
        <w:tc>
          <w:tcPr>
            <w:tcW w:w="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236,822,468</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w:t>
            </w:r>
          </w:p>
        </w:tc>
        <w:tc>
          <w:tcPr>
            <w:tcW w:w="120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w w:val="72"/>
              </w:rPr>
              <w:t>thousands)</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2,831,606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2,790,056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740,402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702,098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-2074545</wp:posOffset>
            </wp:positionV>
            <wp:extent cx="145415" cy="1365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-2074545</wp:posOffset>
            </wp:positionV>
            <wp:extent cx="111125" cy="136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13652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-1264285</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-1247140</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-1264285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-1247140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-955675</wp:posOffset>
            </wp:positionV>
            <wp:extent cx="1200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-938530</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-955675</wp:posOffset>
            </wp:positionV>
            <wp:extent cx="857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-938530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-715645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-698500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-715645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-698500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Streams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58" w:lineRule="exact"/>
        <w:rPr>
          <w:sz w:val="20"/>
          <w:szCs w:val="20"/>
          <w:color w:val="auto"/>
        </w:rPr>
      </w:pPr>
    </w:p>
    <w:p>
      <w:pPr>
        <w:ind w:right="43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March 31, 2026 Compared to the Three Months Ended March 31, 2025 </w:t>
      </w:r>
      <w:r>
        <w:rPr>
          <w:rFonts w:ascii="Times New Roman" w:cs="Times New Roman" w:eastAsia="Times New Roman" w:hAnsi="Times New Roman"/>
          <w:sz w:val="18"/>
          <w:szCs w:val="18"/>
          <w:i w:val="1"/>
          <w:iCs w:val="1"/>
          <w:color w:val="auto"/>
        </w:rPr>
        <w:t>Revenues, net of Discounts</w:t>
      </w: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2026 was $300,190 thousand, up 7% from $279,540 thousand during the three months ended March 31, 2025. Key performance drivers for the period included: (i) launch of adult-use sales in Minnesota which began on September 17, 2025, (ii) growth in existing markets, particularly in Florida, Ohio and New York; and (iii) revenue generated from new Retail stores opened in the current period, offset by price compression and increased competition in select markets.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generated revenue from 114 Retail stores during the quarter compared to 103 in the same quarter of the prior year. Retail revenues made up 69% of total revenues during the three months ended March 31, 2026 as compared to 71% during the three months ended March 31, 2025. Since March 31, 2025, the Company opened or acquired eleven Retail stores.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Consumer Packaged Goods revenues made up 31% of total revenues during the three months ended March 31, 2026 as compared to 29% during the three months ended March 31, 2025. The key drivers for the increase in Consumer Packaged Goods revenue was the launch of adult-use sales in Minnesota, as described above, as well as continued growth in existing markets, particularly in Illinois, Massachusetts, Ohio, and New York, partially offset by price compression and increased competition in select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Cost of goods sold are derived from retail purchases made by the Company from its third-party licensed producers operating within our state markets and costs related to the internal cultivation and production of cannabis. Cost of goods sold for the three months ended March 31, 2026 was $156,545 thousand, up 15% from $136,265 thousand for the three months ended March 31, 2025, driven by continued growth in existing markets, particularly in Florida, Ohio and New York, legalization of adult-use sales in Minnesota as described above, and new and acquired Retail store openings since March 31, 2025. In addition, during the three months ended March 31, 2026, the Company incurred licensing fees of $8,978 thousand in conjunction with its brand licensing agreements.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March 31, 2026 was $143,645 thousand, representing a gross margin on the sale of branded cannabis flower and processed and packaged products including concentrates, edibles, topicals and other cannabis products, of 48%. This is compared to gross profit for the three months ended March 31, 2025 of $143,275 thousand, or a 51% gross margin. The decrease in gross margin was primarily driven by licensing fees incurred in the current period and price compression as discussed above.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Total expenses for the three months ended March 31, 2026 were $102,911 thousand, or 34% of revenues, net of discounts, an increase of $2,118 thousand compared to the same period in the prior year. Total expenses for the three months ended March 31, 2025 were $100,793 thousand or 36% of revenues, net of discounts. The increase in total expenses was primarily attributable to overall salary and benefits of corporate staff and increased costs associated with the opening, acquiring and operation of Retail stores as described above.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Total other income (expense) for the three months ended March 31, 2026 was $22,405 thousand, an increase of $25,171 thousand, primarily due to a one-time arbitration settlement of $17,000 thousand and income associated with the Company's related party equity method investment in RYM during the three months ended March 31,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Provision for Income Taxes and Non-Controlling Interest</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taxes and non-controlling interest for the three months ended March 31, 2026 was $63,139 thousand, an increase of $23,423 thousand compared to the three months ended March 31,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firstLine="509"/>
        <w:spacing w:after="0" w:line="258" w:lineRule="auto"/>
        <w:rPr>
          <w:sz w:val="20"/>
          <w:szCs w:val="20"/>
          <w:color w:val="auto"/>
        </w:rPr>
      </w:pPr>
      <w:r>
        <w:rPr>
          <w:rFonts w:ascii="Times New Roman" w:cs="Times New Roman" w:eastAsia="Times New Roman" w:hAnsi="Times New Roman"/>
          <w:sz w:val="18"/>
          <w:szCs w:val="18"/>
          <w:color w:val="auto"/>
        </w:rPr>
        <w:t>As presented under the heading “Non-GAAP Measures” below, after adjusting for non-cash equity incentive compensation of $10,517 thousand and $10,309 thousand in the three months ended March 31, 2026 and 2025, respectively, and other nonoperating expenses (income), of $870 thousand and $3,045 thousand in three months ended March 31, 2026 and 2025, respectively, Adjusted EBITDA was $84,534 thousand and $85,247 thousand, respectively. In addition, Adjusted EBITDA excluding the licensing fees recorded in conjunction with the Company's licensing agreement with RYM (“Normalized EBITDA”) was $93,512 thousand for the three months ended March 31,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For the three months ended March 31, 2026, federal and state income tax expense totaled $48,092 thousand compared to expense of $31,315 thousand for the three months ended March 31, 2025.</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by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revenues, net of discounts by segment for the three months ended March 31, 2026 and 2025:</w:t>
      </w:r>
    </w:p>
    <w:p>
      <w:pPr>
        <w:spacing w:after="0" w:line="327"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60" w:type="dxa"/>
            <w:vAlign w:val="bottom"/>
            <w:tcBorders>
              <w:bottom w:val="single" w:sz="8" w:color="auto"/>
            </w:tcBorders>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QTD Change</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Retail</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Borders>
              <w:bottom w:val="single" w:sz="8" w:color="auto"/>
            </w:tcBorders>
          </w:tcPr>
          <w:p>
            <w:pPr>
              <w:spacing w:after="0"/>
              <w:rPr>
                <w:sz w:val="17"/>
                <w:szCs w:val="17"/>
                <w:color w:val="auto"/>
              </w:rPr>
            </w:pPr>
          </w:p>
        </w:tc>
        <w:tc>
          <w:tcPr>
            <w:tcW w:w="3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208,060</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198,672</w:t>
            </w:r>
          </w:p>
        </w:tc>
        <w:tc>
          <w:tcPr>
            <w:tcW w:w="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9,388</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Consumer Packaged Goods</w:t>
            </w:r>
          </w:p>
        </w:tc>
        <w:tc>
          <w:tcPr>
            <w:tcW w:w="9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167,539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170,284</w:t>
            </w:r>
          </w:p>
        </w:tc>
        <w:tc>
          <w:tcPr>
            <w:tcW w:w="3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eliminations</w:t>
            </w:r>
          </w:p>
        </w:tc>
        <w:tc>
          <w:tcPr>
            <w:tcW w:w="9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(75,409)</w:t>
            </w:r>
          </w:p>
        </w:tc>
        <w:tc>
          <w:tcPr>
            <w:tcW w:w="24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(89,416)</w:t>
            </w:r>
          </w:p>
        </w:tc>
        <w:tc>
          <w:tcPr>
            <w:tcW w:w="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(14,007)</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2"/>
        </w:trPr>
        <w:tc>
          <w:tcPr>
            <w:tcW w:w="26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 net of discounts</w:t>
            </w:r>
          </w:p>
        </w:tc>
        <w:tc>
          <w:tcPr>
            <w:tcW w:w="900" w:type="dxa"/>
            <w:vAlign w:val="bottom"/>
            <w:tcBorders>
              <w:bottom w:val="single" w:sz="8" w:color="CFF0FC"/>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300,190</w:t>
            </w:r>
          </w:p>
        </w:tc>
        <w:tc>
          <w:tcPr>
            <w:tcW w:w="240" w:type="dxa"/>
            <w:vAlign w:val="bottom"/>
            <w:tcBorders>
              <w:bottom w:val="single" w:sz="8" w:color="CFF0FC"/>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279,540</w:t>
            </w:r>
          </w:p>
        </w:tc>
        <w:tc>
          <w:tcPr>
            <w:tcW w:w="360" w:type="dxa"/>
            <w:vAlign w:val="bottom"/>
            <w:tcBorders>
              <w:bottom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20,650</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-25400</wp:posOffset>
            </wp:positionV>
            <wp:extent cx="146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1460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2228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2228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with the Three Months Ended March 31, 2025</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Retail segment were $208,060 thousand, an increase of $9,388 thousand or 5%, compared to the three months ended March 31, 2025. The increase in Retail revenues, net of discounts, was primarily driven by (i) launch of adult-use sales in Minnesota which began on September 17, 2025, (ii) growth in existing markets, particularly in Connecticut and Florida; and (iii) revenue generated from new Retail stores opened in the current period, offset by price compression and increased competition in select markets.</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Consumer Packaged Goods Segment were $167,539 thousand, a decrease of $2,745 thousand or 2%, compared to the three months ended March 31, 2025. The decrease in Consumer Packaged Goods revenues, net of discounts, was primarily due to price compression and increased competition, partially offset by the launch of adult-use sales in Minnesota, which began on September 17, 2025.</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Intersegment eliminations associated with the Consumer Packaged Goods Segment were $75,409 thousand, a decrease of $14,007 thousand or 16% compared to the three months ended March 31, 2025. The decrease in intersegment eliminations was driven by a reduction in sales to Green Thumb operated Retail stores. The Consumer Packaged Goods revenues, net of intersegment eliminations, made up 31% of total revenues during the three months ended March 31, 2026 as compared to 29% during the three months ended March 31, 2025.</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revenue streams: a Consumer Packaged Goods business in which it manufactures, sells and distributes to third-party customers a portfolio of Consumer Packaged Goods brands, which are licensed from RYM, including Beboe, Dogwalkers, Dr. Solomon’s, Good Green, incredibles, and RYTHM;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8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revenue was contributed from Consumer Packaged Goods and Retail sales across California, Connecticut, Florida, Illinois, Maryland, Massachusetts, Minnesota, Nevada, New Jersey, New York, Ohio, Pennsylvania, Rhode Island and Virginia.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w:t>
      </w:r>
    </w:p>
    <w:p>
      <w:pPr>
        <w:spacing w:after="0" w:line="17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The U.S. Internal Revenue Service has taken the position that companies that operate in the federally illegal cannabis industry, are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EBITDA, Adjusted EBITDA and Normalized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320"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40" w:type="dxa"/>
            <w:vAlign w:val="bottom"/>
            <w:tcBorders>
              <w:bottom w:val="single" w:sz="8" w:color="auto"/>
            </w:tcBorders>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center"/>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before non-controlling interest</w:t>
            </w:r>
          </w:p>
        </w:tc>
        <w:tc>
          <w:tcPr>
            <w:tcW w:w="174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15,047</w:t>
            </w:r>
          </w:p>
        </w:tc>
        <w:tc>
          <w:tcPr>
            <w:tcW w:w="22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(4,603)</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5,165</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48,092</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other (income) expense</w:t>
            </w:r>
          </w:p>
        </w:tc>
        <w:tc>
          <w:tcPr>
            <w:tcW w:w="17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(22,967)</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32,413</w:t>
            </w:r>
          </w:p>
        </w:tc>
        <w:tc>
          <w:tcPr>
            <w:tcW w:w="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29,411</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Earnings before interest, taxes, depreciation and</w:t>
            </w:r>
          </w:p>
        </w:tc>
        <w:tc>
          <w:tcPr>
            <w:tcW w:w="174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73,147</w:t>
            </w:r>
          </w:p>
        </w:tc>
        <w:tc>
          <w:tcPr>
            <w:tcW w:w="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71,893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Borders>
              <w:bottom w:val="single" w:sz="8" w:color="CFF0FC"/>
            </w:tcBorders>
            <w:shd w:val="clear" w:color="auto" w:fill="CFF0FC"/>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amortization (EBITDA) (non-GAAP measure)</w:t>
            </w:r>
          </w:p>
        </w:tc>
        <w:tc>
          <w:tcPr>
            <w:tcW w:w="1740" w:type="dxa"/>
            <w:vAlign w:val="bottom"/>
            <w:tcBorders>
              <w:bottom w:val="single" w:sz="8" w:color="CFF0FC"/>
            </w:tcBorders>
            <w:vMerge w:val="continue"/>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vMerge w:val="continue"/>
            <w:shd w:val="clear" w:color="auto" w:fill="CFF0FC"/>
          </w:tcPr>
          <w:p>
            <w:pPr>
              <w:spacing w:after="0"/>
              <w:rPr>
                <w:sz w:val="15"/>
                <w:szCs w:val="15"/>
                <w:color w:val="auto"/>
              </w:rPr>
            </w:pPr>
          </w:p>
        </w:tc>
        <w:tc>
          <w:tcPr>
            <w:tcW w:w="220" w:type="dxa"/>
            <w:vAlign w:val="bottom"/>
            <w:tcBorders>
              <w:bottom w:val="single" w:sz="8" w:color="CFF0FC"/>
            </w:tcBorders>
            <w:vMerge w:val="continue"/>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 non-cash</w:t>
            </w:r>
          </w:p>
        </w:tc>
        <w:tc>
          <w:tcPr>
            <w:tcW w:w="174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10,517</w:t>
            </w:r>
          </w:p>
        </w:tc>
        <w:tc>
          <w:tcPr>
            <w:tcW w:w="22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10,309</w:t>
            </w: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 transaction and other non-operating costs</w:t>
            </w:r>
          </w:p>
        </w:tc>
        <w:tc>
          <w:tcPr>
            <w:tcW w:w="174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2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3,045</w:t>
            </w:r>
          </w:p>
        </w:tc>
        <w:tc>
          <w:tcPr>
            <w:tcW w:w="10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 (non-GAAP measure)</w:t>
            </w:r>
          </w:p>
        </w:tc>
        <w:tc>
          <w:tcPr>
            <w:tcW w:w="17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84,534</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85,247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License fee recorded in cost of sales</w:t>
            </w: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8,978</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Normalized EBITDA (non-GAAP neasure)</w:t>
            </w:r>
          </w:p>
        </w:tc>
        <w:tc>
          <w:tcPr>
            <w:tcW w:w="174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93,512</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85,247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-659765</wp:posOffset>
            </wp:positionV>
            <wp:extent cx="1289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-642620</wp:posOffset>
            </wp:positionV>
            <wp:extent cx="1289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-445135</wp:posOffset>
            </wp:positionV>
            <wp:extent cx="128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1289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-8255</wp:posOffset>
            </wp:positionV>
            <wp:extent cx="59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During the Period, and Capital Resources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total current liabilities of $194,155 thousand and $177,315 thousand, respectively, and cash and cash equivalents of $344,512 thousand and $274,298 thousand, respectively, to meet its current obligations. The Company had working capital of $479,695 thousand as of March 31, 2026, an increase of $79,839 thousand as compared to December 31, 2025. The increase in working capital was primarily driven by proceeds received from the increase in the Company's syndicated Credit Facility and reclassification of the August 2025 convertible note receivable from RYM, to current assets.</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spacing w:after="0" w:line="189"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Investing and 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2026 and 2025 were as follows:</w:t>
      </w: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5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860" w:type="dxa"/>
            <w:vAlign w:val="bottom"/>
            <w:tcBorders>
              <w:bottom w:val="single" w:sz="8" w:color="auto"/>
            </w:tcBorders>
          </w:tcPr>
          <w:p>
            <w:pPr>
              <w:spacing w:after="0"/>
              <w:rPr>
                <w:sz w:val="17"/>
                <w:szCs w:val="17"/>
                <w:color w:val="auto"/>
              </w:rPr>
            </w:pP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75,799</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74,219</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(20,575)</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(30,568)</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5,706</w:t>
            </w: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net cash flows provided by operating activities for the three months ended March 31, 2026 of $75,799 thousand increased by $1,580 thousand from $74,219 thousand for the three months ended March 31, 2025, primarily due to lower income taxes paid partially offset by changes in working capital during the current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net cash flows used in investing activities for the three months ended March 31, 2026 of $20,575 thousand decreased by $9,993 thousand from $30,568 thousand for the three months ended March 31, 2025. The decrease in cash used in investing activities was primarily attributable to a reduction in the Company's purchases of property and equipment during the current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net cash flows provided by (used in) financing activities for the three months ended March 31, 2026 of $5,706 thousand increased by $10,462 thousand from a use of ($4,756) thousand for the three months ended March 31, 2025, primarily due to proceeds from the issuance of notes payable partially offset by shares repurchased during the current period.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Commitments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notes payable as of March 31, 2026 were as follows: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Maturities of Notes Payable</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560" w:type="dxa"/>
            <w:vAlign w:val="bottom"/>
          </w:tcPr>
          <w:p>
            <w:pPr>
              <w:spacing w:after="0"/>
              <w:rPr>
                <w:sz w:val="15"/>
                <w:szCs w:val="15"/>
                <w:color w:val="auto"/>
              </w:rPr>
            </w:pPr>
          </w:p>
        </w:tc>
        <w:tc>
          <w:tcPr>
            <w:tcW w:w="1820" w:type="dxa"/>
            <w:vAlign w:val="bottom"/>
          </w:tcPr>
          <w:p>
            <w:pPr>
              <w:jc w:val="right"/>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Credit Facility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Mortgage Notes</w:t>
            </w:r>
          </w:p>
        </w:tc>
        <w:tc>
          <w:tcPr>
            <w:tcW w:w="240" w:type="dxa"/>
            <w:vAlign w:val="bottom"/>
          </w:tcPr>
          <w:p>
            <w:pPr>
              <w:spacing w:after="0"/>
              <w:rPr>
                <w:sz w:val="15"/>
                <w:szCs w:val="15"/>
                <w:color w:val="auto"/>
              </w:rPr>
            </w:pPr>
          </w:p>
        </w:tc>
        <w:tc>
          <w:tcPr>
            <w:tcW w:w="1620" w:type="dxa"/>
            <w:vAlign w:val="bottom"/>
          </w:tcPr>
          <w:p>
            <w:pPr>
              <w:jc w:val="right"/>
              <w:ind w:right="55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Remainder of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9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9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133,750</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39,532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156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39,056</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Total maturities of notes payable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188,750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-162560</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-162560</wp:posOffset>
            </wp:positionV>
            <wp:extent cx="2146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96" w:lineRule="exact"/>
        <w:rPr>
          <w:sz w:val="20"/>
          <w:szCs w:val="20"/>
          <w:color w:val="auto"/>
        </w:rPr>
      </w:pPr>
    </w:p>
    <w:p>
      <w:pPr>
        <w:ind w:left="1020" w:right="20" w:firstLine="6"/>
        <w:spacing w:after="0" w:line="215" w:lineRule="auto"/>
        <w:tabs>
          <w:tab w:leader="none" w:pos="111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Total maturities of notes payable excludes unamortized debt discount of $1,989 thousand associated with the Credit Facility and $747 thousand associated with the mortgage notes.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our 2025 Form 10-K.</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35" w:name="page36"/>
    <w:bookmarkEnd w:id="35"/>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our 2025 Form 10-K.</w:t>
      </w:r>
    </w:p>
    <w:p>
      <w:pPr>
        <w:spacing w:after="0" w:line="34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first quarter of 2026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 Systems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The following is an update to the status of previously disclosed matters as of March 31, 2026:</w:t>
      </w:r>
    </w:p>
    <w:p>
      <w:pPr>
        <w:spacing w:after="0" w:line="54" w:lineRule="exact"/>
        <w:rPr>
          <w:sz w:val="20"/>
          <w:szCs w:val="20"/>
          <w:color w:val="auto"/>
        </w:rPr>
      </w:pPr>
    </w:p>
    <w:p>
      <w:pPr>
        <w:ind w:left="1020" w:right="20" w:hanging="503"/>
        <w:spacing w:after="0" w:line="25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in the amount of $912 thousand. On March 27, 2026, the Company and plaintiff entered into a settlement agreement whereby the Company remitted $6,750 thousand to plaintiff in full satisfaction of all claims against the Company. As of March 31, 2026, the matter was fully resolved.</w:t>
      </w:r>
    </w:p>
    <w:p>
      <w:pPr>
        <w:spacing w:after="0" w:line="79"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5, 2026, the Company was notified of an arbitration award in favor of Green Thumb in relation to a 2018 agreement with Ascend Wellness Holdings Inc. (“Ascend”). On February 12, 2026, Ascend remitted $17,000 thousand to the Company in order to settle the matter in accordance with the parties settlement agreement. For the three months ended March 31, 2026, such amount was included within other income (expense) on the unaudited interim condensed consolidated statements of operations.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3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2025 Form 10-K.</w:t>
      </w:r>
    </w:p>
    <w:p>
      <w:pPr>
        <w:spacing w:after="0" w:line="200" w:lineRule="exact"/>
        <w:rPr>
          <w:sz w:val="20"/>
          <w:szCs w:val="20"/>
          <w:color w:val="auto"/>
        </w:rPr>
      </w:pPr>
    </w:p>
    <w:p>
      <w:pPr>
        <w:spacing w:after="0" w:line="237" w:lineRule="exact"/>
        <w:rPr>
          <w:sz w:val="20"/>
          <w:szCs w:val="20"/>
          <w:color w:val="auto"/>
        </w:rPr>
      </w:pPr>
    </w:p>
    <w:p>
      <w:pPr>
        <w:ind w:right="3820"/>
        <w:spacing w:after="0" w:line="41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Multiple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 Voting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Issuer Purchases of Equity Securities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repurchases of our Subordinate Voting Shares during the three months ended March 31, 2026:</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3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2"/>
                <w:szCs w:val="12"/>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40" w:type="dxa"/>
            <w:vAlign w:val="bottom"/>
          </w:tcPr>
          <w:p>
            <w:pPr>
              <w:spacing w:after="0"/>
              <w:rPr>
                <w:sz w:val="12"/>
                <w:szCs w:val="12"/>
                <w:color w:val="auto"/>
              </w:rPr>
            </w:pP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40" w:type="dxa"/>
            <w:vAlign w:val="bottom"/>
            <w:tcBorders>
              <w:bottom w:val="single" w:sz="8" w:color="auto"/>
            </w:tcBorders>
          </w:tcPr>
          <w:p>
            <w:pPr>
              <w:jc w:val="center"/>
              <w:ind w:right="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Announced Program </w:t>
            </w:r>
            <w:r>
              <w:rPr>
                <w:rFonts w:ascii="Times New Roman" w:cs="Times New Roman" w:eastAsia="Times New Roman" w:hAnsi="Times New Roman"/>
                <w:sz w:val="19"/>
                <w:szCs w:val="19"/>
                <w:b w:val="1"/>
                <w:bCs w:val="1"/>
                <w:color w:val="auto"/>
                <w:vertAlign w:val="superscript"/>
              </w:rPr>
              <w:t>(1)</w:t>
            </w: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0D0D0D"/>
              </w:rPr>
              <w:t>January 1, 2026 through January 31, 2026</w:t>
            </w:r>
          </w:p>
        </w:tc>
        <w:tc>
          <w:tcPr>
            <w:tcW w:w="78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20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0D0D0D"/>
              </w:rPr>
              <w:t>—</w:t>
            </w:r>
          </w:p>
        </w:tc>
        <w:tc>
          <w:tcPr>
            <w:tcW w:w="2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0D0D0D"/>
              </w:rPr>
              <w:t>— $</w:t>
            </w:r>
          </w:p>
        </w:tc>
        <w:tc>
          <w:tcPr>
            <w:tcW w:w="1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0D0D0D"/>
              </w:rPr>
              <w:t>39,900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D0D0D"/>
              </w:rPr>
              <w:t>February 1, 2026 through February 28, 2026</w:t>
            </w:r>
          </w:p>
        </w:tc>
        <w:tc>
          <w:tcPr>
            <w:tcW w:w="2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D0D0D"/>
              </w:rPr>
              <w:t>45,000</w:t>
            </w:r>
          </w:p>
        </w:tc>
        <w:tc>
          <w:tcPr>
            <w:tcW w:w="2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6.59</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45,000</w:t>
            </w:r>
          </w:p>
        </w:tc>
        <w:tc>
          <w:tcPr>
            <w:tcW w:w="14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D0D0D"/>
              </w:rPr>
              <w:t>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0D0D0D"/>
              </w:rPr>
              <w:t>March 1, 2026 through March 31, 2026</w:t>
            </w:r>
          </w:p>
        </w:tc>
        <w:tc>
          <w:tcPr>
            <w:tcW w:w="2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6,000,000</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5.50</w:t>
            </w: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6,000,000</w:t>
            </w:r>
          </w:p>
        </w:tc>
        <w:tc>
          <w:tcPr>
            <w:tcW w:w="140" w:type="dxa"/>
            <w:vAlign w:val="bottom"/>
            <w:shd w:val="clear" w:color="auto" w:fill="CFF0FC"/>
          </w:tcPr>
          <w:p>
            <w:pPr>
              <w:spacing w:after="0"/>
              <w:rPr>
                <w:sz w:val="12"/>
                <w:szCs w:val="12"/>
                <w:color w:val="auto"/>
              </w:rPr>
            </w:pP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0D0D0D"/>
              </w:rPr>
              <w:t>6,600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6,045,000</w:t>
            </w:r>
          </w:p>
        </w:tc>
        <w:tc>
          <w:tcPr>
            <w:tcW w:w="2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0D0D0D"/>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5.51</w:t>
            </w:r>
          </w:p>
        </w:tc>
        <w:tc>
          <w:tcPr>
            <w:tcW w:w="2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6,045,000</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w:t>
            </w:r>
          </w:p>
        </w:tc>
        <w:tc>
          <w:tcPr>
            <w:tcW w:w="1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0D0D0D"/>
              </w:rPr>
              <w:t>6,600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8"/>
        <w:spacing w:after="0" w:line="294" w:lineRule="auto"/>
        <w:tabs>
          <w:tab w:leader="none" w:pos="170" w:val="left"/>
        </w:tabs>
        <w:numPr>
          <w:ilvl w:val="0"/>
          <w:numId w:val="4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Effective September 23, 2025, the Company's Board of Directors authorized a new share repurchase program that commenced immediately following the expiration of the Company's previous share repurchase program. The new program authorized the Company to repurchase its Subordinate Voting Shares over a 12-month period at an aggregate cost of up to $50,000 thousand. During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the three months ended March 31, 2026, the Company repurchased 6,045,000 Subordinate Voting Shares at an average price of $5.51 per share, bringing the total remaining repurchase ability to approximately $6,600 thousand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On April 21, 2026, the Company’s Board of Directors authorized an expansion of the share repurchase program such that it may purchase Subordinate Voting Shares at an aggregate cost of up to $150,000 thousand.</w:t>
      </w:r>
    </w:p>
    <w:p>
      <w:pPr>
        <w:spacing w:after="0" w:line="28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6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tc>
      </w:tr>
      <w:tr>
        <w:trPr>
          <w:trHeight w:val="418"/>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99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Amendment to Trademark and Recipe License Agreement, dated March 31, 2026, by and between VCP IP Holdings, LLC and GTI Core,</w:t>
            </w: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LLC*</w:t>
            </w: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38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CERTIFICATE OF CHIEF EXECUTIVE OFFICER</w:t>
            </w:r>
          </w:p>
        </w:tc>
        <w:tc>
          <w:tcPr>
            <w:tcW w:w="40" w:type="dxa"/>
            <w:vAlign w:val="bottom"/>
            <w:tcBorders>
              <w:bottom w:val="single" w:sz="8" w:color="0000EE"/>
            </w:tcBorders>
            <w:gridSpan w:val="2"/>
          </w:tcPr>
          <w:p>
            <w:pPr>
              <w:spacing w:after="0"/>
              <w:rPr>
                <w:sz w:val="24"/>
                <w:szCs w:val="24"/>
                <w:color w:val="auto"/>
              </w:rPr>
            </w:pPr>
          </w:p>
        </w:tc>
        <w:tc>
          <w:tcPr>
            <w:tcW w:w="6100" w:type="dxa"/>
            <w:vAlign w:val="bottom"/>
            <w:gridSpan w:val="2"/>
          </w:tcPr>
          <w:p>
            <w:pPr>
              <w:spacing w:after="0"/>
              <w:rPr>
                <w:sz w:val="24"/>
                <w:szCs w:val="24"/>
                <w:color w:val="auto"/>
              </w:rPr>
            </w:pPr>
          </w:p>
        </w:tc>
      </w:tr>
      <w:tr>
        <w:trPr>
          <w:trHeight w:val="304"/>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38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CERTIFICATE OF CHIEF FINANCIAL OFFICER</w:t>
            </w:r>
          </w:p>
        </w:tc>
        <w:tc>
          <w:tcPr>
            <w:tcW w:w="60" w:type="dxa"/>
            <w:vAlign w:val="bottom"/>
            <w:tcBorders>
              <w:bottom w:val="single" w:sz="8" w:color="0000EE"/>
            </w:tcBorders>
            <w:gridSpan w:val="2"/>
          </w:tcPr>
          <w:p>
            <w:pPr>
              <w:spacing w:after="0"/>
              <w:rPr>
                <w:sz w:val="24"/>
                <w:szCs w:val="24"/>
                <w:color w:val="auto"/>
              </w:rPr>
            </w:pPr>
          </w:p>
        </w:tc>
        <w:tc>
          <w:tcPr>
            <w:tcW w:w="6120" w:type="dxa"/>
            <w:vAlign w:val="bottom"/>
            <w:gridSpan w:val="3"/>
          </w:tcPr>
          <w:p>
            <w:pPr>
              <w:spacing w:after="0"/>
              <w:rPr>
                <w:sz w:val="24"/>
                <w:szCs w:val="24"/>
                <w:color w:val="auto"/>
              </w:rPr>
            </w:pPr>
          </w:p>
        </w:tc>
      </w:tr>
      <w:tr>
        <w:trPr>
          <w:trHeight w:val="304"/>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99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4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Borders>
              <w:right w:val="single" w:sz="8" w:color="0000EE"/>
            </w:tcBorders>
            <w:gridSpan w:val="2"/>
            <w:shd w:val="clear" w:color="auto" w:fill="0000FF"/>
          </w:tcPr>
          <w:p>
            <w:pPr>
              <w:spacing w:after="0" w:line="20" w:lineRule="exact"/>
              <w:rPr>
                <w:sz w:val="1"/>
                <w:szCs w:val="1"/>
                <w:color w:val="auto"/>
              </w:rPr>
            </w:pPr>
          </w:p>
        </w:tc>
        <w:tc>
          <w:tcPr>
            <w:tcW w:w="8240" w:type="dxa"/>
            <w:vAlign w:val="bottom"/>
            <w:gridSpan w:val="6"/>
          </w:tcPr>
          <w:p>
            <w:pPr>
              <w:spacing w:after="0" w:line="20" w:lineRule="exact"/>
              <w:rPr>
                <w:sz w:val="1"/>
                <w:szCs w:val="1"/>
                <w:color w:val="auto"/>
              </w:rPr>
            </w:pPr>
          </w:p>
        </w:tc>
      </w:tr>
      <w:tr>
        <w:trPr>
          <w:trHeight w:val="304"/>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380" w:type="dxa"/>
            <w:vAlign w:val="bottom"/>
          </w:tcPr>
          <w:p>
            <w:pPr>
              <w:spacing w:after="0"/>
              <w:rPr>
                <w:sz w:val="24"/>
                <w:szCs w:val="24"/>
                <w:color w:val="auto"/>
              </w:rPr>
            </w:pPr>
          </w:p>
        </w:tc>
        <w:tc>
          <w:tcPr>
            <w:tcW w:w="99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p>
        </w:tc>
        <w:tc>
          <w:tcPr>
            <w:tcW w:w="4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Borders>
              <w:right w:val="single" w:sz="8" w:color="0000EE"/>
            </w:tcBorders>
            <w:gridSpan w:val="2"/>
            <w:shd w:val="clear" w:color="auto" w:fill="0000FF"/>
          </w:tcPr>
          <w:p>
            <w:pPr>
              <w:spacing w:after="0" w:line="20" w:lineRule="exact"/>
              <w:rPr>
                <w:sz w:val="1"/>
                <w:szCs w:val="1"/>
                <w:color w:val="auto"/>
              </w:rPr>
            </w:pPr>
          </w:p>
        </w:tc>
        <w:tc>
          <w:tcPr>
            <w:tcW w:w="8240" w:type="dxa"/>
            <w:vAlign w:val="bottom"/>
            <w:gridSpan w:val="6"/>
          </w:tcPr>
          <w:p>
            <w:pPr>
              <w:spacing w:after="0" w:line="20" w:lineRule="exact"/>
              <w:rPr>
                <w:sz w:val="1"/>
                <w:szCs w:val="1"/>
                <w:color w:val="auto"/>
              </w:rPr>
            </w:pP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File)</w:t>
            </w:r>
          </w:p>
        </w:tc>
      </w:tr>
    </w:tbl>
    <w:p>
      <w:pPr>
        <w:spacing w:after="0" w:line="189" w:lineRule="exact"/>
        <w:rPr>
          <w:sz w:val="20"/>
          <w:szCs w:val="20"/>
          <w:color w:val="auto"/>
        </w:rPr>
      </w:pPr>
    </w:p>
    <w:p>
      <w:pPr>
        <w:ind w:left="120" w:hanging="112"/>
        <w:spacing w:after="0"/>
        <w:tabs>
          <w:tab w:leader="none" w:pos="1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our Current Report on Form 8-K dated March 31, 2025, filed on April 1, 2025.</w:t>
      </w:r>
    </w:p>
    <w:p>
      <w:pPr>
        <w:spacing w:after="0" w:line="25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9" w:name="page40"/>
    <w:bookmarkEnd w:id="3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460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117" w:lineRule="exact"/>
        <w:rPr>
          <w:sz w:val="20"/>
          <w:szCs w:val="20"/>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40" w:hanging="504"/>
        <w:spacing w:after="0" w:line="312" w:lineRule="auto"/>
        <w:tabs>
          <w:tab w:leader="none" w:pos="11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20" w:hanging="504"/>
        <w:spacing w:after="0" w:line="276" w:lineRule="auto"/>
        <w:tabs>
          <w:tab w:leader="none" w:pos="11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Mathew Faulkner, certify that:</w:t>
      </w:r>
    </w:p>
    <w:p>
      <w:pPr>
        <w:spacing w:after="0" w:line="117"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Green Thumb Industries Inc.;</w:t>
      </w:r>
    </w:p>
    <w:p>
      <w:pPr>
        <w:spacing w:after="0" w:line="117" w:lineRule="exact"/>
        <w:rPr>
          <w:rFonts w:ascii="Times New Roman" w:cs="Times New Roman" w:eastAsia="Times New Roman" w:hAnsi="Times New Roman"/>
          <w:sz w:val="18"/>
          <w:szCs w:val="18"/>
          <w:color w:val="auto"/>
        </w:rPr>
      </w:pPr>
    </w:p>
    <w:p>
      <w:pPr>
        <w:ind w:left="1140" w:right="60" w:hanging="504"/>
        <w:spacing w:after="0" w:line="266"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40" w:hanging="504"/>
        <w:spacing w:after="0" w:line="312" w:lineRule="auto"/>
        <w:tabs>
          <w:tab w:leader="none" w:pos="11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140" w:right="220" w:hanging="504"/>
        <w:spacing w:after="0" w:line="276" w:lineRule="auto"/>
        <w:tabs>
          <w:tab w:leader="none" w:pos="11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300" w:right="120" w:hanging="511"/>
        <w:spacing w:after="0" w:line="289" w:lineRule="auto"/>
        <w:tabs>
          <w:tab w:leader="none" w:pos="23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2300" w:right="380" w:hanging="511"/>
        <w:spacing w:after="0" w:line="289" w:lineRule="auto"/>
        <w:tabs>
          <w:tab w:leader="none" w:pos="23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300" w:right="240" w:hanging="511"/>
        <w:spacing w:after="0" w:line="266" w:lineRule="auto"/>
        <w:tabs>
          <w:tab w:leader="none" w:pos="2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300" w:right="40" w:hanging="511"/>
        <w:spacing w:after="0" w:line="289" w:lineRule="auto"/>
        <w:tabs>
          <w:tab w:leader="none" w:pos="23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1140" w:right="240" w:hanging="504"/>
        <w:spacing w:after="0" w:line="266"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300" w:right="220" w:hanging="511"/>
        <w:spacing w:after="0" w:line="266" w:lineRule="auto"/>
        <w:tabs>
          <w:tab w:leader="none" w:pos="2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300" w:right="600" w:hanging="511"/>
        <w:spacing w:after="0" w:line="282" w:lineRule="auto"/>
        <w:tabs>
          <w:tab w:leader="none" w:pos="2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2026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/s/Benjamin Kovler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Green Thumb Industries Inc. (the “Company”) on Form 10-Q for the three months ended March 31, 2026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/s/Mathew Faulkner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lvl w:ilvl="1">
      <w:lvlJc w:val="left"/>
      <w:lvlText w:val="(%2)"/>
      <w:numFmt w:val="lowerLetter"/>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3"/>
    </w:lvl>
  </w:abstractNum>
  <w:abstractNum w:abstractNumId="5">
    <w:nsid w:val="71F32454"/>
    <w:multiLevelType w:val="hybridMultilevel"/>
    <w:lvl w:ilvl="0">
      <w:lvlJc w:val="left"/>
      <w:lvlText w:val="(%1)"/>
      <w:numFmt w:val="lowerLetter"/>
      <w:start w:val="4"/>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lowerLetter"/>
      <w:start w:val="5"/>
    </w:lvl>
    <w:lvl w:ilvl="1">
      <w:lvlJc w:val="left"/>
      <w:lvlText w:val="(%2)"/>
      <w:numFmt w:val="lowerRoman"/>
      <w:start w:val="1"/>
    </w:lvl>
  </w:abstractNum>
  <w:abstractNum w:abstractNumId="8">
    <w:nsid w:val="2901D82"/>
    <w:multiLevelType w:val="hybridMultilevel"/>
    <w:lvl w:ilvl="0">
      <w:lvlJc w:val="left"/>
      <w:lvlText w:val="%1."/>
      <w:numFmt w:val="decimal"/>
      <w:start w:val="2"/>
    </w:lvl>
  </w:abstractNum>
  <w:abstractNum w:abstractNumId="9">
    <w:nsid w:val="3A95F874"/>
    <w:multiLevelType w:val="hybridMultilevel"/>
    <w:lvl w:ilvl="0">
      <w:lvlJc w:val="left"/>
      <w:lvlText w:val="%1."/>
      <w:numFmt w:val="decimal"/>
      <w:start w:val="3"/>
    </w:lvl>
  </w:abstractNum>
  <w:abstractNum w:abstractNumId="10">
    <w:nsid w:val="8138641"/>
    <w:multiLevelType w:val="hybridMultilevel"/>
    <w:lvl w:ilvl="0">
      <w:lvlJc w:val="left"/>
      <w:lvlText w:val="%1."/>
      <w:numFmt w:val="decimal"/>
      <w:start w:val="4"/>
    </w:lvl>
    <w:lvl w:ilvl="1">
      <w:lvlJc w:val="left"/>
      <w:lvlText w:val="(%2)"/>
      <w:numFmt w:val="lowerLetter"/>
      <w:start w:val="1"/>
    </w:lvl>
  </w:abstractNum>
  <w:abstractNum w:abstractNumId="11">
    <w:nsid w:val="1E7FF521"/>
    <w:multiLevelType w:val="hybridMultilevel"/>
    <w:lvl w:ilvl="0">
      <w:lvlJc w:val="left"/>
      <w:lvlText w:val="%1."/>
      <w:numFmt w:val="decimal"/>
      <w:start w:val="5"/>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5"/>
    </w:lvl>
  </w:abstractNum>
  <w:abstractNum w:abstractNumId="14">
    <w:nsid w:val="6CEAF087"/>
    <w:multiLevelType w:val="hybridMultilevel"/>
    <w:lvl w:ilvl="0">
      <w:lvlJc w:val="left"/>
      <w:lvlText w:val="%1."/>
      <w:numFmt w:val="decimal"/>
      <w:start w:val="6"/>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decimal"/>
      <w:start w:val="7"/>
    </w:lvl>
  </w:abstractNum>
  <w:abstractNum w:abstractNumId="18">
    <w:nsid w:val="614FD4A1"/>
    <w:multiLevelType w:val="hybridMultilevel"/>
    <w:lvl w:ilvl="0">
      <w:lvlJc w:val="left"/>
      <w:lvlText w:val="1"/>
      <w:numFmt w:val="bullet"/>
      <w:start w:val="1"/>
    </w:lvl>
  </w:abstractNum>
  <w:abstractNum w:abstractNumId="19">
    <w:nsid w:val="419AC241"/>
    <w:multiLevelType w:val="hybridMultilevel"/>
    <w:lvl w:ilvl="0">
      <w:lvlJc w:val="left"/>
      <w:lvlText w:val="(%1)"/>
      <w:numFmt w:val="lowerLetter"/>
    </w:lvl>
    <w:lvl w:ilvl="1">
      <w:lvlJc w:val="left"/>
      <w:lvlText w:val="2"/>
      <w:numFmt w:val="bullet"/>
      <w:start w:val="1"/>
    </w:lvl>
  </w:abstractNum>
  <w:abstractNum w:abstractNumId="20">
    <w:nsid w:val="5577F8E1"/>
    <w:multiLevelType w:val="hybridMultilevel"/>
    <w:lvl w:ilvl="0">
      <w:lvlJc w:val="left"/>
      <w:lvlText w:val="%1."/>
      <w:numFmt w:val="decimal"/>
      <w:start w:val="8"/>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Roman"/>
      <w:start w:val="1"/>
    </w:lvl>
  </w:abstractNum>
  <w:abstractNum w:abstractNumId="23">
    <w:nsid w:val="3804823E"/>
    <w:multiLevelType w:val="hybridMultilevel"/>
    <w:lvl w:ilvl="0">
      <w:lvlJc w:val="left"/>
      <w:lvlText w:val="(%1)"/>
      <w:numFmt w:val="lowerRoman"/>
      <w:start w:val="1"/>
    </w:lvl>
  </w:abstractNum>
  <w:abstractNum w:abstractNumId="24">
    <w:nsid w:val="77465F01"/>
    <w:multiLevelType w:val="hybridMultilevel"/>
    <w:lvl w:ilvl="0">
      <w:lvlJc w:val="left"/>
      <w:lvlText w:val="%1."/>
      <w:numFmt w:val="decimal"/>
      <w:start w:val="8"/>
    </w:lvl>
    <w:lvl w:ilvl="1">
      <w:lvlJc w:val="left"/>
      <w:lvlText w:val="(%2)"/>
      <w:numFmt w:val="lowerLetter"/>
      <w:start w:val="3"/>
    </w:lvl>
  </w:abstractNum>
  <w:abstractNum w:abstractNumId="25">
    <w:nsid w:val="7724C67E"/>
    <w:multiLevelType w:val="hybridMultilevel"/>
    <w:lvl w:ilvl="0">
      <w:lvlJc w:val="left"/>
      <w:lvlText w:val="%1"/>
      <w:numFmt w:val="lowerLetter"/>
      <w:start w:val="1"/>
    </w:lvl>
    <w:lvl w:ilvl="1">
      <w:lvlJc w:val="left"/>
      <w:lvlText w:val="%2."/>
      <w:numFmt w:val="decimal"/>
      <w:start w:val="8"/>
    </w:lvl>
  </w:abstractNum>
  <w:abstractNum w:abstractNumId="26">
    <w:nsid w:val="5C482A97"/>
    <w:multiLevelType w:val="hybridMultilevel"/>
    <w:lvl w:ilvl="0">
      <w:lvlJc w:val="left"/>
      <w:lvlText w:val="(%1)"/>
      <w:numFmt w:val="lowerLetter"/>
      <w:start w:val="3"/>
    </w:lvl>
    <w:lvl w:ilvl="1">
      <w:lvlJc w:val="left"/>
      <w:lvlText w:val="%2"/>
      <w:numFmt w:val="decimal"/>
      <w:start w:val="1"/>
    </w:lvl>
  </w:abstractNum>
  <w:abstractNum w:abstractNumId="27">
    <w:nsid w:val="2463B9EA"/>
    <w:multiLevelType w:val="hybridMultilevel"/>
    <w:lvl w:ilvl="0">
      <w:lvlJc w:val="left"/>
      <w:lvlText w:val="%1."/>
      <w:numFmt w:val="decimal"/>
      <w:start w:val="9"/>
    </w:lvl>
  </w:abstractNum>
  <w:abstractNum w:abstractNumId="28">
    <w:nsid w:val="5E884ADC"/>
    <w:multiLevelType w:val="hybridMultilevel"/>
    <w:lvl w:ilvl="0">
      <w:lvlJc w:val="left"/>
      <w:lvlText w:val="%1."/>
      <w:numFmt w:val="decimal"/>
      <w:start w:val="10"/>
    </w:lvl>
  </w:abstractNum>
  <w:abstractNum w:abstractNumId="29">
    <w:nsid w:val="51EAD36B"/>
    <w:multiLevelType w:val="hybridMultilevel"/>
    <w:lvl w:ilvl="0">
      <w:lvlJc w:val="left"/>
      <w:lvlText w:val="%1."/>
      <w:numFmt w:val="decimal"/>
      <w:start w:val="1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decimal"/>
      <w:start w:val="12"/>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13"/>
    </w:lvl>
  </w:abstractNum>
  <w:abstractNum w:abstractNumId="35">
    <w:nsid w:val="6A2342EC"/>
    <w:multiLevelType w:val="hybridMultilevel"/>
    <w:lvl w:ilvl="0">
      <w:lvlJc w:val="left"/>
      <w:lvlText w:val="%1."/>
      <w:numFmt w:val="decimal"/>
      <w:start w:val="14"/>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1."/>
      <w:numFmt w:val="decimal"/>
      <w:start w:val="14"/>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decimal"/>
      <w:start w:val="1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bullet"/>
      <w:start w:val="1"/>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2026-05-06T15:35:17Z</dcterms:created>
  <dcterms:modified xsi:type="dcterms:W3CDTF">2026-05-06T15:35:17Z</dcterms:modified>
</cp:coreProperties>
</file>