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21"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1453515</wp:posOffset>
            </wp:positionH>
            <wp:positionV relativeFrom="paragraph">
              <wp:posOffset>94615</wp:posOffset>
            </wp:positionV>
            <wp:extent cx="423481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481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77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3"/>
              </w:rPr>
              <w:t>British Columbia</w:t>
            </w:r>
          </w:p>
        </w:tc>
        <w:tc>
          <w:tcPr>
            <w:tcW w:w="15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98-1437430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740" w:type="dxa"/>
            <w:vAlign w:val="bottom"/>
            <w:gridSpan w:val="3"/>
          </w:tcPr>
          <w:p>
            <w:pPr>
              <w:jc w:val="center"/>
              <w:ind w:right="2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6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74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4"/>
              </w:rPr>
              <w:t>incorporation or organization)</w:t>
            </w:r>
          </w:p>
        </w:tc>
        <w:tc>
          <w:tcPr>
            <w:tcW w:w="15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2"/>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77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0"/>
              </w:rPr>
              <w:t>325 West Huron Street, Suite 700</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40" w:type="dxa"/>
            <w:vAlign w:val="bottom"/>
            <w:gridSpan w:val="3"/>
          </w:tcPr>
          <w:p>
            <w:pPr>
              <w:jc w:val="center"/>
              <w:ind w:right="2180"/>
              <w:spacing w:after="0"/>
              <w:rPr>
                <w:sz w:val="20"/>
                <w:szCs w:val="20"/>
                <w:color w:val="auto"/>
              </w:rPr>
            </w:pPr>
            <w:r>
              <w:rPr>
                <w:rFonts w:ascii="Arial" w:cs="Arial" w:eastAsia="Arial" w:hAnsi="Arial"/>
                <w:sz w:val="18"/>
                <w:szCs w:val="18"/>
                <w:b w:val="1"/>
                <w:bCs w:val="1"/>
                <w:color w:val="auto"/>
                <w:w w:val="89"/>
              </w:rPr>
              <w:t>Chicago, Illinois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60654</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74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1"/>
              </w:rPr>
              <w:t>(zip code)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600" w:type="dxa"/>
            <w:vAlign w:val="bottom"/>
            <w:gridSpan w:val="4"/>
          </w:tcPr>
          <w:p>
            <w:pPr>
              <w:jc w:val="center"/>
              <w:ind w:left="2335"/>
              <w:spacing w:after="0"/>
              <w:rPr>
                <w:sz w:val="20"/>
                <w:szCs w:val="20"/>
                <w:color w:val="auto"/>
              </w:rPr>
            </w:pPr>
            <w:r>
              <w:rPr>
                <w:rFonts w:ascii="Arial" w:cs="Arial" w:eastAsia="Arial" w:hAnsi="Arial"/>
                <w:sz w:val="18"/>
                <w:szCs w:val="18"/>
                <w:b w:val="1"/>
                <w:bCs w:val="1"/>
                <w:color w:val="auto"/>
                <w:w w:val="89"/>
              </w:rPr>
              <w:t>Registrant’s telephone number, including area code - (312) 471-6720</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3"/>
          </w:tcPr>
          <w:p>
            <w:pPr>
              <w:jc w:val="center"/>
              <w:ind w:left="3175"/>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40" w:type="dxa"/>
            <w:vAlign w:val="bottom"/>
          </w:tcPr>
          <w:p>
            <w:pPr>
              <w:spacing w:after="0"/>
              <w:rPr>
                <w:sz w:val="24"/>
                <w:szCs w:val="24"/>
                <w:color w:val="auto"/>
              </w:rPr>
            </w:pPr>
          </w:p>
        </w:tc>
        <w:tc>
          <w:tcPr>
            <w:tcW w:w="3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9"/>
              </w:rPr>
              <w:t>Subordinate Voting Shares</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0"/>
              </w:rPr>
              <w:t>Multiple Voting Shares</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3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Super Voting Shares</w:t>
            </w: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340" w:type="dxa"/>
            <w:vAlign w:val="bottom"/>
          </w:tcPr>
          <w:p>
            <w:pPr>
              <w:spacing w:after="0"/>
              <w:rPr>
                <w:sz w:val="23"/>
                <w:szCs w:val="23"/>
                <w:color w:val="auto"/>
              </w:rPr>
            </w:pPr>
          </w:p>
        </w:tc>
        <w:tc>
          <w:tcPr>
            <w:tcW w:w="34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(Title of class)</w:t>
            </w: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940" w:type="dxa"/>
            <w:vAlign w:val="bottom"/>
            <w:gridSpan w:val="2"/>
          </w:tcPr>
          <w:p>
            <w:pPr>
              <w:spacing w:after="0"/>
              <w:rPr>
                <w:sz w:val="18"/>
                <w:szCs w:val="18"/>
                <w:color w:val="auto"/>
              </w:rPr>
            </w:pPr>
          </w:p>
        </w:tc>
        <w:tc>
          <w:tcPr>
            <w:tcW w:w="7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8"/>
        </w:trPr>
        <w:tc>
          <w:tcPr>
            <w:tcW w:w="860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20"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4" w:lineRule="exact"/>
        <w:rPr>
          <w:sz w:val="24"/>
          <w:szCs w:val="24"/>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left="120"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3" w:lineRule="exact"/>
        <w:rPr>
          <w:sz w:val="24"/>
          <w:szCs w:val="24"/>
          <w:color w:val="auto"/>
        </w:rPr>
      </w:pPr>
    </w:p>
    <w:p>
      <w:pPr>
        <w:ind w:left="120"/>
        <w:spacing w:after="0" w:line="207" w:lineRule="exact"/>
        <w:tabs>
          <w:tab w:leader="none" w:pos="7680" w:val="left"/>
          <w:tab w:leader="none" w:pos="83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120" w:right="60"/>
        <w:spacing w:after="0" w:line="308" w:lineRule="auto"/>
        <w:rPr>
          <w:sz w:val="20"/>
          <w:szCs w:val="20"/>
          <w:color w:val="auto"/>
        </w:rPr>
      </w:pPr>
      <w:r>
        <w:rPr>
          <w:rFonts w:ascii="Arial" w:cs="Arial" w:eastAsia="Arial" w:hAnsi="Arial"/>
          <w:sz w:val="17"/>
          <w:szCs w:val="17"/>
          <w:color w:val="auto"/>
        </w:rPr>
        <w:t>As of March 1, 2021, there were 184,533,692 shares of the registrant’s Subordinate Voting Shares, 40,259,000 shares of the registrant’s Multiple Voting Shares (on an as converted basis) and 30,103,100 shares of the registrant’s Super Voting Shares (on an as converted basis).</w:t>
      </w:r>
    </w:p>
    <w:p>
      <w:pPr>
        <w:sectPr>
          <w:pgSz w:w="11900" w:h="16838" w:orient="portrait"/>
          <w:cols w:equalWidth="0" w:num="1">
            <w:col w:w="11100"/>
          </w:cols>
          <w:pgMar w:left="320" w:top="230" w:right="479" w:bottom="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The aggregate market value of the Subordinate Voting Shares, and Multiple Voting Shares and Super Voting Shares (on an as converted basis, based on the closing price of these shares on the Canadian Stock Exchange) on June 30, 2020, the last business day of the registrant’s most recently completed second fiscal quarter, held by nonaffiliates was $1,749,774,660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0"/>
          </w:cols>
          <w:pgMar w:left="440" w:top="125"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20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w:t>
            </w:r>
          </w:p>
        </w:tc>
        <w:tc>
          <w:tcPr>
            <w:tcW w:w="8480" w:type="dxa"/>
            <w:vAlign w:val="bottom"/>
            <w:gridSpan w:val="9"/>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1A.</w:t>
            </w:r>
          </w:p>
        </w:tc>
        <w:tc>
          <w:tcPr>
            <w:tcW w:w="8480" w:type="dxa"/>
            <w:vAlign w:val="bottom"/>
            <w:gridSpan w:val="9"/>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1B.</w:t>
            </w:r>
          </w:p>
        </w:tc>
        <w:tc>
          <w:tcPr>
            <w:tcW w:w="8480" w:type="dxa"/>
            <w:vAlign w:val="bottom"/>
            <w:gridSpan w:val="9"/>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UNRESOLVED STAFF COMMENTS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2.</w:t>
            </w:r>
          </w:p>
        </w:tc>
        <w:tc>
          <w:tcPr>
            <w:tcW w:w="8480" w:type="dxa"/>
            <w:vAlign w:val="bottom"/>
            <w:gridSpan w:val="9"/>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3.</w:t>
            </w:r>
          </w:p>
        </w:tc>
        <w:tc>
          <w:tcPr>
            <w:tcW w:w="8480" w:type="dxa"/>
            <w:vAlign w:val="bottom"/>
            <w:gridSpan w:val="9"/>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4.</w:t>
            </w:r>
          </w:p>
        </w:tc>
        <w:tc>
          <w:tcPr>
            <w:tcW w:w="8480" w:type="dxa"/>
            <w:vAlign w:val="bottom"/>
            <w:gridSpan w:val="9"/>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PART II</w:t>
              </w:r>
            </w:hyperlink>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980"/>
              <w:spacing w:after="0" w:line="190"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7"/>
          </w:tcPr>
          <w:p>
            <w:pPr>
              <w:spacing w:after="0" w:line="190"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MARKET PRICE OF AND DIVIDENDS ON THE REGISTRANTS COMMON EQUITY AND RELATED</w:t>
              </w:r>
            </w:hyperlink>
          </w:p>
        </w:tc>
        <w:tc>
          <w:tcPr>
            <w:tcW w:w="60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STOCKHOLDER MATTERS</w:t>
              </w:r>
            </w:hyperlink>
          </w:p>
        </w:tc>
        <w:tc>
          <w:tcPr>
            <w:tcW w:w="62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80" w:type="dxa"/>
            <w:vAlign w:val="bottom"/>
          </w:tcPr>
          <w:p>
            <w:pPr>
              <w:ind w:left="980"/>
              <w:spacing w:after="0"/>
              <w:rPr>
                <w:sz w:val="20"/>
                <w:szCs w:val="20"/>
                <w:color w:val="auto"/>
              </w:rPr>
            </w:pPr>
            <w:r>
              <w:rPr>
                <w:rFonts w:ascii="Arial" w:cs="Arial" w:eastAsia="Arial" w:hAnsi="Arial"/>
                <w:sz w:val="18"/>
                <w:szCs w:val="18"/>
                <w:color w:val="auto"/>
              </w:rPr>
              <w:t>ITEM 6.</w:t>
            </w:r>
          </w:p>
        </w:tc>
        <w:tc>
          <w:tcPr>
            <w:tcW w:w="8480" w:type="dxa"/>
            <w:vAlign w:val="bottom"/>
            <w:gridSpan w:val="9"/>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0"/>
        </w:trPr>
        <w:tc>
          <w:tcPr>
            <w:tcW w:w="2080" w:type="dxa"/>
            <w:vAlign w:val="bottom"/>
          </w:tcPr>
          <w:p>
            <w:pPr>
              <w:ind w:left="980"/>
              <w:spacing w:after="0" w:line="190" w:lineRule="exact"/>
              <w:rPr>
                <w:sz w:val="20"/>
                <w:szCs w:val="20"/>
                <w:color w:val="auto"/>
              </w:rPr>
            </w:pPr>
            <w:r>
              <w:rPr>
                <w:rFonts w:ascii="Arial" w:cs="Arial" w:eastAsia="Arial" w:hAnsi="Arial"/>
                <w:sz w:val="18"/>
                <w:szCs w:val="18"/>
                <w:color w:val="auto"/>
              </w:rPr>
              <w:t>ITEM 7.</w:t>
            </w:r>
          </w:p>
        </w:tc>
        <w:tc>
          <w:tcPr>
            <w:tcW w:w="8480" w:type="dxa"/>
            <w:vAlign w:val="bottom"/>
            <w:gridSpan w:val="9"/>
          </w:tcPr>
          <w:p>
            <w:pPr>
              <w:spacing w:after="0" w:line="190" w:lineRule="exact"/>
              <w:rPr>
                <w:rFonts w:ascii="Arial" w:cs="Arial" w:eastAsia="Arial" w:hAnsi="Arial"/>
                <w:sz w:val="18"/>
                <w:szCs w:val="18"/>
                <w:color w:val="0000EE"/>
              </w:rPr>
            </w:pPr>
            <w:hyperlink w:anchor="page67">
              <w:r>
                <w:rPr>
                  <w:rFonts w:ascii="Arial" w:cs="Arial" w:eastAsia="Arial" w:hAnsi="Arial"/>
                  <w:sz w:val="18"/>
                  <w:szCs w:val="18"/>
                  <w:color w:val="0000EE"/>
                </w:rPr>
                <w:t>MANAGEMENT DISCUSSION AND ANALYSIS OF FINANCIAL CONDITION AND RESULTS OF</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OPERATION</w:t>
              </w:r>
            </w:hyperlink>
          </w:p>
        </w:tc>
        <w:tc>
          <w:tcPr>
            <w:tcW w:w="6600" w:type="dxa"/>
            <w:vAlign w:val="bottom"/>
            <w:tcBorders>
              <w:top w:val="single" w:sz="8" w:color="0000EE"/>
            </w:tcBorders>
            <w:gridSpan w:val="4"/>
          </w:tcPr>
          <w:p>
            <w:pPr>
              <w:spacing w:after="0"/>
              <w:rPr>
                <w:sz w:val="17"/>
                <w:szCs w:val="17"/>
                <w:color w:val="auto"/>
              </w:rPr>
            </w:pPr>
          </w:p>
        </w:tc>
        <w:tc>
          <w:tcPr>
            <w:tcW w:w="8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80" w:type="dxa"/>
            <w:vAlign w:val="bottom"/>
          </w:tcPr>
          <w:p>
            <w:pPr>
              <w:ind w:left="980"/>
              <w:spacing w:after="0"/>
              <w:rPr>
                <w:sz w:val="20"/>
                <w:szCs w:val="20"/>
                <w:color w:val="auto"/>
              </w:rPr>
            </w:pPr>
            <w:r>
              <w:rPr>
                <w:rFonts w:ascii="Arial" w:cs="Arial" w:eastAsia="Arial" w:hAnsi="Arial"/>
                <w:sz w:val="18"/>
                <w:szCs w:val="18"/>
                <w:color w:val="auto"/>
              </w:rPr>
              <w:t>ITEM 7A.</w:t>
            </w:r>
          </w:p>
        </w:tc>
        <w:tc>
          <w:tcPr>
            <w:tcW w:w="8480" w:type="dxa"/>
            <w:vAlign w:val="bottom"/>
            <w:gridSpan w:val="9"/>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8.</w:t>
            </w:r>
          </w:p>
        </w:tc>
        <w:tc>
          <w:tcPr>
            <w:tcW w:w="8480" w:type="dxa"/>
            <w:vAlign w:val="bottom"/>
            <w:gridSpan w:val="9"/>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0"/>
        </w:trPr>
        <w:tc>
          <w:tcPr>
            <w:tcW w:w="2080" w:type="dxa"/>
            <w:vAlign w:val="bottom"/>
          </w:tcPr>
          <w:p>
            <w:pPr>
              <w:ind w:left="980"/>
              <w:spacing w:after="0" w:line="190" w:lineRule="exact"/>
              <w:rPr>
                <w:sz w:val="20"/>
                <w:szCs w:val="20"/>
                <w:color w:val="auto"/>
              </w:rPr>
            </w:pPr>
            <w:r>
              <w:rPr>
                <w:rFonts w:ascii="Arial" w:cs="Arial" w:eastAsia="Arial" w:hAnsi="Arial"/>
                <w:sz w:val="18"/>
                <w:szCs w:val="18"/>
                <w:color w:val="auto"/>
              </w:rPr>
              <w:t>ITEM 9.</w:t>
            </w:r>
          </w:p>
        </w:tc>
        <w:tc>
          <w:tcPr>
            <w:tcW w:w="7700" w:type="dxa"/>
            <w:vAlign w:val="bottom"/>
            <w:tcBorders>
              <w:bottom w:val="single" w:sz="8" w:color="0000EE"/>
            </w:tcBorders>
            <w:gridSpan w:val="6"/>
          </w:tcPr>
          <w:p>
            <w:pPr>
              <w:spacing w:after="0" w:line="190"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CHANGES AND DISAGREEMENTS WITH ACCOUNTANTS ON ACCOUNTING AND FINANCIAL</w:t>
              </w:r>
            </w:hyperlink>
          </w:p>
        </w:tc>
        <w:tc>
          <w:tcPr>
            <w:tcW w:w="78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8480" w:type="dxa"/>
            <w:vAlign w:val="bottom"/>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tcPr>
          <w:p>
            <w:pPr>
              <w:ind w:left="980"/>
              <w:spacing w:after="0"/>
              <w:rPr>
                <w:sz w:val="20"/>
                <w:szCs w:val="20"/>
                <w:color w:val="auto"/>
              </w:rPr>
            </w:pPr>
            <w:r>
              <w:rPr>
                <w:rFonts w:ascii="Arial" w:cs="Arial" w:eastAsia="Arial" w:hAnsi="Arial"/>
                <w:sz w:val="18"/>
                <w:szCs w:val="18"/>
                <w:color w:val="auto"/>
              </w:rPr>
              <w:t>ITEM 9A.</w:t>
            </w:r>
          </w:p>
        </w:tc>
        <w:tc>
          <w:tcPr>
            <w:tcW w:w="8480" w:type="dxa"/>
            <w:vAlign w:val="bottom"/>
            <w:gridSpan w:val="9"/>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9B.</w:t>
            </w:r>
          </w:p>
        </w:tc>
        <w:tc>
          <w:tcPr>
            <w:tcW w:w="8480" w:type="dxa"/>
            <w:vAlign w:val="bottom"/>
            <w:gridSpan w:val="9"/>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PART III</w:t>
              </w:r>
            </w:hyperlink>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10.</w:t>
            </w:r>
          </w:p>
        </w:tc>
        <w:tc>
          <w:tcPr>
            <w:tcW w:w="8480" w:type="dxa"/>
            <w:vAlign w:val="bottom"/>
            <w:gridSpan w:val="9"/>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EXECUTIVE OFFICERS OF GREEN THUMB INDUSTRIES, INC.</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11.</w:t>
            </w:r>
          </w:p>
        </w:tc>
        <w:tc>
          <w:tcPr>
            <w:tcW w:w="8480" w:type="dxa"/>
            <w:vAlign w:val="bottom"/>
            <w:gridSpan w:val="9"/>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0"/>
        </w:trPr>
        <w:tc>
          <w:tcPr>
            <w:tcW w:w="2080" w:type="dxa"/>
            <w:vAlign w:val="bottom"/>
          </w:tcPr>
          <w:p>
            <w:pPr>
              <w:ind w:left="980"/>
              <w:spacing w:after="0" w:line="190" w:lineRule="exact"/>
              <w:rPr>
                <w:sz w:val="20"/>
                <w:szCs w:val="20"/>
                <w:color w:val="auto"/>
              </w:rPr>
            </w:pPr>
            <w:r>
              <w:rPr>
                <w:rFonts w:ascii="Arial" w:cs="Arial" w:eastAsia="Arial" w:hAnsi="Arial"/>
                <w:sz w:val="18"/>
                <w:szCs w:val="18"/>
                <w:color w:val="auto"/>
              </w:rPr>
              <w:t>ITEM 12.</w:t>
            </w:r>
          </w:p>
        </w:tc>
        <w:tc>
          <w:tcPr>
            <w:tcW w:w="8480" w:type="dxa"/>
            <w:vAlign w:val="bottom"/>
            <w:gridSpan w:val="9"/>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5"/>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2080" w:type="dxa"/>
            <w:vAlign w:val="bottom"/>
          </w:tcPr>
          <w:p>
            <w:pPr>
              <w:ind w:left="980"/>
              <w:spacing w:after="0"/>
              <w:rPr>
                <w:sz w:val="20"/>
                <w:szCs w:val="20"/>
                <w:color w:val="auto"/>
              </w:rPr>
            </w:pPr>
            <w:r>
              <w:rPr>
                <w:rFonts w:ascii="Arial" w:cs="Arial" w:eastAsia="Arial" w:hAnsi="Arial"/>
                <w:sz w:val="18"/>
                <w:szCs w:val="18"/>
                <w:color w:val="auto"/>
              </w:rPr>
              <w:t>ITEM 13.</w:t>
            </w:r>
          </w:p>
        </w:tc>
        <w:tc>
          <w:tcPr>
            <w:tcW w:w="8480" w:type="dxa"/>
            <w:vAlign w:val="bottom"/>
            <w:gridSpan w:val="9"/>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CERTAIN RELATIONSHIPS AND RELATED TRANSACTIONS, AND DIRECTOR INDEPENDENCE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14.</w:t>
            </w:r>
          </w:p>
        </w:tc>
        <w:tc>
          <w:tcPr>
            <w:tcW w:w="8480" w:type="dxa"/>
            <w:vAlign w:val="bottom"/>
            <w:gridSpan w:val="9"/>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PRINCIPAL ACCOUNTING FEES AND SERVICES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8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PART IV</w:t>
              </w:r>
            </w:hyperlink>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15.</w:t>
            </w:r>
          </w:p>
        </w:tc>
        <w:tc>
          <w:tcPr>
            <w:tcW w:w="8480" w:type="dxa"/>
            <w:vAlign w:val="bottom"/>
            <w:gridSpan w:val="9"/>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 FINANCIAL STATEMENT SCHEDULES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sz w:val="20"/>
                <w:szCs w:val="20"/>
                <w:color w:val="auto"/>
              </w:rPr>
            </w:pPr>
            <w:r>
              <w:rPr>
                <w:rFonts w:ascii="Arial" w:cs="Arial" w:eastAsia="Arial" w:hAnsi="Arial"/>
                <w:sz w:val="18"/>
                <w:szCs w:val="18"/>
                <w:color w:val="auto"/>
              </w:rPr>
              <w:t>ITEM 16.</w:t>
            </w:r>
          </w:p>
        </w:tc>
        <w:tc>
          <w:tcPr>
            <w:tcW w:w="8480" w:type="dxa"/>
            <w:vAlign w:val="bottom"/>
            <w:gridSpan w:val="9"/>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FORM 10-K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560" w:type="dxa"/>
            <w:vAlign w:val="bottom"/>
            <w:gridSpan w:val="10"/>
          </w:tcPr>
          <w:p>
            <w:pPr>
              <w:ind w:left="98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Index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560" w:type="dxa"/>
            <w:vAlign w:val="bottom"/>
            <w:gridSpan w:val="10"/>
          </w:tcPr>
          <w:p>
            <w:pPr>
              <w:ind w:left="9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Consolidated Financial Statements and Notes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10560" w:type="dxa"/>
            <w:vAlign w:val="bottom"/>
            <w:gridSpan w:val="10"/>
          </w:tcPr>
          <w:p>
            <w:pPr>
              <w:ind w:left="980"/>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Report of Independent Registered Public Accounting Firms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Exhibits</w:t>
              </w:r>
            </w:hyperlink>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r>
        <w:trPr>
          <w:trHeight w:val="216"/>
        </w:trPr>
        <w:tc>
          <w:tcPr>
            <w:tcW w:w="2080" w:type="dxa"/>
            <w:vAlign w:val="bottom"/>
          </w:tcPr>
          <w:p>
            <w:pPr>
              <w:ind w:left="9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Appendix A</w:t>
              </w:r>
            </w:hyperlink>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98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Signatures</w:t>
              </w:r>
            </w:hyperlink>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Names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Green Thumb Industries Inc. is a reporting issuer in the United States and Canada listed for trading on the Canadian Securities Exchange (“CSE”) under the symbol “GTII.” The Company’s Subordinate Voting Shares (as hereinafter defined) are also traded in the United States on the OTCQX Best Market (the “OTCQX”) under the symbol “GTBIF.”</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Originally founded in 2014, Green Thumb began operations in 2015 upon the award of a medical marijuana license for cultivation/processing and retail sale of cannabis in Illinois. The Company has since expanded its operational footprint to 12 U.S. markets, including California, Colorado, Connecticut, Florida, Maryland, Massachusetts, Nevada, New Jersey, New York, Ohio and Pennsylvania. Currently, Green Thumb owns, manufactures, and distributes a portfolio of cannabis consumer packaged goods brands including Beboe, Dogwalkers, Dr. Solomon’s, incredibles, Rythm and The Feel Collection, primarily to third-party retail stores across the United States as well as to Green Thumb owned retail stores. The Company also owns and operates retail cannabis stores that include a rapidly growing national chain called Rise</w:t>
      </w:r>
      <w:r>
        <w:rPr>
          <w:rFonts w:ascii="Arial" w:cs="Arial" w:eastAsia="Arial" w:hAnsi="Arial"/>
          <w:sz w:val="14"/>
          <w:szCs w:val="14"/>
          <w:color w:val="auto"/>
        </w:rPr>
        <w:t>™</w:t>
      </w:r>
      <w:r>
        <w:rPr>
          <w:rFonts w:ascii="Arial" w:cs="Arial" w:eastAsia="Arial" w:hAnsi="Arial"/>
          <w:sz w:val="17"/>
          <w:szCs w:val="17"/>
          <w:color w:val="auto"/>
        </w:rPr>
        <w:t xml:space="preserve"> and, in the Las Vegas, Nevada and Pasadena, California areas, a chain of stores called Essence, as well as retail stores, operating under other names, all of which sell our products and third-party products (which we refer to as our Retail business).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through its subsidiaries, owns state-licensed medical and/or adult use marijuana businesses in California, Connecticut, Florida, Illinois, Maryland, Massachusetts, Nevada, New Jersey, New York, Ohio and Pennsylvania. We also license our intellectual property and certain brands to licensees in California and Colorado, and recently entered into a partnership with Cookies to rebrand our Essence store located on the Las Vegas, Nevada Strip as a Cookies store, subject to applicable regulatory approvals. The following organizational chart describes the organizational structure of the Company as of December 31, 2020. See Exhibit 21.1 to this document for a list of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77790" cy="3000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77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registered office of the Company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The head office is located at 325 W. Huron Street, Suite 700, Chicago, Illinois 60654.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the Company</w:t>
      </w:r>
    </w:p>
    <w:p>
      <w:pPr>
        <w:spacing w:after="0" w:line="12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the Company changed its name to “Enwest Ventures Corp.” Further, on February 25, 2003, the Company changed its name to “Bayswater Ventures Corp.” In August 2006, the Company changed its name from Bayswater Ventures Corp. to “Bayswater Uranium Corporation” following a Canadian amalgamation transaction with Pathfinder Resources Ltd.</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On July 18, 2007, under a plan of arrangement, the Company amalgamated with Kilgore Minerals Ltd., a company incorporated under the </w:t>
      </w:r>
      <w:r>
        <w:rPr>
          <w:rFonts w:ascii="Arial" w:cs="Arial" w:eastAsia="Arial" w:hAnsi="Arial"/>
          <w:sz w:val="18"/>
          <w:szCs w:val="18"/>
          <w:i w:val="1"/>
          <w:iCs w:val="1"/>
          <w:color w:val="auto"/>
        </w:rPr>
        <w:t>Canada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(the “CBCA”) on June 21, 2002 and continued into the Province of British Columbia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(British Columbia) (the “BCBCA”) on December 7, 2006. Following the plan of arrangement, Kilgore Minerals Ltd. changed its name to “Bayswater Uranium Corporation” on July 24, 2007.</w:t>
      </w:r>
    </w:p>
    <w:p>
      <w:pPr>
        <w:spacing w:after="0" w:line="187"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Subsequent to the Company’s financial year ended February 28, 2018, the Company completed the Transaction (as hereinafter defined), filed Articles of Amendment in the Province of British Columbia to effect the name change from “Bayswater Uranium Corporation” to “Green Thumb Industries Inc.” and continued the business of VCP23, LLC (“VCP”). VCP was formed in the State of Delaware on November 27, 2017.</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January 1, 2018, the Corporation completed a restructuring to consolidate its organizational structure. RCP23, LLC, which had operations in Maryland, Massachusetts, Nevada and Pennsylvania, and GTI-Clinic Illinois Holdings, LLC, which had operations in Illinois, restructured and each entity contributed certain assets and real estate to VCP or its subsidiaries. Simultaneously, GTI-Clinic Illinois Holdings, LLC transferred its membership interests in the Illinois licensed medical businesses to GTI Core, LLC. Prior to the closing of the Transaction, VCP was acquired by GTI23, Inc. (“GTI23”) and the members of VCP exchanged their membership interests in VCP in exchange for shares of GTI23. The transaction did not include outside parties that were not previously members of RCP23, LLC or GTI clinic Illinois Holdings, LLC. The transaction did involve certain current directors and officers of the Corporation that, at the time, were members of RCP23, LLC and/or GTI Clinic Illinois Holdings, LLC.</w:t>
      </w:r>
    </w:p>
    <w:p>
      <w:pPr>
        <w:spacing w:after="0" w:line="166"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June 12, 2018, the Company, 1165318 B.C. Ltd. a wholly-owned subsidiary of Bayswater (“Subco”), VCP, GTI23 and GTI Finco Inc.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for the purpose of raising capital from third-party investors simultaneously with the closing of the Transaction. The Company (formerly Bayswater) had no active business operations leading up to completion of the Transaction.</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connection with the Transaction, the Company disposed of its uranium-based assets, changed its name from “Bayswater Uranium Corporation” to “Green Thumb Industries Inc.” and consolidated its existing common shares on the basis of one Subordinate Voting Share for each 368 existing common shares of the Company.</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a meeting of the Company’s shareholders on June 11, 2018, the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Subco and GTI Finco were parties to a Canadian three-cornered amalgamation (the “Amalgamation”) whereby:</w:t>
      </w:r>
    </w:p>
    <w:p>
      <w:pPr>
        <w:spacing w:after="0" w:line="13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GTI Finco shareholders received Subordinate Voting Shares of the Company on a one-for-one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members of VCP contributed their membership interests to GTI23 for shares of GTI23;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VCP then contributed their shares of GTI23 to GTI in exchange for Super Voting Shares and Multiple Voting Shares of GTI.</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Prior to the Transaction, GTI Finco (a special purpose corporation wholly-owned by VCP), completed a brokered and a non-brokered subscription receipt financing at a price of C$7.75 per subscription receipt for aggregate gross proceeds of approximately C$87 million (the “SR Offering”). As part of closing the Transaction, the investors in the SR Offering received Subordinate Voting Shares of Green Thumb on an economically 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subscription receipts issued in the SR Offering.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Subordinate Voting Shares began trading on the CSE on June 13, 2018 under the symbol “GTII.”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June 12, 2020, the Company closed on a $1.8 million mortgage loan from a third party to acquire the real estate of our Joliet, Illinois retail dispensary facility, which we refer to as the Joliet Mortgage Loan. The real estate was acquired from Mosaic Real Estate Joliet, LLC, which had previously been managed by Ms. Berger, as a principal of South Creek 15, LLC, which is the Manager of Mosaic Real Estate Joliet, LLC, until May 20, 2020 when Ms. Berger resigned from such position. Under the long-term mortgage loan, we will make monthly principal and interest payments. The purchase price for the property was $1.8 million, including transaction costs.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March 6, 2020, the Company closed on a sale and lease back transaction to sell its Oglesby, Illinois cultivation and processing facility to an unrelated third party, Innovative Industrial Properties (“IIP”). Under a long-term agreement, the Company leased back the facility and continues to operate and manage it. The purchase price for the property was $9.0 million, excluding transaction costs. The Company is making certain improvements to the property that will significantly enhance production capacity, for which IIP has agreed to provide reimbursement of up to $41 million. Assuming full reimbursement for such improvements, IIPs total investment in the property will be $50 million.</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On January 31, 2020, the Company closed on a sale and leaseback transaction to sell its Toledo, Ohio processing facility to IIP. Under a long-term agreement, the Company leased back the facility and continues to operate the space and manage it. The purchase price for the property was $2.9 million, excluding transaction costs. The Company is making certain improvements to the property that will significantly enhance production capacity, for which IIP has agreed to provide reimbursement of up to $4.3 million.</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October 1, 2020, the Company and IIP agreed to amend the lease on the Toledo, Ohio processing facility. Under the amendment, IIP will provide an additional $25 million in funding to be used for the construction of a cannabis cultivation facility at the property, which currently houses a separate cannabis processing facility. Assuming full reimbursement of the additional funding, IIP’s total investment in the property pursuant to the sale and leaseback transaction and related amendment will be $32.2 million.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On November 12, 2019, the Company closed on a sale and lease back transaction to sell its Danville, Pennsylvania cultivation and processing facility to IIP. Under a long-term agreement, the Company leased back the facility and continues to operate and manage it. The purchase price for the property was $20.3 million, excluding transaction costs. The Company is making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May 22, 2019, the Company closed a $105 million senior secured non-brokered private placement financing through the issuance of three-year senior secured notes (the “Notes”) pursuant to the Note Purchase Agreement (the “Note Purchase Agreement”). The financing generated funds for general working capital purposes and various growth initiatives and to retire the Company’s existing debt, including the $12.5 million in six-month senior secured promissory notes, which we refer to as the Bridge Notes. Following our May 21, 2020 exercise of our option to extend the term of the Notes by one year, the Notes have a maturity date of May 22, 2023 and will bear interest from the date of issue at 12% per annum, payable quarterly. Upon the execution of the Note Purchase Agreement, the Purchasers of the Notes received warrants to purchase 1,822,771 Subordinate Voting Shares at an exercise price of C$19.39 per share, which can be exercised for 60 months from the date of issuance. The Company entered into the First Amendment to the Note Purchase Agreement (the “Note Purchase Agreement Amendment”) on November 9, 2019. The Note Purchase Agreement Amendment reduced the borrowing capacity from $150 million to $130 million, which allows the Company to borrow an additional $24.5 million over a period of 12 months from the closing date of the Note Purchase Agreement. Upon the execution of the Note Purchase Agreement Amendment, the Purchasers of the Notes received warrants to purchase 365,067 Subordinate Voting Shares at an exercise price of C$12.04 per share, which can be exercised for 60 months from the date of issuance. On May 21, 2020, pursuant to the terms of the Note Purchase Agreement, the purchasers of the Notes received additional warrants to purchase 84,924 Subordinate Voting Shares at an exercise price of C$14.03 per share, which can be exercised for 60 months from the date of issuance.</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On April 12, 2019, the Company closed on a private placement of $12.5 million in six-month senior secured promissory notes (the “Bridge Notes”). The Bridge Notes accrued interest at an annual rate of 10.5% payable on a monthly basis, commencing June 1, 2019. The Bridge Notes included warrants to purchase 218,964 Subordinate Voting Shares at an exercise price of C$22.90 per share, which can be exercised for 42 months from the closing date of the transaction. On May 22, 2019, the Company repaid the full principal amount and accrued interest for the Bridge Notes.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On October 17, 2018, the Company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the Company’s continued growth, including wholesale capacity, strategic initiatives and general corporate purposes.</w:t>
      </w:r>
    </w:p>
    <w:p>
      <w:pPr>
        <w:spacing w:after="0" w:line="15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On August 2, 2018, the Company closed a $61.7 million (C$80.3 million) bought deal financing, co-led by Canaccord Genuity Corp. and GMP Securities L.P., and including Beacon Securities Limited, Echelon Wealth Partners Inc. and Eight Capital Corp., to fund the Company’s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June 12, 2018, GTI Finco (a special purpose corporation wholly-owned by VCP),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April 30, 2018, the Company closed a private placement offering to sell $45 million in a convertible promissory note (“Convertible Promissory Note”) to VCP Convert, LLC, a Delaware limited liability company owned by accredited investors. The Convertible Promissory Note was converted into common units of VCP immediately prior to the Transaction.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Recent Developments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On February 8, 2021, the SEC declared effective, the Company’s Registration Statement No. 333-248213 on Form S-1 filed on February 2, 2021. Shortly thereafter, the Company received an offer from a single institutional investor to purchase 3,122,073 of the Subordinate Voting Shares registered on the Form S-1 at a price of $32.03 per share for a total of $100,000,030. The transaction closed on February 9, 2021. On February 23, 2021, the Company accepted additional offers to purchase a total of 1,571,917 Subordinate Voting Shares at a price of $35.50 per share, for a total of $55,803,054.</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March 11, 2020, the World Health Organization declared COVID-19 a global pandemic and recommended containment and mitigation measures worldwide. The Company is monitoring this closely, and although operations have not been materially affected by the COVID-19 outbreak to date, the ultimate severity of the outbreak and its impact on the economic environment is uncertain. Operations of the Company are currently ongoing as the cultivation, processing and sale of cannabis products is currently considered an essential business by the states in which we operate with respect to all customers (except in Massachusetts, where cannabis was deemed essential only for medical patients, leading to the state-wide suspension of adult use sales from March 24, 2020 to May 25, 2020). During 2020, the Company’s revenue, gross profit and operating income were not negatively impacted by COVID-19 and the Company generally maintained the consistency of its operations. However, the uncertain nature of the spread of COVID-19 and its variants may impact the Company’s business operations for reasons including the potential quarantine of Green Thumb employees or those of its supply chain partners and our designation as “essential” in states where we do business that currently or in the future impose restrictions on business operations.</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August 23, 2019, the Company closed on its acquisition of Fiorello Pharmaceuticals, Inc. (“Fiorello”). Fiorello is one of only ten companies in New York licensed to grow, process and dispense medical cannabis. Fiorello has one cultivation/processing facility and four dispensing locations, with three of such dispensing locations currently operating.</w:t>
      </w:r>
    </w:p>
    <w:p>
      <w:pPr>
        <w:spacing w:after="0" w:line="184" w:lineRule="exact"/>
        <w:rPr>
          <w:sz w:val="20"/>
          <w:szCs w:val="20"/>
          <w:color w:val="auto"/>
        </w:rPr>
      </w:pPr>
    </w:p>
    <w:p>
      <w:pPr>
        <w:ind w:left="120" w:right="80" w:firstLine="440"/>
        <w:spacing w:after="0" w:line="283" w:lineRule="auto"/>
        <w:rPr>
          <w:sz w:val="20"/>
          <w:szCs w:val="20"/>
          <w:color w:val="auto"/>
        </w:rPr>
      </w:pPr>
      <w:r>
        <w:rPr>
          <w:rFonts w:ascii="Arial" w:cs="Arial" w:eastAsia="Arial" w:hAnsi="Arial"/>
          <w:sz w:val="16"/>
          <w:szCs w:val="16"/>
          <w:color w:val="auto"/>
        </w:rPr>
        <w:t>On June 5, 2019, the Company closed on its acquisition of Integral Associates, LLC (“Integral Nevada”), a leading cannabis operator in Nevada, and Integral Associates CA, LLC (“Integral California,” together with Integral Nevada, “Integral Associates”). In addition to the initial consideration paid at closing, the membership interest purchase agreement (the “Membership Interest Purchase Agreement”) provides for the payment by the Company of additional consideration upon the achievement of certain performance targets (including a potential EBITDA earn-out payment) and regulatory license awards. Milestone payments for each license won are 50% payable at the initial license award, and the remaining 50% will be paid once the final licenses are issued. The total consideration was approximately $326 million, including $52 million in cash and 24.7 million Subordinate Voting Shares. The acquisition includes: (i) Integral Associates’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(vi) Cannabiotix NV, a 41,000 square foot cultivation and processing facility which has been a recognized </w:t>
      </w:r>
      <w:r>
        <w:rPr>
          <w:rFonts w:ascii="Arial" w:cs="Arial" w:eastAsia="Arial" w:hAnsi="Arial"/>
          <w:sz w:val="16"/>
          <w:szCs w:val="16"/>
          <w:i w:val="1"/>
          <w:iCs w:val="1"/>
          <w:color w:val="auto"/>
        </w:rPr>
        <w:t>High Times</w:t>
      </w:r>
      <w:r>
        <w:rPr>
          <w:rFonts w:ascii="Arial" w:cs="Arial" w:eastAsia="Arial" w:hAnsi="Arial"/>
          <w:sz w:val="16"/>
          <w:szCs w:val="16"/>
          <w:color w:val="auto"/>
        </w:rPr>
        <w:t xml:space="preserve"> Cannabis Cup award winner.</w:t>
      </w:r>
    </w:p>
    <w:p>
      <w:pPr>
        <w:spacing w:after="0" w:line="23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On February 21, 2019, the Company closed on its acquisition of For Success Holding Company, the Los Angeles-based creator of the lifestyle suite of Beboe branded cannabis products. Beboe is best known for, among other things, the thoughtfully designed aesthetic of its iconic rose gold vaporizing pens and edible pastilles,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84"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On February 12, 2019, the Company closed on its acquisition of Connecticut-based Advanced Grow Labs LLC (“AGL”). AGL is one of four companies in Connecticut licensed to grow and process cannabis. AGL operates a 41,000 square foot manufacturing facility in West Haven, Connecticut, with expansion potential. AGL also has an ownership stake in a dispensary that is located in Westport, Connecticut. AGL produces and distributes a wide range of cannabis products to the operating stores in the state. The transaction consideration was approximately $108.7 million including 7.3 million Subordinate Voting shares valued at $85.1 million and $15.5 million in cash. The purchase agreement also includes additional consideration based on future performance targets.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November 8, 2018, the Company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Overview of the Company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Established in 2014 and headquartered in Chicago, Illinois, Green Thumb is promoting well-being through the power of cannabis through branded consumer packaged goods and people-first retail experiences, while being committed to community and sustainable profitable growth. As of December 31, 2020, Green Thumb has operations across 12 U.S. markets, employs over 2,200 people and serves hundreds of thousands of patients and customers annually.</w:t>
      </w:r>
    </w:p>
    <w:p>
      <w:pPr>
        <w:spacing w:after="0" w:line="18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Green Thumb’s core business is manufacturing, distributing and marketing a portfolio of owned cannabis consumer packaged goods brands (which we refer to as our Consumer Packaged Goods business), including Beboe, Dogwalkers, Dr. Solomon’s, incredibles, Rhythm, and The Feel Collection. The Company distributes and markets these products primarily to third-party licensed retail cannabis stores across the United States as well as to Green Thumb-owned retail stores (which we refer to as our Retail business).</w:t>
      </w:r>
    </w:p>
    <w:p>
      <w:pPr>
        <w:spacing w:after="0" w:line="171"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The Company’s Consumer Packaged Goods portfolio is primarily generated from plant material that Green Thumb grows and processes itself which we use to produce our consumer packaged goods produced in 13 owned and operated manufacturing facilities. This portfolio consists of stock keeping units (“SKUs”) across a range of cannabis product categories, including flower, pre-rolls, concentrates, vape, capsules, tinctures, edibles, topicals and other cannabis-related products (none of which product category are individually material to the Company). These Consumer Package Goods products are sold in retail locations throughout the 12 U.S. markets Green Thumb operates in including Green Thumb’s own Rise and Essence dispensaries.</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Green Thumb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operate (including Nevada). The Essence stores were acquired in connection with the 2019 acquisition of Integral Associates and are located in Nevada. The Essence stores differ from the Rise stores mainly in geographic location. As of December 31, 2020, the Company had 51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Coronavirus.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licensed retail customers as well as the sale of finished products to consumers in its retail stores.</w:t>
      </w:r>
    </w:p>
    <w:p>
      <w:pPr>
        <w:spacing w:after="0" w:line="124"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percentage of total revenue contributed by operations of Consumer Package Goods segment was 29%, 36% and 33% for the years ended December 31, 2020, 2019 and 2018 respectively. The percentage of total revenue contributed by the Retail segment was 71%, 64% and 67% for the years ended December 31, 2020, 2019 and 2018, respectively. See Item 7—“Management Discussion and Analysis” for details on key financial highlights.</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of the year ended December 31, 2020, Green Thumb has operating revenue in 12 markets (California, Colorado, Connecticut, Florida, Illinois, Maryland, Massachusetts, Nevada, New York, New Jersey, Ohio and Pennsylvania).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Green Thumb operates in 12 U.S. states: California, Colorado, Connecticut, Florida, Illinois, Maryland, Massachusetts, Nevada, New Jersey, New York, Ohio and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134620</wp:posOffset>
            </wp:positionV>
            <wp:extent cx="3060065" cy="237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6006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Company’s branded products portfolio includes stock keeping units (“SKUs”) across a range of product categories, including flower, pre-rolls, concentrates, vape, capsules, tinctures, edibles, topicals and other cannabis-related products.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Green Thumb engages in research and development activities focused on developing new extracted or infused cannabis consumer packaged products.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(“CBD”) business lines, none of which account for more than 1% of finished goods production.</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Green Thumb is not dependent upon a single customer, or a few customers, the loss of any one or more of which would not have a material adverse effect on the business. No customer accounted for 10% or more of our consolidated net revenue during fiscal 2020, 2019 or 2018.</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leverage our owned retail channel, Rise, Essence and our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the Company’s vendor requirements for quality assurance and reliability.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Products sold at our Rise, Essence and other stores are delivered directly to our stores primarily by our manufacturing and distribution vendor partners.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relies on non-disclosure/confidentiality agreements to protect its intellectual property rights. To the extent the Company describes or discloses any proprietary cultivation or extraction techniques in its applications for cultivation or processing licenses, the Company redacts or requests redaction of such information prior to public disclosure.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has sought U.S. patent protection for certain of its Dr. Solomon’s products, namely a utility patent for compositions and methods for treating skin and neuropathic conditions and disorders. Where commercially reasonable, we will seek further U.S. patent protection on other eligible products and services. The Company owns several website domains, including www.gtigrows.com, numerous social media accounts across all major platforms and various phone and web application platforms.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has successfully registered over 20 trademarks across state and country borders for brands offered within those jurisdictions and has additional trademark applications pending. The Company is in the process of registering several brands for state trademark protection at the U.S. federal level and/or in the states in which the brands are offered, including Beboe, Dogwalkers, Dr. Solomon’s, incredibles, Rythm and The Feel Collection.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7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For incredibles and Beboe branded cannabis products, the Company has entered into licensing and distribution contracts with third parties that hold licenses to engage in the sale of cannabis in the states of California and Colorado, where the Company does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the Company.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utilize joint ventures when necessary to comply with state regulatory requirements in certain states. Partnering with one or more non-affiliated third parties provide the Company with the opportunity to mitigate certain operational and financial risks while ensuring continued compliance with the applicable regulatory guidelines. Currently, the Company has joint ventures for a medical marijuana dispensary in Effingham, Illinois (NH Medicinal Dispensaries, LLC) of which the Company holds a 50% interest, and a medical marijuana dispensary in Westport, Connecticut (Bluepoint Wellness of Westport, LLC) of which the Company holds a 46% interest.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additional details on liquidity and Capital Resources, see Item 7—“Management’s Discussion and Analysis of Financial Condition and Results of Operations.”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Number of Employees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of December 31, 2020, Green Thumb employs over 2,200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Our employees are split across the Company as follows:</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Retail:</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8"/>
        </w:trPr>
        <w:tc>
          <w:tcPr>
            <w:tcW w:w="8200" w:type="dxa"/>
            <w:vAlign w:val="bottom"/>
            <w:gridSpan w:val="2"/>
          </w:tcPr>
          <w:p>
            <w:pPr>
              <w:ind w:left="132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Conditions and the Company’s Position in the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markets in which the Company’s products are distributed and its retail stores are operated are highly competitive markets. The Company’s operations exist in markets with relatively high barriers to entry given the licensed nature of the cannabis industry. The Company competes directly with cannabis producers and retailers within single-state operating markets, as well as those that operate across several U.S. markets. More broadly, Green Thumb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faces intense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The vast majority of both manufacturing and retail competitors in our markets consist of localized businesses (i.e. doing business in only a single state market). There are a few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multistate operators with whom the Company competes directly in several of the Company’s operating markets. Aside from this direct competition, out-of-state operators that are capitalized well enough to enter those markets through acquisitions are also part of the competitive landscape. Similarly, as the Company executes its national U.S. growth strategy, operators in our future state markets will inevitably become direct competitors.</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early stage of the industry in which the Company operates, the Company faces additional competition from new entrants. If the number of consumers of medical and adult use cannabis in the states in which the Company operates its business increases, the demand for products will increase and the Company expects that competition will become more intense, as current and future competitors begin to offer an increasing number of diversified products. To remain competitive, the Company will require a continued high level of investment in research and development, marketing, sales and client support. The Company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1A—“Risk Factors” with respect to competition.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All of the medical-only markets that the Company does business in (Connecticut, Florida, Maryland, New Jersey until February 22, 2021, New York, Ohio and Pennsylvania) have written regulations that impose our limitations on the number of cannabis business licenses that can be awarded. In each of these markets, we have a proven track record of: (i) entering the market through state-granted awards based on the merit of its application and business plans; and/or (ii) expanding market reach through accretive mergers, acquisitions, and partnership ventures. Each medical use market (including Illinois, California, Colorado, Massachusetts and Nevada, but excluding New Jersey, as described below) that also allow adult use has regulations specifying which medical conditions qualify a patient for a license to purchase cannabis, and generally require the approval or prescription from a physician. These applicable conditions can vary significantly from state to state, and in certain states, the qualifying conditions are amended from time-to-time.</w:t>
      </w:r>
    </w:p>
    <w:p>
      <w:pPr>
        <w:spacing w:after="0" w:line="19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cannabis in the state. On February 23, 2021, Governor Phil Murphy signed three bills into law that establish an adult use program in New Jersey for adults who are at least 21 years old. On February 25, 2021, Governor Murphy announced his last picks to serve on the Cannabis Regulatory Commission, completing the panel that will undertake the job of regulating the legal marijuana industry and licensing new dispensaries and growers. It is not yet clear when New Jersey’s adult use sales will begin.</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adult use markets in which the Company operates in (Illinois, California, Colorado, Massachusetts and Nevada) have fewer barriers to entry and more closely reflect free market dynamics typically seen in mature retail and manufacturing industries. The growth of these markets poses a risk of increased competition. However, given our additional growth opportunities as an original operator in these states, which have historically been limited supply markets, management views the Company’s market share as less at risk than operators without a current operating footprint as a result of our established brand recognition and supply and distribution chains, which were developed in those markets for medical use. Additionally, regulations in some adult use markets, such as Illinois, allowed us to quickly develop adult use market share in those states. Purchasers of adult use cannabis generally are subject to higher sales taxes than apply to purchasers who are authorized for medical purposes. However, anecdotal evidence suggests that some consumers who meet the criteria to apply for medical licenses make adult use purchases and avoid pursuing a state’s medical registration/qualification process.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Below is a discussion of the federal and state-level regulatory regimes in those jurisdictions where the Company is currently directly involved through its subsidiaries. The Company’s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 As of December 31, 2020, 100% of our business was directly derived from U.S. cannabis-related activities.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U.S. federal government regulates drugs through the Controlled Substances Act (21 U.S.C. § 811),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defines Schedule I drugs, substances or chemicals as “drugs with no currently accepted medical use and a high potential for abuse.” However, the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has approved Epidiolex, which contains a purified form of the drug CBD, a non-psychoactive ingredient in the cannabis plant, for the treatment of seizures associated with two epilepsy conditions. The FDA has not approved cannabis or cannabis compounds as a safe and effective drug for any other condition. Moreover, under the 2018 Farm Bill or Agriculture Improvement Act of 2018 (the “</w:t>
      </w:r>
      <w:r>
        <w:rPr>
          <w:rFonts w:ascii="Arial" w:cs="Arial" w:eastAsia="Arial" w:hAnsi="Arial"/>
          <w:sz w:val="17"/>
          <w:szCs w:val="17"/>
          <w:b w:val="1"/>
          <w:bCs w:val="1"/>
          <w:color w:val="auto"/>
        </w:rPr>
        <w:t>Farm Bill</w:t>
      </w:r>
      <w:r>
        <w:rPr>
          <w:rFonts w:ascii="Arial" w:cs="Arial" w:eastAsia="Arial" w:hAnsi="Arial"/>
          <w:sz w:val="17"/>
          <w:szCs w:val="17"/>
          <w:color w:val="auto"/>
        </w:rPr>
        <w:t>”), CBD remains a Schedule I controlled substance under the Controlled Substances Act, with a narrow exception for CBD derived from hemp with a tetrahydrocannabinol (“</w:t>
      </w:r>
      <w:r>
        <w:rPr>
          <w:rFonts w:ascii="Arial" w:cs="Arial" w:eastAsia="Arial" w:hAnsi="Arial"/>
          <w:sz w:val="17"/>
          <w:szCs w:val="17"/>
          <w:b w:val="1"/>
          <w:bCs w:val="1"/>
          <w:color w:val="auto"/>
        </w:rPr>
        <w:t>THC</w:t>
      </w:r>
      <w:r>
        <w:rPr>
          <w:rFonts w:ascii="Arial" w:cs="Arial" w:eastAsia="Arial" w:hAnsi="Arial"/>
          <w:sz w:val="17"/>
          <w:szCs w:val="17"/>
          <w:color w:val="auto"/>
        </w:rPr>
        <w:t>”) concentration of less than 0.3%.</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Cannabis is largely regulated at the state level.</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which may be brought against the Company.</w:t>
      </w:r>
    </w:p>
    <w:p>
      <w:pPr>
        <w:spacing w:after="0" w:line="17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December 31, 2020, 35 states, plus the District of Columbia (and the territories of Guam, Puerto Rico, the U.S. Virgin Islands and the Northern Mariana Islands), have legalized the cultivation and sale of cannabis for medical purposes. In 15 of those states, the sale and possession of cannabis is legal for both medical and adult use, and the District of Columbia has legalized adult use but not commercial sale. In November 2020, voters in Arizona, Montana, New Jersey and South Dakota voted by referendum to legalize cannabis for adult use, and voters in Mississippi and South Dakota voted to legalized cannabis for medical use, and in February 2021, the Virginia legislature approved a bill that would legalize cannabis for adult use beginning in 2024. The Virginia bill is awaiting signature by the governor, and if signed, Virginia will be the first southern state to legalize cannabis for adult use. Also in February 2021, New Jersey Governor Phil Murphy signed three bills into law that legalize cannabis for adult use.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risk of federal enforcement and other risks associated with the Company’s business are described in Item 1A—“Risk Factors.”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of the Cannabis Market at State and Local Level</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installed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Below is a summary overview of the regulatory and competitive frameworks in each of our operating markets. See Appendix A to this Annual Report on Form 10-K for a state-by-state list of the licenses and permits held by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California</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September 2015, the California legislature passed three bills collectively known as the Medical Cannabis Regulation and Safety 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MCRSA</w:t>
      </w:r>
      <w:r>
        <w:rPr>
          <w:rFonts w:ascii="Arial" w:cs="Arial" w:eastAsia="Arial" w:hAnsi="Arial"/>
          <w:sz w:val="16"/>
          <w:szCs w:val="16"/>
          <w:color w:val="auto"/>
        </w:rPr>
        <w:t>”). The MCRSA established a licensing and regulatory framework for medical marijuana businesses in California. In November 2016, voters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California overwhelmingly passed Proposition 64, the Adult Use of Marijuana Act (“</w:t>
      </w:r>
      <w:r>
        <w:rPr>
          <w:rFonts w:ascii="Arial" w:cs="Arial" w:eastAsia="Arial" w:hAnsi="Arial"/>
          <w:sz w:val="16"/>
          <w:szCs w:val="16"/>
          <w:b w:val="1"/>
          <w:bCs w:val="1"/>
          <w:color w:val="auto"/>
        </w:rPr>
        <w:t>AUMA</w:t>
      </w:r>
      <w:r>
        <w:rPr>
          <w:rFonts w:ascii="Arial" w:cs="Arial" w:eastAsia="Arial" w:hAnsi="Arial"/>
          <w:sz w:val="16"/>
          <w:szCs w:val="16"/>
          <w:color w:val="auto"/>
        </w:rPr>
        <w:t>”) creating an adult use marijuana program for adults 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years of age or older. Some provisions of AUMA conflicted with MCRSA, so the California State Legislature passed Senate Bill No. 94, known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Medicinal and Adult Use Cannabis Regulation and Safety Act (“</w:t>
      </w:r>
      <w:r>
        <w:rPr>
          <w:rFonts w:ascii="Arial" w:cs="Arial" w:eastAsia="Arial" w:hAnsi="Arial"/>
          <w:sz w:val="16"/>
          <w:szCs w:val="16"/>
          <w:b w:val="1"/>
          <w:bCs w:val="1"/>
          <w:color w:val="auto"/>
        </w:rPr>
        <w:t>MAUCRSA</w:t>
      </w:r>
      <w:r>
        <w:rPr>
          <w:rFonts w:ascii="Arial" w:cs="Arial" w:eastAsia="Arial" w:hAnsi="Arial"/>
          <w:sz w:val="16"/>
          <w:szCs w:val="16"/>
          <w:color w:val="auto"/>
        </w:rPr>
        <w:t>”) in June 2017, amalgamating MCRSA and AUMA to provide a single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regulations to govern a medical and adult use licensing regime for cannabis businesses in the State of California. MAUCRSA went into effect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1, 2018.</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6" w:lineRule="exact"/>
        <w:rPr>
          <w:sz w:val="20"/>
          <w:szCs w:val="20"/>
          <w:color w:val="auto"/>
        </w:rPr>
      </w:pPr>
    </w:p>
    <w:p>
      <w:pPr>
        <w:jc w:val="both"/>
        <w:ind w:left="120" w:right="520" w:firstLine="440"/>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License holders are held to strict license renewal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we received our first provisional operational license in the State of California. We have also been granted conditional licenses, permitting us to retail medical and adult use cannabis and cannabis related products. We have been awarded approval to proceed with the next steps in the application process for the entities listed on Appendix A to Annual Report on Form 10-K.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Appendix A to this Annual Report on Form 10-K for a list of the licenses issued to us with respect to our operations in California.</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California Reporting Requirements</w:t>
      </w:r>
    </w:p>
    <w:p>
      <w:pPr>
        <w:spacing w:after="0" w:line="11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color w:val="auto"/>
        </w:rPr>
        <w:t>The California Cannabis Track-and-Trace (“</w:t>
      </w:r>
      <w:r>
        <w:rPr>
          <w:rFonts w:ascii="Arial" w:cs="Arial" w:eastAsia="Arial" w:hAnsi="Arial"/>
          <w:sz w:val="17"/>
          <w:szCs w:val="17"/>
          <w:b w:val="1"/>
          <w:bCs w:val="1"/>
          <w:color w:val="auto"/>
        </w:rPr>
        <w:t>CCTT</w:t>
      </w:r>
      <w:r>
        <w:rPr>
          <w:rFonts w:ascii="Arial" w:cs="Arial" w:eastAsia="Arial" w:hAnsi="Arial"/>
          <w:sz w:val="17"/>
          <w:szCs w:val="17"/>
          <w:color w:val="auto"/>
        </w:rPr>
        <w:t>”) system is the Track-and-Trace (“</w:t>
      </w:r>
      <w:r>
        <w:rPr>
          <w:rFonts w:ascii="Arial" w:cs="Arial" w:eastAsia="Arial" w:hAnsi="Arial"/>
          <w:sz w:val="17"/>
          <w:szCs w:val="17"/>
          <w:b w:val="1"/>
          <w:bCs w:val="1"/>
          <w:color w:val="auto"/>
        </w:rPr>
        <w:t>T&amp;T</w:t>
      </w:r>
      <w:r>
        <w:rPr>
          <w:rFonts w:ascii="Arial" w:cs="Arial" w:eastAsia="Arial" w:hAnsi="Arial"/>
          <w:sz w:val="17"/>
          <w:szCs w:val="17"/>
          <w:color w:val="auto"/>
        </w:rPr>
        <w:t>”) system used statewide to record the inventory and movement of cannabis and cannabis products through the commercial cannabis supply chain from seed to sale. The CCTT system must be used by all annual and provisional cannabis licensees, including those with licenses for cannabis cultivation, manufacturing, retail, distribution, testing labs and microbusinesses. The state’s contracted service provider for the CCTT system is Marijuana Enforcement Tracking Regulation and Compliance (“</w:t>
      </w:r>
      <w:r>
        <w:rPr>
          <w:rFonts w:ascii="Arial" w:cs="Arial" w:eastAsia="Arial" w:hAnsi="Arial"/>
          <w:sz w:val="17"/>
          <w:szCs w:val="17"/>
          <w:b w:val="1"/>
          <w:bCs w:val="1"/>
          <w:color w:val="auto"/>
        </w:rPr>
        <w:t>METRC</w:t>
      </w:r>
      <w:r>
        <w:rPr>
          <w:rFonts w:ascii="Arial" w:cs="Arial" w:eastAsia="Arial" w:hAnsi="Arial"/>
          <w:sz w:val="17"/>
          <w:szCs w:val="17"/>
          <w:color w:val="auto"/>
        </w:rPr>
        <w:t>”). Licensees are required to maintain records for at least seven years from the date a record is created.</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320" w:top="459" w:right="5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do not have any licenses in the State of Colorado. We have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us. See Item 1—“Intellectual Property—Patents and Trademarks” for details on licenses with respect to operations in Colorado.</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Colorado.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Colorado Reporting Requirements</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Colorado uses METRC as the MED’s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State of Connecticut has authorized cultivation, possession and distribution of marijuana for medical purposes by certain licensed Connecticut marijuana businesses. Over thirty medical conditions currently are recognized by the state to qualify a patient for medical marijuana certificate, including cancer, glaucoma, epilepsy and certain terminal and chronic pain conditions. The Medical Marijuana Program in Connecticut registers qualifying patients, primary caregivers, Dispensary Facilities and Dispensary Facility Employees. The Medical Marijuana Program in Connecticut was established by Connecticut General Statutes §§ 21a-408—21a-429. Dispensary Facilities and production facilities are separately licensed.</w:t>
      </w:r>
    </w:p>
    <w:p>
      <w:pPr>
        <w:spacing w:after="0" w:line="16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program launched with six dispensary licensees and four producer licensees. The first dispensaries sold to patients in September 2014.</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Subsequently, additional licensed dispensaries have become operational.</w:t>
      </w:r>
    </w:p>
    <w:p>
      <w:pPr>
        <w:spacing w:after="0" w:line="21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In January 2016, the Connecticut Department of Consumer Protection, the agency that oversees and administers the program, approved three additional dispensary licenses. In December 2018, the Connecticut Department of Consumer Protection issued nine additional dispensary licenses, bringing the total to 18 licensed dispensaries in the state. As of February 2021, all 18 of these dispensaries were operational.</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There are two principal license categories in Connecticut: (1) cultivation/processing and (2) dispensary. We are licensed to operate one medical marijuana cultivation/processing facility and three medical marijuana dispensaries. All licenses are, as of the date hereof, active with the State of Connecticut. The licenses are independently issued for each approved activity for use at our facilities in Connecticut.</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Connecticut Department of Consumer Protection has issued regulations regarding the Medical Marijuana Program in Connecticut. Patients with certain debilitating medical conditions qualify to participate in the Medical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Marijuana Program in Connecticut. A physician or advanced practice registered nurse must issue a written certification for a Medical Marijuana Program in Connecticut patient, and the qualifying patient or caregiver must choose one designated Dispensary Facilities where the patient’s marijuana will be obtained. Under the Medical Marijuana Program in Connecticut, dispensary licenses are renewed annually. Renewal applications must be submitted 45 days prior to license expiration and any renewal submitted more than 30 days after expiration will not be renewed.</w:t>
      </w:r>
    </w:p>
    <w:p>
      <w:pPr>
        <w:spacing w:after="0" w:line="15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Medical marijuana cultivation/processing licenses permit us to operate a secure, indoor facility to cultivate and process medical marijuana and wholesale to dispensaries.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Medical marijuana dispensary facility licenses qualify a dispensary to purchase medical cannabis from licensed medical cannabis producers and to dispense cannabis to qualifying patients or primary caregivers that are registered under the Medical Marijuana Program in Connecticut. Dispensaries must have a pharmacist on staff.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Connecticut.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Connecticut Reporting Requirements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Connecticut does not mandate the use of a particular unified T&amp;T system by which all dispensary license holders submit data directly to the state. However, the Medical Marijuana Program in Connecticut does provide strict guidelines for reporting via the license holder’s T&amp;T program. Every cannabis sale must be documented at the point of sale, including recording the date. At least once per day, all sales must be uploaded via the T&amp;T system to the Connecticut Prescription Monitoring Program which accumulates and tracks medical cannabis purchases across all Connecticut dispensaries.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61"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Amendment 2, and the resulting expansion of qualifying medical conditions, became effective on January 3, 2017. The Florida Department of Health, physicians, dispensing organizations and patients are bound by Article 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The State of Florida Statutes Section 381.986(8)(a) provides a regulatory framework that requires licensed producers, which are statutorily defined as “Medical Marijuana Treatment Centers” (which we refer to as </w:t>
      </w:r>
      <w:r>
        <w:rPr>
          <w:rFonts w:ascii="Arial" w:cs="Arial" w:eastAsia="Arial" w:hAnsi="Arial"/>
          <w:sz w:val="18"/>
          <w:szCs w:val="18"/>
          <w:b w:val="1"/>
          <w:bCs w:val="1"/>
          <w:color w:val="auto"/>
        </w:rPr>
        <w:t>MMTC</w:t>
      </w:r>
      <w:r>
        <w:rPr>
          <w:rFonts w:ascii="Arial" w:cs="Arial" w:eastAsia="Arial" w:hAnsi="Arial"/>
          <w:sz w:val="18"/>
          <w:szCs w:val="18"/>
          <w:color w:val="auto"/>
        </w:rPr>
        <w:t>), to cultivate, process and dispense medical cannabis in a vertically-integrated marketplace.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There is one principal license category in Florida: vertically-integrated Medical Marijuana Treatment Centers license. We are licensed to operate one medical cannabis cultivation/processing facility and up to 35 medical dispensaries. All licenses are, as of the date hereof, active with the State of Florida. The licenses are independently issued for each approved activity for use at our facilities in Florida.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There is a pending lawsuit that challenges important aspects of the 2017 legislation and Florida Department of Health, Office of Medical Marijuana Use, or OMMU, regulations that could have an impact on our business in Florida. In December 2017, Florigrown, LLC and other plaintiffs challenged as unconstitutional aspects of the 2017 legislation and OMMU regulations that: (1) require MMTCs to be vertically integrated (i.e., cultivate and process the cannabis to be sold at the MMTC’s own licensed dispensaries); (2) that cap the total number of MMTC licenses in the state; and (3) that authorized the OMMU to issue MMTC licenses to certain applicants that met criteria defined by the 2017 legislation. On October 18, 2019, a trial judge in the Circuit Court for Leon County ruled that Florigrown, LLC had a substantial likelihood of succeeding on its claims, holding that the vertical integration and licensing cap conflicted with the language in Article X, Section 29 and that the provisions in the 2017 defining the criteria for eligibility for MMTC licensure constituted an impermissible “special law” under Article III, Section 11(a)(12) of the Florida Constitution. On July 10, 2019, an intermediate appellate court affirmed aspects of the Circuit Court for Leon County’s ruling. The matter is now pending before Florida Supreme Court. The Florida Supreme Court heard additional oral argument in the case on October 7, 2020.</w:t>
      </w:r>
    </w:p>
    <w:p>
      <w:pPr>
        <w:spacing w:after="0" w:line="18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Licenses are issued by the OMMU and must be renewed biennially.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Medical Marijuana Treatment Centers license permits us to sell medical cannabis to qualified patients to treat certain medical conditions in Florida, which are delineated in Florida Statutes Section 386.981. As our operations in Florida are vertically-integrated, we are able to cultivate, harvest, process and sell/dispense/deliver its own medical cannabis products. Under the terms of our Florida license, we are permitted to sell medical cannabis only to qualified medical patients that are registered with the State. Only certified physicians who have successfully completed a medical cannabis educational program can register patients on the Florida Office of Compassionate Use Registry.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Florida.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Florida Reporting Requirements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Florida Department of Health requires that any licensee establish, maintain and control a computer software tracking system that traces cannabis from seed to sale and allows real-time, 24-hour access by the Florida Department of Health to this data. The tracking system must allow for integration of other seed-to-sale systems and, at minimum, include notification of when marijuana seeds are planted, when marijuana plants are harvested and destroyed and when cannabis is transported, sold, stolen, diverted or lost. Additionally, the Florida Department of Health maintains a patient and physician registry, and we must comply with all requirements and regulations related to providing required data or proof of key events to the tracking system.</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June 2019, the governor of Illinois signed legislation legalizing cannabis for adult use. The Cannabis Regulation and Tax Act, legalizing and regulating cannabis for recreational use, went into effect on June 25, 2019, and adult use sales of cannabis began in the state on January 1, 2020. The adult use program allowed existing medical cannabis license holders to apply for Early Approval Adult Use Dispensing Organization (“EAAUDO”) licenses to be able to sell adult use product at existing medical cannabis dispensaries (known as “co-located” or “same site” dispensaries) on January 1, 2020, and to have the privilege of opening a secondary adult use only retail site for every medical cannabis dispensary location the Dispensing Organization already had in its portfolio. All EAAUDO license holders were also required to commit to the state’s groundbreaking Social Equity program either through a financial contribution, grant agreement, donation, incubation program, or sponsorship program. The Cannabis Regulation and Tax Act also authorized issuance of an additional 75 Adult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Use Dispensing Organization (“AUDO”) licenses in 2020 but to date those licenses have yet to be issued and it is uncertain when they will be issued. In addition, the Cannabis Regulation and Tax Act also authorized issuance up to 110 additional AUDO licenses by December 21, 2021.</w:t>
      </w:r>
    </w:p>
    <w:p>
      <w:pPr>
        <w:spacing w:after="0" w:line="14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licensed to grow and process cannabis for medical and adult use sales at our two cultivation facilities. As of December 31, 2020, we have nine operating dispensaries in Illinois and plan to open one more adult use only dispensary, which would bring us to the Illinois statutory cap of ten dispensaries. All of our original five medical dispensaries received licenses for co-located adult use sales, four of which are now fully operational. We have applied for and received four of the five “secondary” adult use dispensary state licenses we are eligible to receive, all four of which are fully operational. We expect to operationalize our fifth “secondary” license in the first quarter of 2021. All licenses are, as of the date hereof, active with the State of Illinois. The licenses are independently issued for each approved activity for use at our facilities in Illinois.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Illinois licenses four types of cannabis businesses within the state: (1) cultivation; (2) processing; (3) transportation; and (4) dispensary. We are licensed to grow and process cannabis for medical and adult use sales at our two cultivation facilities. Dispensaries require separate licenses for adult use sales and medical sales. As of December 31, 2020, we have nine operating dispensaries in Illinois (operating under 14 licenses) and plan to open one additional adult use only dispensary, which would bring us to the Illinois statutory cap of ten dispensaries operating under 15 licenses. We have five existing medical dispensary retail locations in Illinois. As part of each of our original five medical Illinois dispensary licenses, each medical dispensary was permitted to apply for (a) a license to sell to adult use customers in the same location, and (b) a license for a secondary location for sales to adult use customers only. All of our original five medical dispensaries received licenses for co-located adult use sales, four of which are now fully operational, and one of which remains subject to local zoning approval. We have applied for and received four of the five “secondary” adult use dispensary state licenses we are eligible to receive, all four of which are fully operational. We have applied for and received conditional approval for the fifth “secondary” license, with final approval expected later this spring. The dispensaries with “secondary” licenses by law serve only adult use customers, not medical patients. All licenses are, as of the date hereof, active with the State of Illinois. The licenses are independently issued for each approved activity for use at our facilities in Illinois.</w:t>
      </w:r>
    </w:p>
    <w:p>
      <w:pPr>
        <w:spacing w:after="0" w:line="1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annual renewals after required fees are paid and the business remains in good standing. Pursuant to Illinois law, registration renewal applications must be received 45 days prior to expiration and may be denied if the license has a history of non-compliance and penalties.</w:t>
      </w:r>
    </w:p>
    <w:p>
      <w:pPr>
        <w:spacing w:after="0" w:line="188"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cultivation/processing licenses permit us to acquire, possess, cultivate, manufacture/process into edible marijuana products and/or marijuana-infused products, deliver, transfer, have tested, transport, supply or sell marijuana and related supplies to marijuana dispensaries.</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retail dispensary licenses permit us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us with respect to our operations in Illinois.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Illinois Reporting Requirements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state of Illinois uses BioTrack as the state’s computerized track-and-trace system for seed-to-sale reporting. Individual licensees, whether directly or through third-party integration systems, are required to push data to the state to meet all reporting requirements. We use an in-house computerized seed-to-sale software, which integrates with the state’s BioTrack program and captures the necessary data points as required in the Illinois Compassionate Use of Medical Cannabis Program Act.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PTSD.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There are three principal license categories in Maryland: (1) cultivation, (2) processing and (3) dispensary. The Company has control and/or ownership over one cultivation license, one processing license and three retail dispensaries. All licenses are, as of the date hereof, active with the State of Maryland. The licenses are independently issued for each approved activity for use at the Company facilities in Maryland.</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cultivation, processing and dispensary establishments must register with the Maryland Medical Cannabis Commission under the provisions of the Maryland Medical Cannabis Law, Section 13-3301 et seq. If applications contain all required information, establishments are issued a medical marijuana establishment registration certificate. Registration certificates are valid for a period of six years and thereafter subject to renewal every two years, and are subject to strict renewal requirements.</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medical cultivation licenses permit us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The medical processing license permits us to acquire, possess, manufacture, deliver, transfer, transport, supply, or sell marijuana products or marijuana infused products to other medical marijuana production facilities or medical marijuana dispensaries.</w:t>
      </w:r>
    </w:p>
    <w:p>
      <w:pPr>
        <w:spacing w:after="0" w:line="146"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The retail dispensary licenses permit us to purchase marijuana from cultivation facilities, marijuana and marijuana products from product manufacturing facilities and marijuana from other medical marijuana dispensaries, as well as allow the sale of marijuana and marijuana products.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Maryland.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Maryland Reporting Requirements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state of Maryland uses METRC as the state’s computerized T&amp;T system for seed-to-sale reporting. Individual licensees, whether directly or through third-party integration systems, are required to push data to the state to meet all reporting requirements. We use an in-house computerized seed-to-sale software, which integrates with the state’s METRC program and captures the required data points for retail as required in the Maryland Medical Cannabis Law. The Company uses METRC directly for cultivation and manufacturing.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Massachusetts, Registered Marijuana Dispensaries are “vertically-integrated,” which means Registered Marijuana Dispensaries grow, process and dispense their own marijuana. A Registered Marijuana Dispensary must have a retail facility, as well as cultivation and processing operations. Some Registered Marijuana Dispensaries elect to conduct cultivation, processing and retail operations all in one location, which is commonly referred to as a “co-located” operation. A Registered Marijuana Dispensary may also choose to have a retail dispensary in one location and grow marijuana at a remote cultivation location. A Registered Marijuana Dispensary may process marijuana at either a retail dispensary location or a remote cultivation location. The remote cultivation location need not be in the same municipality, or the same county, as the retail dispensary.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There is one principal license category in Massachusetts: vertically-integrated Registered Marijuana Dispensaries license. We are licensed to operate one medical and adult use cultivation/processing facility and one medical and adult use retail dispensary. All licenses are, as of the date hereof, active with the State of Massachusetts. The licenses are independently issued for each approved activity for use at our facilities in Massachusetts.</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Massachusetts dispensary, cultivator and processor license is valid for one year and is subject to strict license renewal requirements.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Marijuana Dispensaries license permits us to cultivate, process and dispense medical and adult use cannabis.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Massachusetts.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Massachusetts Reporting Requirements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Commonwealth of Massachusetts uses the MMJ Online system through the Virtual Gateway portal as the state’s computerized T&amp;T system for seed-to-sale reporting. Individual licensees, whether directly or through third-party integration systems, are required to push data to the state to meet all reporting requirements. We use an in-house computerized seed-to-sale software, which integrates with the state’s program and captures the required data points for cultivation, manufacturing and retail as required in the Massachusetts marijuana laws and regulations.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opened up applications for additional adult use marijuana dispensary licenses. Only those companies that held medical marijuana licenses in the state could apply. In December 2018, 61 additional marijuana dispensary licenses were issued by the Nevada Department of Taxation.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We are licensed to operate two medical and adult use cultivation facilities, three medical and adult use processing facilities, five medical dispensary licenses and up to 13 adult use retail locations. All licenses are, as of the date hereof, active with the State of Nevada. The licenses are independently issued for each approved activity for use at our facilities in Nevada.</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applicable laws, the licenses permit us to cultivate, manufacture, process, package, sell and purchase marijuana pursuant to the terms of the licenses, which are issued by the Nevada Department of Taxation under the provisions of Nevada Revised Statutes section 453A. If applications contain all required information, establishments are issued a marijuana establishment registration certificate. In a local governmental jurisdiction that issues business licenses, the issuance by Nevada Department of Taxation, or its successor as of July 1, 2020, the Nevada Cannabis Compliance Board,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are subject to strict renewal requirements.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cultivation licenses permit us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processing license permits us to acquire, possess, manufacture, deliver, transfer, transport, supply or sell edible marijuana products or marijuana infused products to other marijuana production facilities or marijuana dispensaries.</w:t>
      </w:r>
    </w:p>
    <w:p>
      <w:pPr>
        <w:spacing w:after="0" w:line="170"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The retail dispensary licenses permit us to purchase marijuana from cultivation facilities, marijuana and marijuana products from product manufacturing facilities and marijuana from other retail stores, as well as allow the sale of marijuana and marijuana products.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Nevada.</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Nevada Reporting Requirements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state of Nevada uses METRC as the state’s computerized T&amp;T system for seed-to-sale reporting. Individual licensees, whether directly or through third-party integration systems, are required to push data to the state to meet all reporting requirements. We have designated an in-house computerized seed-to-sale software that integrates with METRC via API, which captures the required data points for cultivation, manufacturing and retail as required in Nevada Revised Statutes section 453A.</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Jersey</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On January 18, 2010, the governor of New Jersey signed into law S.119, the Compassionate Use Medical Marijuana Act, permitting the use of medical cannabis for persons with certain debilitating conditions, including anxiety, cancer, chronic pain, post-traumatic stress disorder and seizure disorders. The law permits the New Jersey Department of Health to create rules to add other illnesses to the permitted conditions. The Compassionate Use Medical Marijuana Act mandates that cannabis must be acquired through Alternative Treatment Centers licensed by the State.</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A single Alternative Treatment Centers license allows for the cultivation, processing and dispensing of medical marijuana products. Originally, each Alternative Treatment Centers was permitted to open one dispensary. With the </w:t>
      </w:r>
      <w:r>
        <w:rPr>
          <w:rFonts w:ascii="Arial" w:cs="Arial" w:eastAsia="Arial" w:hAnsi="Arial"/>
          <w:sz w:val="18"/>
          <w:szCs w:val="18"/>
          <w:i w:val="1"/>
          <w:iCs w:val="1"/>
          <w:color w:val="auto"/>
        </w:rPr>
        <w:t>Executive Order 6 Report</w:t>
      </w:r>
      <w:r>
        <w:rPr>
          <w:rFonts w:ascii="Arial" w:cs="Arial" w:eastAsia="Arial" w:hAnsi="Arial"/>
          <w:sz w:val="18"/>
          <w:szCs w:val="18"/>
          <w:color w:val="auto"/>
        </w:rPr>
        <w:t>, each Alternative Treatment Centers can now open two additional satellite dispensaries within their New Jersey Department of Health-designated region for a total of three dispensaries each, as well as satellite production facilities, subject to regulatory approval.</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March 27, 2018 through executive order No. 6 (2018), Governor Phil Murphy expanded the medical marijuana program, announcing the 20-plus recommendations presented by the New Jersey Department of Health on March 23, 2018. The New Jersey Department of Health’s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which amended the Compassionate Use Medical Marijuana Act. Previously, New Jersey law only permitted applicants to apply for vertically-integrated licenses. Under the Jake Honig Compassionate Use Medical Cannabis Act, the permit process includes three different permit types. The new permit types are medical cannabis cultivator, dispensary and manufacturer permits, which are to be applied for individually. The vertically-integrated Alternative Treatment Centers will continue to be able to cultivate, manufacture and dispense medical cannabis.</w:t>
      </w:r>
    </w:p>
    <w:p>
      <w:pPr>
        <w:spacing w:after="0" w:line="18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December 2019, the New Jersey state legislature passed a bill to add an initiative to the November 2020 ballot allowing voters to decide whether to legalize the sale of adult use cannabis in the state. New Jersey voters subsequently approved Question 1 with approximately 67% of the votes, legalizing the cultivation, processing and sale of adult use cannabis in the state. On February 23, 2021, Governor Phil Murphy signed three bills into law that establish an adult use program in New Jersey for adults who are at least 21 years old. On February 25, 2021, Gov. Murphy announced his last picks to serve on the Cannabis Regulatory Commission, completing the panel that will undertake the job of regulating the legal marijuana industry and licensing new dispensaries and growers. It is not yet clear when New Jersey’s adult use sales will begin.</w:t>
      </w:r>
    </w:p>
    <w:p>
      <w:pPr>
        <w:spacing w:after="0" w:line="16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November 2020, a New Jersey appellate court ruled that the state Department of Health must reconsider the applications of companies rejected during the 2018 licensing round, which is the licensing round in which our subsidiary was awarded a license. The companies alleged that the scoring was arbitrary. The appellate court remanded the issue back to the Department of Health but did not dictate what the Department of Health is to do.</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There is also a lawsuit pending against the state Department of Health related to a 2019 licensing round that was to expand the state’s medical marijuana program. State regulators requested applications in 2019 for 24 new licenses for vertically integrated and stand-alone businesses, including cultivators and retailers, but a court halted review of those applications after a lawsuit alleged that the system had technical glitches. To date the lawsuit has not been resolved.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Alternative Treatment Centers license. We are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our facilities in New Jersey.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New Jersey Department of Health is responsible for issuing permits and administering the Compassionate Use Medical Marijuana Act to ensure qualifying patients’ access to safe cannabis for medical use in New Jersey.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Alternative Treatment Center permits expire annually on December 31. Strict permit renewal application requirements apply. See Appendix A to this Annual Report for a list of the licenses issued to us with respect to our operations in New Jersey.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Jersey Reporting Requirements</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New Jersey does not have a unified T&amp;T system. All information is forwarded to the medical marijuana program through email. The Alternative Treatment Center collects and submits to the New Jersey Department of Health for each calendar year statistical data on (a) the number of registered qualified patients and registered primary caregivers, (b) the debilitating medical conditions of the qualified patients, (c) patient demographic data,</w:t>
      </w:r>
    </w:p>
    <w:p>
      <w:pPr>
        <w:spacing w:after="0" w:line="2" w:lineRule="exact"/>
        <w:rPr>
          <w:sz w:val="20"/>
          <w:szCs w:val="20"/>
          <w:color w:val="auto"/>
        </w:rPr>
      </w:pPr>
    </w:p>
    <w:p>
      <w:pPr>
        <w:ind w:left="120" w:right="60" w:hanging="4"/>
        <w:spacing w:after="0" w:line="277" w:lineRule="auto"/>
        <w:tabs>
          <w:tab w:leader="none" w:pos="375" w:val="left"/>
        </w:tabs>
        <w:numPr>
          <w:ilvl w:val="0"/>
          <w:numId w:val="4"/>
        </w:numPr>
        <w:rPr>
          <w:rFonts w:ascii="Arial" w:cs="Arial" w:eastAsia="Arial" w:hAnsi="Arial"/>
          <w:sz w:val="17"/>
          <w:szCs w:val="17"/>
          <w:color w:val="auto"/>
        </w:rPr>
      </w:pPr>
      <w:r>
        <w:rPr>
          <w:rFonts w:ascii="Arial" w:cs="Arial" w:eastAsia="Arial" w:hAnsi="Arial"/>
          <w:sz w:val="17"/>
          <w:szCs w:val="17"/>
          <w:color w:val="auto"/>
        </w:rPr>
        <w:t>summary of the patient surveys and evaluation of services and (e) other information as the New Jersey Department of Health may require. The Alternative Treatment Center must retain records for at least two years. We also use an in-house computerized seed-to-sale software, which captures the required data points for cultivation, manufacturing and retail as required in the New Jersey marijuana laws and regulations.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New York</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July 2014, the New York Legislature and Governor enacted the Compassionate Care Act to provide a comprehensive, safe and effective medical marijuana program. The Compassionate Care Act provides access to the program for those who suffer from qualifying serious conditions including: cancer, HIV/AIDS, ALS and post-traumatic stress disorder. The program allows ten Registered Organizations to hold vertically-integrated licenses and service qualified patients and caregivers. Each Registered Organization has one cultivation/processing license and four dispensary licenses.</w:t>
      </w:r>
    </w:p>
    <w:p>
      <w:pPr>
        <w:spacing w:after="0" w:line="15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the terms of licenses in the state of New York, licensees are permitted to sell medical marijuana manufactured products that are approved by the New York State Department of Health to any qualified patient who possesses a physician’s recommendation, provided that the patient presents a valid government-issued photo identification and New York State Department of Health -issued Registry Identification Card proving that the patient or designated caregiver meets the statutory conditions to be a qualified patient or designated caregiver. The card contains the recommendation from the physician and the limitation on form or dosage of medical marijuana. In order for a patient or registered caregiver to receive dispensed marijuana, they must be logged into the Prescription Monitoring Program registry. The Prescription Monitoring Program registry is monitored by the New York State Department of Health and contains controlled substance prescription dispensing history and medical marijuana dispensing history to ensure that patients only receive up to the maximum allowable dispensed product from one Registered Organization. Only registered pharmacists can dispense medical marijuana to approved patients and caregivers.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We are licensed to operate one medical marijuana cultivation/manufacturing facility and up to four medical marijuana dispensaries. All licenses are, as of the date hereof, active with the State of New York. The licenses are independently issued for each approved activity for use at our facilities in New York.</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New York State Department of Health is the regulatory agency that oversees the medical marijuana program in New York. New York is a vertically-integrated system; however, the state does allow Registered Organizations to wholesale manufactured products to one another. As such, we have the ability to be vertically-integrated and cultivate, harvest, process, transport, sell and dispense cannabis products. Delivery is allowed from dispensaries to patients, however the delivery plan must be pre-approved by the New York State Department of Health.</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York Reporting Requirements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State of New York has selected BioTrackTHC’s system as the state’s T&amp;T system used to track commercial cannabis activity and seed-to-sale. The BioTrackTHC system must serve as all Registered Organizations’ patient verification system but is optional as Registered Organizations’ tracking system. We currently use BioTrackTHC as our seed-to-sale tracking system, we also integrate our in-house seed-to-sale tracking system with BioTrackTHC.</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Every month the New York State Department of Health requests a dispensing report in Excel format, via email, showing all products dispensed for the month. This is the only report that we are required to submit to the New York State Department of Health. All other data is pulled by the New York State Department of Health directly from our seed-to-sale tracking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Over twenty medical conditions currently are recognized by the state to qualify a patient for a medical marijuana certificate, including cancer, glaucoma, epilepsy and certain terminal and chronic pain conditions. In November 2018, the state issued 12 ‘Level I’ cultivation licenses, which permit up to 25,000 square feet of canopy, and 12 ‘Level II’ cultivation licenses, which permit up to 3,000 square feet of canopy. In June 2018, the state issued 56 dispensary licenses. Subsequently, additional licenses have been granted.</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By rule, the State of Ohio Board of Pharmacy is currently limited to issuing up to 60 dispensary licenses across the state. Under the program rules, the Board will consider, on at least a biennial basis, whether enough medical marijuana dispensaries exist, considering the state population, the number of patients seeking to use medical marijuana and the geographic distribution of dispensary sites.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We are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our facilities in Ohio.</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three following state government agencies are responsible for the operation of Ohio’s Medical Marijuana Control Program: (1) the Ohio Department of Commerce oversees medical marijuana cultivators,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w:t>
      </w:r>
    </w:p>
    <w:p>
      <w:pPr>
        <w:ind w:left="120" w:right="340" w:hanging="4"/>
        <w:spacing w:after="0" w:line="260"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State Medical Board of Ohio certifies physicians to recommend medical marijuana and may add to the list of qualifying conditions for which medical marijuana can be recommended.</w:t>
      </w:r>
    </w:p>
    <w:p>
      <w:pPr>
        <w:spacing w:after="0" w:line="18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Certificates of operation for dispensaries carry two-year terms, while certificates of operation for cultivators and processors must be renewed annually and are subject to strict license renewal application requirements.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medical cultivation licenses permit us to acquire, possess, cultivate, manufacture/process into medical marijuana products, deliver, transfer, have tested, transport, supply or sell marijuana and related supplies to medical marijuana dispensaries. The medical processor license permits us to manufacture and produce medical marijuana products.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dispensary licenses will permit us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Ohio.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Ohio Reporting Requirements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Ohio uses METRC as its seed-to-sale tracking system. Licensees are required to use METRC in Ohio to push data to the state to meet all of the reporting requirements. We integrate our in-house seed-to-sale tracking system with METRC to capture the required data points as required in the Ohio medical marijuana laws and regulations.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Pennsylvania medical marijuana program was signed into law on April 17, 2016 under Act 16 and provided access to state residents with one or more qualifying conditions, including: epilepsy, chronic pain and post-traumatic stress disorder. The state originally awarded only 12 licenses to cultivate/process and 27 licenses to operate retail dispensaries (which entitled holders to up to three medical dispensary locations per retail license). Subsequently, additional licenses have been granted. For example, 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which had the effect of increasing the number of individuals that could qualify for medical marijuana cards.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17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All cultivation/processing establishments and dispensaries must register with Pennsylvania Department of Health. Registration certificates are valid for a period of one year and are subject to strict annual renewal requirements.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medical cultivation/processing licenses permit us to acquire, possess, cultivate, manufacture/process into medical marijuana products and/or medical marijuana-infused products, deliver, transfer, have tested, transport, supply or sell marijuana and related supplies to medical marijuana dispensaries.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retail dispensary licenses permit the Company to purchase marijuana and marijuana products from cultivation/processing facilities, as well as allow the sale of marijuana and marijuana products.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Appendix A to this Annual Report for a list of the licenses issued to us with respect to our operations in Pennsylvania.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Pennsylvania Reporting Requirements</w:t>
      </w:r>
    </w:p>
    <w:p>
      <w:pPr>
        <w:spacing w:after="0" w:line="117"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Pennsylvania uses MJ Freeway as the state’s computerized T&amp;T system for seed-to-sale reporting. Individual licensees are required to use MJ Freeway to push data to the state to meet all reporting requirements. We use MJ Freeway as our in-house computerized seed-to-sale software, which integrates with the state’s MJ Freeway program and captures the required data points for cultivation, manufacturing and retail as required in the Pennsylvania medical marijuana laws and regulations.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License Renewal Requirements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We are in compliance with applicable cannabis licensing requirements and the regulatory framework enacted by each state in which it operates. We are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in place a detailed compliance program and an internal legal and compliance department and are building out our operational compliance team across all states in which we operate. We also have external state and local regulatory/compliance counsel engaged in every jurisdiction in which we operate.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training for all employees, including on the following topics:</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emphasize security and inventory control to ensure strict monitoring of cannabis and inventory, from delivery by a licensed distributor to sale or disposal. Only authorized, properly trained employees are allowed to access the Company’s computerized seed-to-sale system.</w:t>
      </w:r>
    </w:p>
    <w:p>
      <w:pPr>
        <w:spacing w:after="0" w:line="146"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monitor all compliance notifications from the regulators and inspectors in each market and timely resolve any issues identified. We keep records of all compliance notifications received from the state regulators or inspectors, as well as how and when an issue was resolved. Moreover, we monitor news sources for information regarding developments at the state and federal level relating to the regulation and criminalization of cannabis.</w:t>
      </w:r>
    </w:p>
    <w:p>
      <w:pPr>
        <w:spacing w:after="0" w:line="149"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ensures that our operations are compliant with the rules set forth by the applicable state and local laws, regulations, ordinances, licenses and other requirements. We ensure adherence to standard operating procedures by regularly conducting internal inspections and ensure that any issues identified are resolved quickly and thoroughly.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outlining certain priorities for the Department of Justice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Department of Justice did not provide (and has not provided since) specific guidelines for what regulatory and enforcement systems would be deemed sufficient under the Cole Memorandum. In light of limited investigative and prosecutorial resources, the Cole Memorandum concluded that the Department of Justice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82"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On January 4, 2018, former U.S. Attorney General Jeff Sessions issued a new memorandum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The Company is not aware of any prosecutions of investment companies doing routine business with licensed marijuana related businesses in light of the new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Department of Justice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Federal prosecutors appear to continue to use the Cole Memorandum’s priorities as an enforcement guide. Merrick Garland, who became Attorney General on March 10, 2021 has indicated that he would deprioritize enforcement of low-level cannabis crimes such as possession, and has shared his view that the government should focus on large-scale criminal enterprises that circumvent state legalization laws instead of going after people who abide by local cannabis policies. The Company believes it is too soon to determine what prosecutorial effects will be created by the rescission of the Cole Memorandum or any replacement thereof and when or if the Sessions Memorandum will be rescinded. President Joseph R. Biden, who assumed office in January 2021, has not yet indicated whether and when he will decriminalize or legalize cannabis and has previously stated that he is opposed to legalization. 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It is also possible that the change of Congressional leadership in January 2021 could change the priorities of Congress and encourage reconciliation of federal and state laws.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June 7, 2018, the STATES Act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Controlled Substances Act, as applied to marijuana, “</w:t>
      </w:r>
      <w:r>
        <w:rPr>
          <w:rFonts w:ascii="Arial" w:cs="Arial" w:eastAsia="Arial" w:hAnsi="Arial"/>
          <w:sz w:val="16"/>
          <w:szCs w:val="16"/>
          <w:i w:val="1"/>
          <w:iCs w:val="1"/>
          <w:color w:val="auto"/>
        </w:rPr>
        <w:t>shall not apply to any person acting in</w:t>
      </w:r>
      <w:r>
        <w:rPr>
          <w:rFonts w:ascii="Arial" w:cs="Arial" w:eastAsia="Arial" w:hAnsi="Arial"/>
          <w:sz w:val="16"/>
          <w:szCs w:val="16"/>
          <w:color w:val="auto"/>
        </w:rPr>
        <w:t xml:space="preserve"> </w:t>
      </w:r>
      <w:r>
        <w:rPr>
          <w:rFonts w:ascii="Arial" w:cs="Arial" w:eastAsia="Arial" w:hAnsi="Arial"/>
          <w:sz w:val="16"/>
          <w:szCs w:val="16"/>
          <w:i w:val="1"/>
          <w:iCs w:val="1"/>
          <w:color w:val="auto"/>
        </w:rPr>
        <w:t>compliance with state law relating to the manufacture, production, possession, distribution, dispensation, administration, or delivery of marijuana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Even though marijuana will remain within Schedule I of the Controlled Substances Act under the STATES Act, the bill makes the Controlled Substances Act unenforceable to the extent it conflicts with state law. In essence, the bill extends the limitations afforded by the protection within the federal budget —which prevents the Department of Justice and the Drug Enforcement Agency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6"/>
          <w:szCs w:val="16"/>
          <w:i w:val="1"/>
          <w:iCs w:val="1"/>
          <w:color w:val="auto"/>
        </w:rPr>
        <w:t>the powers not delegated to the United States by the Constitution, nor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prohibited by it to the States, are reserved to the States respectively, or to the people.” </w:t>
      </w:r>
      <w:r>
        <w:rPr>
          <w:rFonts w:ascii="Arial" w:cs="Arial" w:eastAsia="Arial" w:hAnsi="Arial"/>
          <w:sz w:val="16"/>
          <w:szCs w:val="16"/>
          <w:color w:val="auto"/>
        </w:rPr>
        <w:t>Under the STATES Act companies operating legal cannabis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would no longer be considered “trafficking” under the Controlled Substances Act,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6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renewed as part of a stopgap spending bill, in effect through November 21, 2019, and was then renewed through a series of stopgap spending bills passed in 2020. On December 27, 2020, the amendment was renewed through the signing of the fiscal year 2021 omnibus spending bill, effective through September 30, 2021. Despite the rescission of the Cole Memorandum, the Department of Justice appears to continue to adhere to the enforcement priorities set forth in the Cole Memorandum. Accordingly, as an industry best practice, the Company continues to employ the following policies to ensure compliance with the guidance provided by the Cole Memorandum:</w:t>
      </w:r>
    </w:p>
    <w:p>
      <w:pPr>
        <w:spacing w:after="0" w:line="92" w:lineRule="exact"/>
        <w:rPr>
          <w:sz w:val="20"/>
          <w:szCs w:val="20"/>
          <w:color w:val="auto"/>
        </w:rPr>
      </w:pPr>
    </w:p>
    <w:p>
      <w:pPr>
        <w:ind w:left="1080" w:right="2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operations and our subsidiaries’ operations are compliant with all licensing requirements as established by the applicable state, county, municipality, town, township, borough and other political/administrative divisions; to this end, we retain appropriately experienced legal counsel to conduct the necessary due diligence to ensure compliance of such operations with all applicable state and local laws;</w:t>
      </w:r>
    </w:p>
    <w:p>
      <w:pPr>
        <w:spacing w:after="0" w:line="54" w:lineRule="exact"/>
        <w:rPr>
          <w:rFonts w:ascii="Arial" w:cs="Arial" w:eastAsia="Arial" w:hAnsi="Arial"/>
          <w:sz w:val="16"/>
          <w:szCs w:val="16"/>
          <w:color w:val="auto"/>
        </w:rPr>
      </w:pPr>
    </w:p>
    <w:p>
      <w:pPr>
        <w:ind w:left="1080" w:right="16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only work through licensed operators, which must pass a range of requirements, adhere to strict business practice standards and be subject to strict regulatory oversight to ensure that no revenue is distributed to criminal enterprises, gangs or cartels;</w:t>
      </w:r>
    </w:p>
    <w:p>
      <w:pPr>
        <w:spacing w:after="0" w:line="51"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9"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state-authorized cannabis business activity is not used as a cover or pretense for trafficking of other illegal drugs, and we are not engaged in any other illegal activity or any activities that are contrary to any applicable anti-money laundering statutes; and</w:t>
      </w:r>
    </w:p>
    <w:p>
      <w:pPr>
        <w:spacing w:after="0" w:line="29" w:lineRule="exact"/>
        <w:rPr>
          <w:rFonts w:ascii="Arial" w:cs="Arial" w:eastAsia="Arial" w:hAnsi="Arial"/>
          <w:sz w:val="16"/>
          <w:szCs w:val="16"/>
          <w:color w:val="auto"/>
        </w:rPr>
      </w:pPr>
    </w:p>
    <w:p>
      <w:pPr>
        <w:ind w:left="1080" w:right="3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conduct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Cole Memorandum and the Rohrabacher-Blumenauer Amendment gave licensed cannabis operators (particularly medical cannabis operators) and investors in states with legal regimes greater certainty regarding the Department of Justice’s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Attorney General Merrick Garland, who assumed office on March 10, 2021, has indicated that he would deprioritize enforcement of low-level cannabis crimes such as possession, and has shared his view that the government should focus on large-scale criminal enterprises that circumvent state legalization laws instead of going after people who abide by local cannabis policies. Vice President Kamala Harris is the lead sponsor of the Marijuana Opportunity,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Reinvestment, and Expungement (MORE) Act, which seeks to end the federal prohibition of marijuana, among other things, but in March 2020, it was reported that Vice President Harris has adopted the same position as President Joseph R. Biden, who opposes legalization. Currently,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17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Due to the present state of the laws and regulations governing financial institutions in the U.S., banks often refuse to provide banking services to businesses involved in the marijuana industry and U.S. multistate operators are currently not permitted to list securities on the U.S. exchanges. Consequently, it may be difficult for us to obtain financing from large U.S. financial institutions.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historically, and continue to have, access to equity and debt financing from non-public (i.e., private placement) markets and state-chartered financial institutions. Our executive team and Board have extensive relationships with sources of capital (such as funds and high net worth individuals).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our working capital, we continue to generate adequate cash to fund our operations from capital raising transactions, including:</w:t>
      </w:r>
    </w:p>
    <w:p>
      <w:pPr>
        <w:spacing w:after="0" w:line="154"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$39.6 million sale and lease back transaction with IIP for the Danville, Pennsylvania facility in November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$32.2 million sale and leaseback transaction with IIP for the Toledo, Ohio facility in January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$50.0 million sale and lease back transaction with IIP for the Oglesby, Illinois facility in March 2020;</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approximately 4.7 million of our subordinate voting shares for approximately $156 million pursuant to our Registration Statement on Form S-1 that was declared effective by the SEC as of February 8, 2021.</w:t>
      </w:r>
    </w:p>
    <w:p>
      <w:pPr>
        <w:spacing w:after="0" w:line="170" w:lineRule="exact"/>
        <w:rPr>
          <w:sz w:val="20"/>
          <w:szCs w:val="20"/>
          <w:color w:val="auto"/>
        </w:rPr>
      </w:pPr>
    </w:p>
    <w:p>
      <w:pPr>
        <w:jc w:val="both"/>
        <w:ind w:left="120" w:right="620" w:firstLine="440"/>
        <w:spacing w:after="0" w:line="342" w:lineRule="auto"/>
        <w:rPr>
          <w:sz w:val="20"/>
          <w:szCs w:val="20"/>
          <w:color w:val="auto"/>
        </w:rPr>
      </w:pPr>
      <w:r>
        <w:rPr>
          <w:rFonts w:ascii="Arial" w:cs="Arial" w:eastAsia="Arial" w:hAnsi="Arial"/>
          <w:sz w:val="16"/>
          <w:szCs w:val="16"/>
          <w:color w:val="auto"/>
        </w:rPr>
        <w:t>Our business plan continues to include aggressive growth, both in the form of additional acquisitions and through facility expansion and improvements. Accordingly, we expect to raise additional capital, both in the form of debt and new equity offerings during the next few years.</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320" w:top="459" w:right="5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there can be no assurance that additional financing will be available to us when needed or on terms which are acceptable.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FinCEN issued the FinCEN Memorandum on February 14, 2014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 These cannabis-related Suspicious Activity Reports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However, the FinCEN Memorandum does not provide any safe harbors or legal defenses from examination or regulatory or criminal enforcement actions by the Department of Justice, FinCEN or other federal regulators or for banks and other financial institutions.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and/or card networks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regulations under the Bank Secrecy Act, as amended by Title III of the Uniting and Strengthening America by Providing Appropriate Tools Required to Intercept and Obstruct Terrorism Act of 2001 (the “</w:t>
      </w:r>
      <w:r>
        <w:rPr>
          <w:rFonts w:ascii="Arial" w:cs="Arial" w:eastAsia="Arial" w:hAnsi="Arial"/>
          <w:sz w:val="17"/>
          <w:szCs w:val="17"/>
          <w:b w:val="1"/>
          <w:bCs w:val="1"/>
          <w:color w:val="auto"/>
        </w:rPr>
        <w:t>USA Patriot Act</w:t>
      </w:r>
      <w:r>
        <w:rPr>
          <w:rFonts w:ascii="Arial" w:cs="Arial" w:eastAsia="Arial" w:hAnsi="Arial"/>
          <w:sz w:val="17"/>
          <w:szCs w:val="17"/>
          <w:color w:val="auto"/>
        </w:rPr>
        <w:t>”), discourage financial institutions from working with any organization that sells a controlled substance, regardless of whether the state it operates in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8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Federally-chartered banks and other depository institutions are currently hindered by federal law from providing financial services to marijuana businesses, even in states where those businesses are regulated. On March 7, 2019, Democratic representative Ed Perlmutter of Colorado introduced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business activities rely on newly established and/or developing laws and regulations in the states in which it operates.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www.gtigrows.com</w:t>
      </w:r>
      <w:r>
        <w:rPr>
          <w:rFonts w:ascii="Arial" w:cs="Arial" w:eastAsia="Arial" w:hAnsi="Arial"/>
          <w:sz w:val="16"/>
          <w:szCs w:val="16"/>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document.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Form 10-K and our other filings with the SEC, before making a decision to invest in our Subordinate Voting Shares. These risks include, among others, the following:</w:t>
      </w:r>
    </w:p>
    <w:p>
      <w:pPr>
        <w:spacing w:after="0" w:line="93"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Cannabis remains illegal under federal law, and enforcement of cannabis laws could 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action by the U.S. federal government.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regulation of cannabis is uncertain.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heightened scrutiny by Canadian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limitations on ownership of cannabis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become subject to Food and Drug Administration or Bureau of Alcohol, Tobacco, Firearms and Explosives regulation.</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Cannabis businesses are subject to applicable anti-money laundering laws and regulations and have restricted access to banking and other financial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difficulties acquiring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lack access to U.S. bankruptcy protections.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regulated sector and may not always succeed in complying fully with applicable regulatory requirements in all jurisdictions where we carry on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difficulties in enforcing our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limited trademark protection.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Cannabis businesses are subject to unfavorable U.S. tax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Cannabis businesses may be subject to civil asset forfeiture.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proceeds of crime statutes.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exposure to fraudulent or illegal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use of joint ventures, strategic partnerships and alliances may expose us to risks associated with jointly owned investments.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due to industry immaturity or limited comparable, competitive or established industry best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risks related to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dependent on the popularity of consumer acceptance of our brand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subject to the risks inherent in agricultural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adversely impacted by rising or volatile energy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an inherent risk of product liability and similar claims.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may be subject to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face unfavorable publicity or consumer perception.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voting control is concentrated.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capital structure and voting control may cause unpredictability.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substantial amounts of Subordinate Voting Shares by our existing shareholders in the public market may have an adverse effect on the market price of the Subordinate Voting Shares.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governed by the corporate laws in British Columbia, Canada which in some cases have a different effect on shareholders than the corporate laws in Delaware, United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remains illegal under federal law, and enforcement of cannabis laws could change.</w:t>
      </w:r>
    </w:p>
    <w:p>
      <w:pPr>
        <w:spacing w:after="0" w:line="11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Cannabis is illegal under U.S. federal law</w:t>
      </w:r>
      <w:r>
        <w:rPr>
          <w:rFonts w:ascii="Arial" w:cs="Arial" w:eastAsia="Arial" w:hAnsi="Arial"/>
          <w:sz w:val="18"/>
          <w:szCs w:val="18"/>
          <w:color w:val="auto"/>
        </w:rPr>
        <w:t>. In those states in which the use of cannabis has been legalized, its use remains a violation of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law pursuant to the Controlled Substances Act (21 U.S.C. § 811). The Controlled Substances Act classifies cannabis as a Schedule I controlled substance, and as such, medical and adult use cannabis use is illegal under U.S. federal law. Unless and until Congress amends the Controller Substances Act with respect to cannabis (and the President approves such amendment), there is a risk that federal authorities may enforce current federal law. If that occurs, we may be deemed to be producing, cultivating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dispensing cannabis and drug paraphernalia in violation of federal law. Since federal law criminalizing the use of cannabis pre-empts state laws that legalize its use, </w:t>
      </w:r>
      <w:r>
        <w:rPr>
          <w:rFonts w:ascii="Arial" w:cs="Arial" w:eastAsia="Arial" w:hAnsi="Arial"/>
          <w:sz w:val="18"/>
          <w:szCs w:val="18"/>
          <w:b w:val="1"/>
          <w:bCs w:val="1"/>
          <w:color w:val="auto"/>
        </w:rPr>
        <w:t>enforcement of federal law regarding cannabis is a significant risk</w:t>
      </w:r>
      <w:r>
        <w:rPr>
          <w:rFonts w:ascii="Arial" w:cs="Arial" w:eastAsia="Arial" w:hAnsi="Arial"/>
          <w:sz w:val="18"/>
          <w:szCs w:val="18"/>
          <w:color w:val="auto"/>
        </w:rPr>
        <w:t xml:space="preserve"> and would greatly harm our business, prospects, revenue, results of operation and financial condition.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activities are, and will continue to be, subject to evolving regulation by governmental authorities. We are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of December 31, 2020, and despite the clear conflict with U.S. federal law, 35 states, plus the District of Columbia (and the territories of Guam, Puerto Rico, the U.S. Virgin Islands and the Northern Mariana Islands) have legalized cannabis for medical use, while 15 of those states and the District of Columbia have legalized adult use of cannabis for recreational purposes. In November 2020, voters in Arizona, Montana, New Jersey and South Dakota voted by referendum to legalize cannabis for adult use, and voters in Mississippi and South Dakota voted to legalized cannabis for Medical use, and in February 2021, the Virginia legislature approved a bill that would legalize cannabis for adult use beginning in 2024. The Virginia bill is awaiting signature by the governor, and if signed, Virginia will be the first southern state to legalize cannabis for adult use. Also in February 2021, New Jersey Governor Phil Murphy signed three bills into law that legalize cannabis for adult use.</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activities in the medical and adult use cannabis industry may be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its reputation, profitability and the market price of its publicly traded shares, and could result in the forfeiture or seizure of all or substantially all of our assets.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which outlined certain priorities for the Department of Justice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Department of Justice. However, the Department of Justice did not provide (and has not provided since) specific guidelines for what regulatory and enforcement systems would be deemed sufficient under the Cole Memorandum.</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4, 2018, former U.S. Attorney General Jeff Sessions formally issued a memorandum, which we refer to as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President Biden has nominated Merrick Garland to serve as Attorney General in his administration. It is not yet known whether the Department of Justice under President Biden and Attorney General Garland will re-adopt the Cole Memorandum or announce a substantive cannabis enforcement policy, although, Mr. Garland has indicated he would deprioritize enforcement of low-level cannabis crimes such as possession. 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former President Trump in February 2019. In signing the Rohrabacher-Blumenauer Amendment, former President Trump issued a signing statement noting that the Rohrabacher-Blumenauer Amendment “provides that the Department of Justice may not use any funds to prevent implementation of medical cannabis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renewed as part of a stopgap spending bill, in effect through November 21, 2019. On December 27, 2020, the amendment was renewed through the signing of the fiscal year 2021 omnibus spending bill, effective through September 30, 2021.</w:t>
      </w:r>
    </w:p>
    <w:p>
      <w:pPr>
        <w:spacing w:after="0" w:line="17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us or third parties and divert the attention of key executives. Such proceedings could also have a material adverse effect on our business, prospects, revenue, results of operation and financial condition, as well our reputation, even if such proceedings were concluded successfully in our favor. Further, there is no guarantee that draft legislation such as the Strengthening the Tenth Amendment Through Entrusting States Act (S. Bill 3032), which we refer to as the STATES Act will become law in its current form.</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Since the cultivation, processing, production, distribution and sale of cannabis for any purpose, medical, adult use or otherwise, remain illegal under U.S. federal law, it is possible that we may be forced to cease activities. The U.S. federal government, through, among others, the Department of Justice, its sub-agency the Drug Enforcement Administration and the U.S. Internal Revenue Service, has the right to actively investigate, audit and shut down cannabis growing facilities, processors and retailers. The U.S. federal government may also attempt to seize the property of the Company. Any action taken by the Department of Justice, the Drug Enforcement Administration and/or the Internal Revenue Service to interfere with, seize or shut down our operations will have an adverse effect on our business, prospects, revenue, results of operation and financial condition.</w:t>
      </w:r>
    </w:p>
    <w:p>
      <w:pPr>
        <w:spacing w:after="0" w:line="16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Since federal law criminalizing the use of cannabis pre-empts state laws that legalize its use, the federal government can assert criminal violations of federal law despite state laws permitting the use of cannabis. While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it does not appear that federal law enforcement and regulatory agencies are focusing resources on licensed cannabis related businesses that are operating in compliance with state law, the stated position of the current administration is hostile to legal cannabis. As the recession of the Cole Memorandum and the implementation of the Sessions Memorandum demonstrate, the Department of Justice may at any time issue additional guidance that directs federal prosecutors to devote more resources to prosecuting cannabis related businesses. In the event that the Department of Justice under U.S. Attorney General Garland aggressively pursues financiers or equity owners of cannabis-related businesses, and U.S. Attorneys follow the Department of Justice policies through pursuing prosecutions, then we could face:</w:t>
      </w:r>
    </w:p>
    <w:p>
      <w:pPr>
        <w:spacing w:after="0" w:line="8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 and</w:t>
      </w:r>
    </w:p>
    <w:p>
      <w:pPr>
        <w:spacing w:after="0" w:line="130"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Because the Cole Memorandum was rescinded, the Department of Justice or an aggressive federal prosecutor could allege that Green Thumb Industries Inc., and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Additionally, there can be no assurance as to the position the Biden administration or any future administration may take on cannabis, and a new administration could decide to enforce the federal laws strongly. Any enforcement of current federal cannabis laws could cause significant financial damage to us and our shareholders. Further, future presidential administrations may choose to treat cannabis differently and potentially enforce the federal laws more aggressively.</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securities on various stock exchanges, our financial position, operating results, profitability or liquidity or the market price of its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Federal actions against any individual or entity engaged in the cannabis industry or a substantial repeal of cannabis related legislation could adversely affect the Company, its business and its assets or investments.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regulatory approvals can be costly and time-consuming. No assurance can be given that the Company will receive the requisite licenses, permits or cards to continue operating its businesses.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currently operates in California, Colorado, Connecticut, Florida, Illinois, Maryland, Massachusetts, Nevada, New Jersey, New York, Ohio and Pennsylvania and intends to operate in other states as deemed appropriate by management.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State regulatory agencies may require the Company to post bonds or significant fees.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Company is not able to quantify at this time the potential scope of such bonds or fees in the states in which it currently operates or may in the future operate. Any bonds or fees of material amounts could have a negative impact on the ultimate success of the Company’s business.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Currently, the Company is traded on the CSE and on over-the-counter markets in the United States. The business, operations and investments of the Company in the United States, and any future business, operations or investments, may become the subject of heightened scrutiny by regulators, stock exchanges and other authorities in Canada and the United States. As a result, the Company may be subject to significant direct and indirect interaction with public officials.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6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t>
      </w:r>
      <w:r>
        <w:rPr>
          <w:rFonts w:ascii="Arial" w:cs="Arial" w:eastAsia="Arial" w:hAnsi="Arial"/>
          <w:sz w:val="16"/>
          <w:szCs w:val="16"/>
          <w:b w:val="1"/>
          <w:bCs w:val="1"/>
          <w:color w:val="auto"/>
        </w:rPr>
        <w:t>CDS</w:t>
      </w:r>
      <w:r>
        <w:rPr>
          <w:rFonts w:ascii="Arial" w:cs="Arial" w:eastAsia="Arial" w:hAnsi="Arial"/>
          <w:sz w:val="16"/>
          <w:szCs w:val="16"/>
          <w:color w:val="auto"/>
        </w:rPr>
        <w:t>”),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t>
      </w:r>
      <w:r>
        <w:rPr>
          <w:rFonts w:ascii="Arial" w:cs="Arial" w:eastAsia="Arial" w:hAnsi="Arial"/>
          <w:sz w:val="16"/>
          <w:szCs w:val="16"/>
          <w:b w:val="1"/>
          <w:bCs w:val="1"/>
          <w:color w:val="auto"/>
        </w:rPr>
        <w:t>MOU</w:t>
      </w:r>
      <w:r>
        <w:rPr>
          <w:rFonts w:ascii="Arial" w:cs="Arial" w:eastAsia="Arial" w:hAnsi="Arial"/>
          <w:sz w:val="16"/>
          <w:szCs w:val="16"/>
          <w:color w:val="auto"/>
        </w:rPr>
        <w:t>”) with Aequitas NEO Exchange Inc., the CSE, the Toronto Stock Exchange and the TSX Venture Exchange (“</w:t>
      </w:r>
      <w:r>
        <w:rPr>
          <w:rFonts w:ascii="Arial" w:cs="Arial" w:eastAsia="Arial" w:hAnsi="Arial"/>
          <w:sz w:val="16"/>
          <w:szCs w:val="16"/>
          <w:b w:val="1"/>
          <w:bCs w:val="1"/>
          <w:color w:val="auto"/>
        </w:rPr>
        <w:t>TSXV</w:t>
      </w:r>
      <w:r>
        <w:rPr>
          <w:rFonts w:ascii="Arial" w:cs="Arial" w:eastAsia="Arial" w:hAnsi="Arial"/>
          <w:sz w:val="16"/>
          <w:szCs w:val="16"/>
          <w:color w:val="auto"/>
        </w:rPr>
        <w:t>”).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 The Company employs joint ventures from time to time to ensure continued compliance with the applicable regulatory guidelines. Currently, the Company has joint ventures with third parties in Connecticut and Illinois. The Company structures its joint ventures on a case-by-case basis but generally maintains operational control over the joint venture business and a variable economic interest through the applicable governing documents.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become subject to Food and Drug Administration or Bureau of Alcohol, Tobacco, Firearms and Explosives regulation.</w:t>
      </w:r>
    </w:p>
    <w:p>
      <w:pPr>
        <w:spacing w:after="0" w:line="1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FDA, it may have an adverse effect on the Company’s business, prospects, revenue, results of operation and financial condition.</w:t>
      </w:r>
    </w:p>
    <w:p>
      <w:pPr>
        <w:spacing w:after="0" w:line="178" w:lineRule="exact"/>
        <w:rPr>
          <w:sz w:val="20"/>
          <w:szCs w:val="20"/>
          <w:color w:val="auto"/>
        </w:rPr>
      </w:pPr>
    </w:p>
    <w:p>
      <w:pPr>
        <w:ind w:left="120" w:right="680" w:firstLine="440"/>
        <w:spacing w:after="0" w:line="263"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w:t>
      </w:r>
    </w:p>
    <w:p>
      <w:pPr>
        <w:ind w:left="120" w:right="20" w:hanging="4"/>
        <w:spacing w:after="0" w:line="295" w:lineRule="auto"/>
        <w:tabs>
          <w:tab w:leader="none" w:pos="3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Although the FinCEN Memorandum remains intact, it is unclear whether the Biden administration will continue to follow its guidelines, or what may happen under future administrations. 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92"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8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cannabis businesses, even in states where those businesses are regulated. On March 7,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Democratic representative Ed Perlmutter of Colorado introduced house bill H.R. 1595, known as the Secure and Fair Enforcement (SAFE) Banking Act of 2019 (H.R. 1595), which we refer to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acquiring additional financing.</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its growth and may have a material adverse effect upon the Company’s business, prospects, revenue, results of operation and financial condition.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25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While we endeavor to comply with all relevant laws, regulations and guidelines and, to our knowledge,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difficulties in enforcing its contracts.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Because our contracts involve cannabis and other activities that are not legal under federal law and in some state jurisdictions, we may face difficulties in enforcing its contracts in federal courts and certain state courts. We cannot be assured that it will have a remedy for breach of contract, which could have a material adverse effect on 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have limited trademark protection.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will not be able to register any federal trademarks for its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its cannabis product trademarks beyond the geographic areas in which it conducts business. The use of our trademarks outside the states in which it operates by one or more other persons could have a material adverse effect on the value of such trademarks.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8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taxation in Canada and the United States.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“Code”) and are subject to U.S. federal income tax on our worldwide income. As a result, we are subject to taxation both in Canada and the United States, which could have a material adverse effect on our financial condition and results of operations.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Dividends received by U.S. shareholders will not be subject to U.S. withholding tax but will be subject to Canadian withholding tax. Dividends paid by us will be characterized as U.S. source income for purposes of the foreign tax credit rules under the Code.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are subject to unfavorable tax treatment.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Section 280E of the IRC,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cultivation and processing equipment or cash could have a material adverse impact on our business, prospects, revenue, results of operation and financial condition.</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its bank, there is a risk of theft or robbery during the transport of cash. Our transport, distribution and delivery of finished cannabis goods inventory, including but not limited to wholesale delivery of finished products to retail customers and deliver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exposure to fraudulent or illegal activity.</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are a holding company and essentially all of our assets are the capital stock of our subsidiaries in our 12 markets, including California, Colorado, Connecticut, Florida, Illinois, Maryland, Massachusetts, Nevada, New Jersey, New York, Ohio and Pennsylvania. As a result, investors in the Company are subject to the risks attributable to its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9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Additionally, we may issue additional Subordinate Voting Shares in connection with such transactions, which would dilute a shareholder’s holdings in the Company.</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invest in companies which may not be able to meet anticipated development targets or be successful in the future.</w:t>
      </w:r>
    </w:p>
    <w:p>
      <w:pPr>
        <w:spacing w:after="0" w:line="1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28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3"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 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products.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the popularity of consumer acceptance of our brand portfolio.</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Company’s business is subject to the risks inherent in agricultural operations.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 may be adversely impacted by rising or volatile energy costs.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Company’s cannabis growing operations consume considerable energy, which makes it vulnerable to rising energy costs. Accordingly, rising or volatile energy costs may adversely affect the business of the Company and its ability to operate profitably.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 may encounter unknown environmental risks.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There can be no assurance that the Company will not encounter hazardous conditions, such as asbestos or lead, at the sites of the real estate used to operate its businesses, which may delay the development of its businesses.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and theft. Our operations also depend on the timely maintenance and replacement of network equipment, IT systems and software, as well as pre-emptive expenses to mitigate associated risks. Given the nature of our products and the lack of legal availability outside of channels approved by the federal government, as well as the concentration of inventory in our facilities, there remains a risk of shrinkages, as well as theft. If there was a breach in security and we fell victim to theft or robbery, the loss of cannabis plants, cannabis oils, cannabis flowers and cultivations and processing equipment, or if there was a failure in information systems, it could adversely affect the our reputation and business continuity.</w:t>
      </w:r>
    </w:p>
    <w:p>
      <w:pPr>
        <w:spacing w:after="0" w:line="17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Any such theft or privacy breach would have a material adverse effect on our business, prospects, revenue, results of operation and financial condition.</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(which became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California Consumer Privacy Act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 We aim to provide our vendor base with annual projections so that our vendors can better ensure a steady supply of raw materials and packaging. We check in with our vendors at least once quarterly to update them to relevant real time changes in our annual plan. For most important raw materials and packaging, we aim to have both a primary vendor supplier and a secondary vendor supplier to ensure redundancy. Further, due to the uncertain regulatory landscape for regulating cannabis in the U.S., our third party suppliers, manufacturers and contractors may elect, at any time, to decline or withdraw services necessary for ours operations. There is also a risk that a regulatory body could impose certain restrictions on such third party’s ability to operate in the United States. Any significant interruption or negative change in our business relations with such third parties could materially impact our business, financial condition, results of operations or prospects.</w:t>
      </w:r>
    </w:p>
    <w:p>
      <w:pPr>
        <w:spacing w:after="0" w:line="17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r>
        <w:rPr>
          <w:rFonts w:ascii="Arial" w:cs="Arial" w:eastAsia="Arial" w:hAnsi="Arial"/>
          <w:sz w:val="18"/>
          <w:szCs w:val="18"/>
          <w:b w:val="1"/>
          <w:bCs w:val="1"/>
          <w:i w:val="1"/>
          <w:iCs w:val="1"/>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will fail.</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affected.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result of recent and ongoing regulatory and policy changes in the medical and adult use cannabis industries and unreliable levels of market supply, the market data available is limited and unreliable. We must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or other factors could have a material adverse effect on our business, results of operations and financial condition.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an inherent risk of product liability claims.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8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6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significant liability to third parties, require us to seek licenses from third parties, require us to pay ongoing royalties or subject us to injunctions that may prohibit the development and operation of our applications.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Management believes the medical and adult 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4"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the Coronavirus Disease 2019, which we refer to as COVID-19. Adverse findings, regulatory investigations, litigation, media attention and other publicity regarding the consumption of vape or other inhaled products, including adverse publicity regarding underage use of vape or other inhaled products, may adversely affect the Company.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 decline in the price of the Subordinate Voting Shares could affect our ability to raise further working capital and adversely impact our ability to continue operations.</w:t>
      </w:r>
    </w:p>
    <w:p>
      <w:pPr>
        <w:spacing w:after="0" w:line="170"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 prolonged decline in the price of the Subordinate Voting Shares could result in a reduction in the liquidity of the Subordinate Voting Shares and a reduction in our ability to raise capital. Because a significant portion of our operations have been and will be financed through the sale of equity securities, a decline in the price of our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our employees. However, it is possible that certain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general economic risks.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operations could be affected by the economic context should the unemployment level, interest rates or inflation reach levels that influence consumer trends and spending and, consequently, impact our sales and profitability.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financial condition, results of operations and cash flow may be negatively impacted by challenging global economic conditions. For example and as discussed in more detail below, in early 2020, the U.S and other world economies have experienced turmoil due to outbreaks of COVID-19 and its variants, which has resulted in global economic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9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recent outbreak of the COVID-19 illness.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recent outbreak of the COVID-19 illness and its variants, which has been declared by the World Health Organization to be a “pandemic” has spread across the globe and is impacting worldwide economic activity.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priorities during the COVID-19 pandemic are protecting the health and safety of its employees and our customers, following the recommended actions of government and health authorities. In the future, the pandemic may cause reduced demand for our products and services if, for example, the pandemic results in a recessionary economic environment. Our operations are currently ongoing as the cultivation, processing and sale of cannabis products is currently considered an essential business by all states in which we operate with respect to all customers. Our ability to continue to operate without any significant negative operational impact from the COVID-19 pandemic will in part depend on our ability to protect our employees, customers and supply chain, as well as our continued designation as “essential” in states where we do business that currently or in the future impose restrictions on business operations.</w:t>
      </w:r>
    </w:p>
    <w:p>
      <w:pPr>
        <w:spacing w:after="0" w:line="19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While it is not possible at this time to estimate the impact that COVID-19 (or any other actual or potential pandemic) could have on our business,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The COVID-19 outbreak, or any of its variants, and mitigation measures may also have an adverse impact on global economic conditions which could have an adverse effect on our business and financial condition. The extent to which the COVID-19 outbreak impacts our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return on our securities is not guaranteed.</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be affected by currency fluctuations.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a portion of our operating expenses are incurred in Canadian dollars.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voting control is concentrated.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Chief Financial Officer. Subordinate Voting Shares are entitled to one vote per share, Multiple Voting Shares are entitled to 100 votes per share, and Super Voting Shares are entitled to up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a lower trading price for or greater fluctuations in the trading price of our Subordinate Voting Shares, adverse publicity to us or other adverse consequences.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issuances of Super Voting Shares, Multiple Voting Shares or Subordinate Voting Shares may result in dilution.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may issue additional equity or convertible debt securities in the future, which may dilute an existing shareholder’s holdings. Our articles permit the issuance of an unlimited number of Super Voting Shares, Multiple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Voting Shares and Subordinate Voting Shares, and existing shareholders will have no pre-emptive rights in connection with such further issuances. Our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Sales of substantial amounts of Subordinate Voting Shares may have an adverse effect on the market price of the Subordinate Voting Shares.</w:t>
      </w:r>
    </w:p>
    <w:p>
      <w:pPr>
        <w:spacing w:after="0" w:line="15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it desire to do so.</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market price for the Subordinate Voting Shares may be volatile.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its business and operations both domestically and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global financial markets,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320" w:top="459" w:right="5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303"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liquidity risks.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public company in Canada and the United States.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costs of maintaining a public listing.</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common shares will depend upon any future appreciation in their value. There is no guarantee that our common shares will appreciate in value or even maintain the price at which you purchased them.</w:t>
      </w:r>
    </w:p>
    <w:p>
      <w:pPr>
        <w:spacing w:after="0" w:line="296" w:lineRule="exact"/>
        <w:rPr>
          <w:sz w:val="20"/>
          <w:szCs w:val="20"/>
          <w:color w:val="auto"/>
        </w:rPr>
      </w:pPr>
    </w:p>
    <w:p>
      <w:pPr>
        <w:ind w:left="120" w:firstLine="44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JOBS Act, and the Company cannot be certain if the reduced disclosure requirements applicable to emerging growth companies will make the Subordinate Voting Shares less attractive to investors.</w:t>
      </w:r>
    </w:p>
    <w:p>
      <w:pPr>
        <w:spacing w:after="0" w:line="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document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Subordinate Voting Shares held by non-affiliates exceeds $700 million as of June 30, 2021, or if we have total annual gross revenue of $1.07 billion or more during any fiscal year before that time, in which case the Company would no longer be an emerging growth company as of the following December 31. Additionally, if we issue more than $1.0 billion in non-convertible debt during any three-year period before June 30, 2021, we would cease to be an emerging growth company immediately. We cannot predict if investors will find the Subordinate Voting Shares less attractive because we may rely on these exemptions. If some investors find the Subordinate Voting Shares less attractive as a result, there may be a less active trading market for the Subordinate Voting Shares, and the stock price may be more volatile.</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the Company’s principal physical properties.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Corporate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87"/>
              </w:rPr>
              <w:t>Headquarters</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Chicago, IL</w:t>
            </w:r>
          </w:p>
        </w:tc>
        <w:tc>
          <w:tcPr>
            <w:tcW w:w="11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690"/>
              <w:spacing w:after="0"/>
              <w:rPr>
                <w:sz w:val="20"/>
                <w:szCs w:val="20"/>
                <w:color w:val="auto"/>
              </w:rPr>
            </w:pPr>
            <w:r>
              <w:rPr>
                <w:rFonts w:ascii="Arial" w:cs="Arial" w:eastAsia="Arial" w:hAnsi="Arial"/>
                <w:sz w:val="14"/>
                <w:szCs w:val="14"/>
                <w:b w:val="1"/>
                <w:bCs w:val="1"/>
                <w:color w:val="auto"/>
                <w:w w:val="92"/>
              </w:rPr>
              <w:t>Production Properties</w:t>
            </w: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Pr>
          <w:p>
            <w:pPr>
              <w:spacing w:after="0"/>
              <w:rPr>
                <w:sz w:val="12"/>
                <w:szCs w:val="12"/>
                <w:color w:val="auto"/>
              </w:rPr>
            </w:pPr>
          </w:p>
        </w:tc>
        <w:tc>
          <w:tcPr>
            <w:tcW w:w="2140" w:type="dxa"/>
            <w:vAlign w:val="bottom"/>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color w:val="auto"/>
              </w:rPr>
              <w:t>Facility</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80" w:type="dxa"/>
            <w:vAlign w:val="bottom"/>
            <w:gridSpan w:val="2"/>
          </w:tcPr>
          <w:p>
            <w:pPr>
              <w:ind w:left="1200"/>
              <w:spacing w:after="0" w:line="195" w:lineRule="exact"/>
              <w:rPr>
                <w:sz w:val="20"/>
                <w:szCs w:val="20"/>
                <w:color w:val="auto"/>
              </w:rPr>
            </w:pPr>
            <w:r>
              <w:rPr>
                <w:rFonts w:ascii="Arial" w:cs="Arial" w:eastAsia="Arial" w:hAnsi="Arial"/>
                <w:sz w:val="18"/>
                <w:szCs w:val="18"/>
                <w:color w:val="auto"/>
                <w:w w:val="87"/>
              </w:rPr>
              <w:t>West Haven</w:t>
            </w:r>
          </w:p>
        </w:tc>
        <w:tc>
          <w:tcPr>
            <w:tcW w:w="1920" w:type="dxa"/>
            <w:vAlign w:val="bottom"/>
            <w:vMerge w:val="continue"/>
          </w:tcPr>
          <w:p>
            <w:pPr>
              <w:spacing w:after="0"/>
              <w:rPr>
                <w:sz w:val="16"/>
                <w:szCs w:val="16"/>
                <w:color w:val="auto"/>
              </w:rPr>
            </w:pPr>
          </w:p>
        </w:tc>
        <w:tc>
          <w:tcPr>
            <w:tcW w:w="37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1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Homestead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Homestead,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4"/>
              </w:rPr>
              <w:t>Oglesby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Oglesby,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Rock Island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Rock Island,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5"/>
              </w:rPr>
              <w:t>Centreville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Centreville,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6"/>
              </w:rPr>
              <w:t>Holyoke Facility</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7"/>
              </w:rPr>
              <w:t>Holyoke, MA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Carson City Facility</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Carson City,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Las Vegas Facility 1</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Las Vegas Facility 2</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Paterson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6"/>
              </w:rPr>
              <w:t>Paterson, NJ</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Schenectady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Glenville,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Toledo Facility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Toledo,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7"/>
              </w:rPr>
              <w:t>Danville Facility</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3"/>
              </w:rPr>
              <w:t>Danville, PA</w:t>
            </w:r>
          </w:p>
        </w:tc>
        <w:tc>
          <w:tcPr>
            <w:tcW w:w="1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690"/>
              <w:spacing w:after="0"/>
              <w:rPr>
                <w:sz w:val="20"/>
                <w:szCs w:val="20"/>
                <w:color w:val="auto"/>
              </w:rPr>
            </w:pPr>
            <w:r>
              <w:rPr>
                <w:rFonts w:ascii="Arial" w:cs="Arial" w:eastAsia="Arial" w:hAnsi="Arial"/>
                <w:sz w:val="14"/>
                <w:szCs w:val="14"/>
                <w:b w:val="1"/>
                <w:bCs w:val="1"/>
                <w:color w:val="auto"/>
                <w:w w:val="93"/>
              </w:rPr>
              <w:t>Retail Properties</w:t>
            </w: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Pr>
          <w:p>
            <w:pPr>
              <w:spacing w:after="0"/>
              <w:rPr>
                <w:sz w:val="12"/>
                <w:szCs w:val="12"/>
                <w:color w:val="auto"/>
              </w:rPr>
            </w:pPr>
          </w:p>
        </w:tc>
        <w:tc>
          <w:tcPr>
            <w:tcW w:w="2140" w:type="dxa"/>
            <w:vAlign w:val="bottom"/>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ind w:left="1280"/>
              <w:spacing w:after="0"/>
              <w:rPr>
                <w:sz w:val="20"/>
                <w:szCs w:val="20"/>
                <w:color w:val="auto"/>
              </w:rPr>
            </w:pPr>
            <w:r>
              <w:rPr>
                <w:rFonts w:ascii="Arial" w:cs="Arial" w:eastAsia="Arial" w:hAnsi="Arial"/>
                <w:sz w:val="17"/>
                <w:szCs w:val="17"/>
                <w:color w:val="auto"/>
                <w:w w:val="73"/>
              </w:rPr>
              <w:t>Essence</w:t>
            </w: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60" w:type="dxa"/>
            <w:vAlign w:val="bottom"/>
            <w:vMerge w:val="restart"/>
          </w:tcPr>
          <w:p>
            <w:pPr>
              <w:spacing w:after="0"/>
              <w:rPr>
                <w:sz w:val="20"/>
                <w:szCs w:val="20"/>
                <w:color w:val="auto"/>
              </w:rPr>
            </w:pPr>
            <w:r>
              <w:rPr>
                <w:rFonts w:ascii="Arial" w:cs="Arial" w:eastAsia="Arial" w:hAnsi="Arial"/>
                <w:sz w:val="18"/>
                <w:szCs w:val="18"/>
                <w:color w:val="auto"/>
              </w:rPr>
              <w:t>CA</w:t>
            </w: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22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Pasadena</w:t>
            </w:r>
          </w:p>
        </w:tc>
        <w:tc>
          <w:tcPr>
            <w:tcW w:w="2120" w:type="dxa"/>
            <w:vAlign w:val="bottom"/>
            <w:gridSpan w:val="2"/>
          </w:tcPr>
          <w:p>
            <w:pPr>
              <w:ind w:left="1340"/>
              <w:spacing w:after="0" w:line="195" w:lineRule="exact"/>
              <w:rPr>
                <w:sz w:val="20"/>
                <w:szCs w:val="20"/>
                <w:color w:val="auto"/>
              </w:rPr>
            </w:pPr>
            <w:r>
              <w:rPr>
                <w:rFonts w:ascii="Arial" w:cs="Arial" w:eastAsia="Arial" w:hAnsi="Arial"/>
                <w:sz w:val="18"/>
                <w:szCs w:val="18"/>
                <w:color w:val="auto"/>
                <w:w w:val="88"/>
              </w:rPr>
              <w:t>Pasadena,</w:t>
            </w:r>
          </w:p>
        </w:tc>
        <w:tc>
          <w:tcPr>
            <w:tcW w:w="16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Bluepoint Wellness Branford</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Branford, CT</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Bluepoint Wellness Westport</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Westport, CT</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Southern CT Wellness and Healing</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Milford, CT</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Bonita Springs</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Bonita Springs,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Deerfield Beach</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Deerfield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Hallandale Beach</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Hallandale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Rise Kendall</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Miami,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Oviedo</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Oviedo,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8"/>
              </w:rPr>
              <w:t>Rise Pinellas Park</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Pinellas Park,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7"/>
              </w:rPr>
              <w:t>Rise West Palm Beach</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West Palm Beach, FL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88"/>
              </w:rPr>
              <w:t>Rise Canton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Canton,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5"/>
              </w:rPr>
              <w:t>The Clinic Effingham</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6"/>
              </w:rPr>
              <w:t>Effingham,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3C Joliet</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Joliet,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Joliet</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Joliet,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Mundelein</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6"/>
              </w:rPr>
              <w:t>Mundelein,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4"/>
              </w:rPr>
              <w:t>3C Naperville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7"/>
              </w:rPr>
              <w:t>Naperville,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Rise Niles</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8"/>
              </w:rPr>
              <w:t>Niles,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Rise Quincy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6"/>
              </w:rPr>
              <w:t>Quincy, IL</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7"/>
              </w:rPr>
              <w:t>Rise Bethesda</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Bethesda,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6"/>
              </w:rPr>
              <w:t>Rise Joppa</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Joppa,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Rise Silver Spring</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Silver Spring, MD</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Rise Amherst</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6"/>
              </w:rPr>
              <w:t>Amherst, MA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6"/>
              </w:rPr>
              <w:t>Rise Paramus</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6"/>
              </w:rPr>
              <w:t>Paramus, NJ</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6"/>
              </w:rPr>
              <w:t>Rise Paterson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6"/>
              </w:rPr>
              <w:t>Paterson, NJ</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Rise Carson City</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Carson City,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86"/>
              </w:rPr>
              <w:t>Essence Henderson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Henderson,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jc w:val="center"/>
              <w:ind w:right="50"/>
              <w:spacing w:after="0"/>
              <w:rPr>
                <w:sz w:val="20"/>
                <w:szCs w:val="20"/>
                <w:color w:val="auto"/>
              </w:rPr>
            </w:pPr>
            <w:r>
              <w:rPr>
                <w:rFonts w:ascii="Arial" w:cs="Arial" w:eastAsia="Arial" w:hAnsi="Arial"/>
                <w:sz w:val="18"/>
                <w:szCs w:val="18"/>
                <w:color w:val="auto"/>
                <w:w w:val="88"/>
              </w:rPr>
              <w:t>Essence Durango</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gridSpan w:val="2"/>
          </w:tcPr>
          <w:p>
            <w:pPr>
              <w:jc w:val="center"/>
              <w:ind w:left="811"/>
              <w:spacing w:after="0"/>
              <w:rPr>
                <w:sz w:val="20"/>
                <w:szCs w:val="20"/>
                <w:color w:val="auto"/>
              </w:rPr>
            </w:pPr>
            <w:r>
              <w:rPr>
                <w:rFonts w:ascii="Arial" w:cs="Arial" w:eastAsia="Arial" w:hAnsi="Arial"/>
                <w:sz w:val="18"/>
                <w:szCs w:val="18"/>
                <w:color w:val="auto"/>
                <w:w w:val="89"/>
              </w:rPr>
              <w:t>58</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Location</w:t>
            </w:r>
          </w:p>
        </w:tc>
        <w:tc>
          <w:tcPr>
            <w:tcW w:w="16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left="1068"/>
              <w:spacing w:after="0" w:line="142" w:lineRule="exact"/>
              <w:rPr>
                <w:sz w:val="20"/>
                <w:szCs w:val="20"/>
                <w:color w:val="auto"/>
              </w:rPr>
            </w:pPr>
            <w:r>
              <w:rPr>
                <w:rFonts w:ascii="Arial" w:cs="Arial" w:eastAsia="Arial" w:hAnsi="Arial"/>
                <w:sz w:val="14"/>
                <w:szCs w:val="14"/>
                <w:b w:val="1"/>
                <w:bCs w:val="1"/>
                <w:color w:val="auto"/>
                <w:w w:val="93"/>
              </w:rPr>
              <w:t>Leased / Owned</w:t>
            </w: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vMerge w:val="restart"/>
          </w:tcPr>
          <w:p>
            <w:pPr>
              <w:ind w:left="1280"/>
              <w:spacing w:after="0"/>
              <w:rPr>
                <w:sz w:val="20"/>
                <w:szCs w:val="20"/>
                <w:color w:val="auto"/>
              </w:rPr>
            </w:pPr>
            <w:r>
              <w:rPr>
                <w:rFonts w:ascii="Arial" w:cs="Arial" w:eastAsia="Arial" w:hAnsi="Arial"/>
                <w:sz w:val="17"/>
                <w:szCs w:val="17"/>
                <w:color w:val="auto"/>
                <w:w w:val="73"/>
              </w:rPr>
              <w:t>Essence</w:t>
            </w:r>
          </w:p>
        </w:tc>
        <w:tc>
          <w:tcPr>
            <w:tcW w:w="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vMerge w:val="restart"/>
          </w:tcPr>
          <w:p>
            <w:pPr>
              <w:ind w:left="1300"/>
              <w:spacing w:after="0"/>
              <w:rPr>
                <w:sz w:val="20"/>
                <w:szCs w:val="20"/>
                <w:color w:val="auto"/>
              </w:rPr>
            </w:pPr>
            <w:r>
              <w:rPr>
                <w:rFonts w:ascii="Arial" w:cs="Arial" w:eastAsia="Arial" w:hAnsi="Arial"/>
                <w:sz w:val="18"/>
                <w:szCs w:val="18"/>
                <w:color w:val="auto"/>
                <w:w w:val="89"/>
              </w:rPr>
              <w:t>Las</w:t>
            </w:r>
          </w:p>
        </w:tc>
        <w:tc>
          <w:tcPr>
            <w:tcW w:w="540" w:type="dxa"/>
            <w:vAlign w:val="bottom"/>
            <w:shd w:val="clear" w:color="auto" w:fill="000000"/>
          </w:tcPr>
          <w:p>
            <w:pPr>
              <w:spacing w:after="0" w:line="20" w:lineRule="exact"/>
              <w:rPr>
                <w:sz w:val="1"/>
                <w:szCs w:val="1"/>
                <w:color w:val="auto"/>
              </w:rPr>
            </w:pPr>
          </w:p>
        </w:tc>
        <w:tc>
          <w:tcPr>
            <w:tcW w:w="1660" w:type="dxa"/>
            <w:vAlign w:val="bottom"/>
            <w:vMerge w:val="restart"/>
          </w:tcPr>
          <w:p>
            <w:pPr>
              <w:ind w:left="20"/>
              <w:spacing w:after="0"/>
              <w:rPr>
                <w:sz w:val="20"/>
                <w:szCs w:val="20"/>
                <w:color w:val="auto"/>
              </w:rPr>
            </w:pPr>
            <w:r>
              <w:rPr>
                <w:rFonts w:ascii="Arial" w:cs="Arial" w:eastAsia="Arial" w:hAnsi="Arial"/>
                <w:sz w:val="18"/>
                <w:szCs w:val="18"/>
                <w:color w:val="auto"/>
              </w:rPr>
              <w:t>NV</w:t>
            </w:r>
          </w:p>
        </w:tc>
        <w:tc>
          <w:tcPr>
            <w:tcW w:w="11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80" w:type="dxa"/>
            <w:vAlign w:val="bottom"/>
            <w:vMerge w:val="continue"/>
          </w:tcPr>
          <w:p>
            <w:pPr>
              <w:spacing w:after="0"/>
              <w:rPr>
                <w:sz w:val="16"/>
                <w:szCs w:val="16"/>
                <w:color w:val="auto"/>
              </w:rPr>
            </w:pPr>
          </w:p>
        </w:tc>
        <w:tc>
          <w:tcPr>
            <w:tcW w:w="222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Rainbow</w:t>
            </w:r>
          </w:p>
        </w:tc>
        <w:tc>
          <w:tcPr>
            <w:tcW w:w="1580" w:type="dxa"/>
            <w:vAlign w:val="bottom"/>
            <w:vMerge w:val="continue"/>
          </w:tcPr>
          <w:p>
            <w:pPr>
              <w:spacing w:after="0"/>
              <w:rPr>
                <w:sz w:val="16"/>
                <w:szCs w:val="16"/>
                <w:color w:val="auto"/>
              </w:rPr>
            </w:pPr>
          </w:p>
        </w:tc>
        <w:tc>
          <w:tcPr>
            <w:tcW w:w="540" w:type="dxa"/>
            <w:vAlign w:val="bottom"/>
          </w:tcPr>
          <w:p>
            <w:pPr>
              <w:jc w:val="center"/>
              <w:spacing w:after="0" w:line="195" w:lineRule="exact"/>
              <w:rPr>
                <w:sz w:val="20"/>
                <w:szCs w:val="20"/>
                <w:color w:val="auto"/>
              </w:rPr>
            </w:pPr>
            <w:r>
              <w:rPr>
                <w:rFonts w:ascii="Arial" w:cs="Arial" w:eastAsia="Arial" w:hAnsi="Arial"/>
                <w:sz w:val="18"/>
                <w:szCs w:val="18"/>
                <w:color w:val="auto"/>
                <w:w w:val="82"/>
              </w:rPr>
              <w:t>Vegas,</w:t>
            </w:r>
          </w:p>
        </w:tc>
        <w:tc>
          <w:tcPr>
            <w:tcW w:w="16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Essence The Strip</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Essence Tropicana West</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Las Vegas,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Rise Henderson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Henderson,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Rise Reno</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Northtown Reno,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Rise Spanish Springs</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Spanish Springs, NV</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Fp WELLNESS Halfmoon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Clifton Park,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Fp WELLNESS Manhattan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7"/>
              </w:rPr>
              <w:t>New York,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Fp WELLNESS Rochester</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Rochester, NY</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Rise Cleveland</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Cleveland,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Rise Lakewood Detroit</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Lakewood,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Rise Lakewood Madison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Lakewood,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Rise Lorain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4"/>
              </w:rPr>
              <w:t>Lorain,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Rise Toledo</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Toledo, OH</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Rise Carlisle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Carlisle,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Rise Chambersburg</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Chambersburg,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Rise Cranberry</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Cranberry,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Rise Duncansville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Duncansville,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Rise Erie</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Erie,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Rise Erie (Peach)</w:t>
            </w:r>
          </w:p>
        </w:tc>
        <w:tc>
          <w:tcPr>
            <w:tcW w:w="378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Erie,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Rise Hermitage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Hermitage,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Rise King of Prussia</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1"/>
              </w:rPr>
              <w:t>King of Prussia,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Rise Latrobe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Latrobe,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Rise Mechanicsburg</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Mechanicsburg,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Rise Monroeville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3"/>
              </w:rPr>
              <w:t>Monroeville,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Rise New Castle</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New Castle,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Rise Steelton</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Steelton, PA</w:t>
            </w:r>
          </w:p>
        </w:tc>
        <w:tc>
          <w:tcPr>
            <w:tcW w:w="1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Rise York</w:t>
            </w: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2"/>
              </w:rPr>
              <w:t>York, PA</w:t>
            </w:r>
          </w:p>
        </w:tc>
        <w:tc>
          <w:tcPr>
            <w:tcW w:w="11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 xml:space="preserve">Properties Subject to an Encumbrance. </w:t>
      </w:r>
      <w:r>
        <w:rPr>
          <w:rFonts w:ascii="Arial" w:cs="Arial" w:eastAsia="Arial" w:hAnsi="Arial"/>
          <w:sz w:val="18"/>
          <w:szCs w:val="18"/>
          <w:color w:val="auto"/>
        </w:rPr>
        <w:t>Pursuant to the Note Purchase Agreement, the Company collateralized the facilities in (i) Rock Island,</w:t>
      </w:r>
      <w:r>
        <w:rPr>
          <w:rFonts w:ascii="Arial" w:cs="Arial" w:eastAsia="Arial" w:hAnsi="Arial"/>
          <w:sz w:val="18"/>
          <w:szCs w:val="18"/>
          <w:i w:val="1"/>
          <w:iCs w:val="1"/>
          <w:color w:val="auto"/>
        </w:rPr>
        <w:t xml:space="preserve"> </w:t>
      </w:r>
      <w:r>
        <w:rPr>
          <w:rFonts w:ascii="Arial" w:cs="Arial" w:eastAsia="Arial" w:hAnsi="Arial"/>
          <w:sz w:val="18"/>
          <w:szCs w:val="18"/>
          <w:color w:val="auto"/>
        </w:rPr>
        <w:t>Illinois, and (ii) Homestead, Florida.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has no legal proceedings, pending or threatened, which would have a material impact on the operations or financial condition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ITEM 5. MARKET PRICE OF AND DIVIDENDS ON THE REGISTRANT’S COMMON EQUITY AND RELATED STOCKHOLDER MATTERS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Subordinate Voting Shares of the Company are traded on the CSE under the symbol “GTII.”. The following table sets forth trading information for the Subordinate Voting Shares for the periods indicated, as quoted on the CSE.</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Low Trading Price</w:t>
            </w:r>
          </w:p>
        </w:tc>
        <w:tc>
          <w:tcPr>
            <w:tcW w:w="4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3940" w:type="dxa"/>
            <w:vAlign w:val="bottom"/>
            <w:gridSpan w:val="4"/>
            <w:vMerge w:val="continue"/>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(C$)</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Year Ended December 31, 2020</w:t>
            </w: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First Quarter (March 31, 2020)</w:t>
            </w:r>
          </w:p>
        </w:tc>
        <w:tc>
          <w:tcPr>
            <w:tcW w:w="1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5.69</w:t>
            </w:r>
          </w:p>
        </w:tc>
        <w:tc>
          <w:tcPr>
            <w:tcW w:w="68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tcBorders>
            <w:gridSpan w:val="2"/>
          </w:tcPr>
          <w:p>
            <w:pPr>
              <w:jc w:val="right"/>
              <w:ind w:right="800"/>
              <w:spacing w:after="0"/>
              <w:rPr>
                <w:sz w:val="20"/>
                <w:szCs w:val="20"/>
                <w:color w:val="auto"/>
              </w:rPr>
            </w:pPr>
            <w:r>
              <w:rPr>
                <w:rFonts w:ascii="Arial" w:cs="Arial" w:eastAsia="Arial" w:hAnsi="Arial"/>
                <w:sz w:val="18"/>
                <w:szCs w:val="18"/>
                <w:color w:val="auto"/>
              </w:rPr>
              <w:t>13.51</w:t>
            </w:r>
          </w:p>
        </w:tc>
        <w:tc>
          <w:tcPr>
            <w:tcW w:w="9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5"/>
              </w:rPr>
              <w:t>25,072,866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7.70</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23,749,362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Third Quarter (September 30, 2020)</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13.50</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21.25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16,553,128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17.19</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31.18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39,421,324</w:t>
            </w:r>
          </w:p>
        </w:tc>
        <w:tc>
          <w:tcPr>
            <w:tcW w:w="0" w:type="dxa"/>
            <w:vAlign w:val="bottom"/>
          </w:tcPr>
          <w:p>
            <w:pPr>
              <w:spacing w:after="0"/>
              <w:rPr>
                <w:sz w:val="1"/>
                <w:szCs w:val="1"/>
                <w:color w:val="auto"/>
              </w:rPr>
            </w:pPr>
          </w:p>
        </w:tc>
      </w:tr>
      <w:tr>
        <w:trPr>
          <w:trHeight w:val="283"/>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2019</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11.60</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20.90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22,190,482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13.10</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21.71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20,904,219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10.55</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14.67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25,325,632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5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10.26</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13.26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18,498,123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Source: Bloomberg.</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pre-Transaction common shares of Bayswater for the periods indicated (until June 12, 2018, the date of their delisting on the TSXV), as quoted on the TSXV.</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Low Trading Price</w:t>
            </w:r>
          </w:p>
        </w:tc>
        <w:tc>
          <w:tcPr>
            <w:tcW w:w="44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High Trading Price</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Volume</w:t>
            </w:r>
          </w:p>
        </w:tc>
        <w:tc>
          <w:tcPr>
            <w:tcW w:w="0" w:type="dxa"/>
            <w:vAlign w:val="bottom"/>
          </w:tcPr>
          <w:p>
            <w:pPr>
              <w:spacing w:after="0"/>
              <w:rPr>
                <w:sz w:val="1"/>
                <w:szCs w:val="1"/>
                <w:color w:val="auto"/>
              </w:rPr>
            </w:pPr>
          </w:p>
        </w:tc>
      </w:tr>
      <w:tr>
        <w:trPr>
          <w:trHeight w:val="158"/>
        </w:trPr>
        <w:tc>
          <w:tcPr>
            <w:tcW w:w="550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(C$)</w:t>
            </w: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w w:val="92"/>
              </w:rPr>
              <w:t>Year Ended December 31, 2018</w:t>
            </w:r>
          </w:p>
        </w:tc>
        <w:tc>
          <w:tcPr>
            <w:tcW w:w="3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12.88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9.20</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14.72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24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Bayswater common shares were halted from trading in connection with the Transaction and subsequently delisted from the TSXV on June 12, 2018.</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Subordinate Voting Shares of the Company are also traded on the OTCQX under the symbol “GTBIF.”</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320" w:top="459" w:right="5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as quoted on the OTCQX.</w:t>
      </w:r>
      <w:r>
        <w:rPr>
          <w:rFonts w:ascii="Arial" w:cs="Arial" w:eastAsia="Arial" w:hAnsi="Arial"/>
          <w:sz w:val="15"/>
          <w:szCs w:val="15"/>
          <w:color w:val="auto"/>
        </w:rPr>
        <w:t>(1)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Low Trading Price</w:t>
            </w:r>
          </w:p>
        </w:tc>
        <w:tc>
          <w:tcPr>
            <w:tcW w:w="4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58"/>
        </w:trPr>
        <w:tc>
          <w:tcPr>
            <w:tcW w:w="3940" w:type="dxa"/>
            <w:vAlign w:val="bottom"/>
            <w:gridSpan w:val="4"/>
            <w:vMerge w:val="continue"/>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2"/>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ind w:right="432"/>
              <w:spacing w:after="0" w:line="15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Year Ended December 31, 2020</w:t>
            </w: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First Quarter (March 31, 2020)</w:t>
            </w:r>
          </w:p>
        </w:tc>
        <w:tc>
          <w:tcPr>
            <w:tcW w:w="15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gridSpan w:val="2"/>
          </w:tcPr>
          <w:p>
            <w:pPr>
              <w:ind w:left="13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400"/>
              <w:spacing w:after="0"/>
              <w:rPr>
                <w:sz w:val="20"/>
                <w:szCs w:val="20"/>
                <w:color w:val="auto"/>
              </w:rPr>
            </w:pPr>
            <w:r>
              <w:rPr>
                <w:rFonts w:ascii="Arial" w:cs="Arial" w:eastAsia="Arial" w:hAnsi="Arial"/>
                <w:sz w:val="18"/>
                <w:szCs w:val="18"/>
                <w:color w:val="auto"/>
              </w:rPr>
              <w:t>4.07</w:t>
            </w:r>
          </w:p>
        </w:tc>
        <w:tc>
          <w:tcPr>
            <w:tcW w:w="72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CCEEFF"/>
            </w:tcBorders>
            <w:gridSpan w:val="2"/>
          </w:tcPr>
          <w:p>
            <w:pPr>
              <w:jc w:val="right"/>
              <w:ind w:right="800"/>
              <w:spacing w:after="0"/>
              <w:rPr>
                <w:sz w:val="20"/>
                <w:szCs w:val="20"/>
                <w:color w:val="auto"/>
              </w:rPr>
            </w:pPr>
            <w:r>
              <w:rPr>
                <w:rFonts w:ascii="Arial" w:cs="Arial" w:eastAsia="Arial" w:hAnsi="Arial"/>
                <w:sz w:val="18"/>
                <w:szCs w:val="18"/>
                <w:color w:val="auto"/>
              </w:rPr>
              <w:t>10.33</w:t>
            </w:r>
          </w:p>
        </w:tc>
        <w:tc>
          <w:tcPr>
            <w:tcW w:w="9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5"/>
              </w:rPr>
              <w:t>23,749,100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2020)</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5.41</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19,681,767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Third Quarter (September 30, 2020)</w:t>
            </w: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16.01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25,478,800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2020)</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12.93</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25.29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35,059,415</w:t>
            </w:r>
          </w:p>
        </w:tc>
        <w:tc>
          <w:tcPr>
            <w:tcW w:w="0" w:type="dxa"/>
            <w:vAlign w:val="bottom"/>
          </w:tcPr>
          <w:p>
            <w:pPr>
              <w:spacing w:after="0"/>
              <w:rPr>
                <w:sz w:val="1"/>
                <w:szCs w:val="1"/>
                <w:color w:val="auto"/>
              </w:rPr>
            </w:pPr>
          </w:p>
        </w:tc>
      </w:tr>
      <w:tr>
        <w:trPr>
          <w:trHeight w:val="283"/>
        </w:trPr>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Year Ended December 31, 2019</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2019)</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8.54</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15.60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15,697,374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Second Quarter (June 30, 2019)</w:t>
            </w: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9.78</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16.20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15,817,344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(September 30, 2019)</w:t>
            </w:r>
          </w:p>
        </w:tc>
        <w:tc>
          <w:tcPr>
            <w:tcW w:w="16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7.99</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11.47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17,225,728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Fourth Quarter (December 31, 2019)</w:t>
            </w:r>
          </w:p>
        </w:tc>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7.86</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9.98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15,167,168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3"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Over-the-counter market quotations reflect inter-dealer prices, without retail mark-up or mark-down or commission and may not necessarily represent actual transactions.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1, 2021, there are 581 holders of record of our Subordinate Voting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has not declared distributions on Subordinate Voting Shares in the past. The Company currently intends to reinvest all future earnings to finance the development and growth of its business.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on equity compensation plans, see Item 12 of Part III of the Annual Report.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Peer Performance Table</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following graph compares the cumulative total shareholder return on Green Thumb Industries Inc. Subordinate Voting Shares from June 12, 2018, when Green Thumb Industries Inc. began trading on the CSE, through December 31, 2020, with the comparable cumulative return of the Russell 2000 Index and a selected peer group of companies. The comparison assumes all dividends have been reinvested (if any) and an initial investment of $100 on December 12, 2018. The returns of each company in the peer group have been weighted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134620</wp:posOffset>
            </wp:positionV>
            <wp:extent cx="4843145" cy="3282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4314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6/30/2018</w:t>
            </w:r>
          </w:p>
        </w:tc>
        <w:tc>
          <w:tcPr>
            <w:tcW w:w="140" w:type="dxa"/>
            <w:vAlign w:val="bottom"/>
          </w:tcPr>
          <w:p>
            <w:pPr>
              <w:spacing w:after="0"/>
              <w:rPr>
                <w:sz w:val="12"/>
                <w:szCs w:val="12"/>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1"/>
              </w:rPr>
              <w:t>12/31/2018</w:t>
            </w:r>
          </w:p>
        </w:tc>
        <w:tc>
          <w:tcPr>
            <w:tcW w:w="28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6/30/2019</w:t>
            </w:r>
          </w:p>
        </w:tc>
        <w:tc>
          <w:tcPr>
            <w:tcW w:w="2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140" w:type="dxa"/>
            <w:vAlign w:val="bottom"/>
          </w:tcPr>
          <w:p>
            <w:pPr>
              <w:spacing w:after="0"/>
              <w:rPr>
                <w:sz w:val="12"/>
                <w:szCs w:val="12"/>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6/30/2020</w:t>
            </w:r>
          </w:p>
        </w:tc>
        <w:tc>
          <w:tcPr>
            <w:tcW w:w="140" w:type="dxa"/>
            <w:vAlign w:val="bottom"/>
          </w:tcPr>
          <w:p>
            <w:pPr>
              <w:spacing w:after="0"/>
              <w:rPr>
                <w:sz w:val="12"/>
                <w:szCs w:val="12"/>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12/31/2020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3780" w:type="dxa"/>
            <w:vAlign w:val="bottom"/>
            <w:gridSpan w:val="2"/>
          </w:tcPr>
          <w:p>
            <w:pPr>
              <w:jc w:val="center"/>
              <w:ind w:left="3075"/>
              <w:spacing w:after="0"/>
              <w:rPr>
                <w:sz w:val="20"/>
                <w:szCs w:val="20"/>
                <w:color w:val="auto"/>
              </w:rPr>
            </w:pPr>
            <w:r>
              <w:rPr>
                <w:rFonts w:ascii="Arial" w:cs="Arial" w:eastAsia="Arial" w:hAnsi="Arial"/>
                <w:sz w:val="14"/>
                <w:szCs w:val="14"/>
                <w:b w:val="1"/>
                <w:bCs w:val="1"/>
                <w:color w:val="auto"/>
                <w:w w:val="93"/>
              </w:rPr>
              <w:t>6/12/2018</w:t>
            </w: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Green Thumb Industries</w:t>
            </w:r>
          </w:p>
        </w:tc>
        <w:tc>
          <w:tcPr>
            <w:tcW w:w="3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116.50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345.66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Russell 2000</w:t>
            </w:r>
          </w:p>
        </w:tc>
        <w:tc>
          <w:tcPr>
            <w:tcW w:w="3900" w:type="dxa"/>
            <w:vAlign w:val="bottom"/>
            <w:gridSpan w:val="3"/>
          </w:tcPr>
          <w:p>
            <w:pPr>
              <w:jc w:val="center"/>
              <w:ind w:left="2975"/>
              <w:spacing w:after="0"/>
              <w:rPr>
                <w:sz w:val="20"/>
                <w:szCs w:val="20"/>
                <w:color w:val="auto"/>
              </w:rPr>
            </w:pPr>
            <w:r>
              <w:rPr>
                <w:rFonts w:ascii="Arial" w:cs="Arial" w:eastAsia="Arial" w:hAnsi="Arial"/>
                <w:sz w:val="18"/>
                <w:szCs w:val="18"/>
                <w:color w:val="auto"/>
                <w:w w:val="92"/>
              </w:rPr>
              <w:t>$100.00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98.00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93.44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99.26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85.97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118.10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900" w:type="dxa"/>
            <w:vAlign w:val="bottom"/>
            <w:gridSpan w:val="3"/>
            <w:shd w:val="clear" w:color="auto" w:fill="CCEEFF"/>
          </w:tcPr>
          <w:p>
            <w:pPr>
              <w:jc w:val="center"/>
              <w:ind w:left="2975"/>
              <w:spacing w:after="0"/>
              <w:rPr>
                <w:sz w:val="20"/>
                <w:szCs w:val="20"/>
                <w:color w:val="auto"/>
              </w:rPr>
            </w:pPr>
            <w:r>
              <w:rPr>
                <w:rFonts w:ascii="Arial" w:cs="Arial" w:eastAsia="Arial" w:hAnsi="Arial"/>
                <w:sz w:val="18"/>
                <w:szCs w:val="18"/>
                <w:color w:val="auto"/>
                <w:w w:val="92"/>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119.43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245.12</w:t>
            </w:r>
          </w:p>
        </w:tc>
        <w:tc>
          <w:tcPr>
            <w:tcW w:w="0" w:type="dxa"/>
            <w:vAlign w:val="bottom"/>
          </w:tcPr>
          <w:p>
            <w:pPr>
              <w:spacing w:after="0"/>
              <w:rPr>
                <w:sz w:val="1"/>
                <w:szCs w:val="1"/>
                <w:color w:val="auto"/>
              </w:rPr>
            </w:pP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color w:val="auto"/>
              </w:rPr>
              <w:t>Below are the specific companies included in the peer group.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Peer Group Companies</w:t>
            </w:r>
          </w:p>
        </w:tc>
        <w:tc>
          <w:tcPr>
            <w:tcW w:w="3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00" w:type="dxa"/>
            <w:vAlign w:val="bottom"/>
          </w:tcPr>
          <w:p>
            <w:pPr>
              <w:spacing w:after="0"/>
              <w:rPr>
                <w:sz w:val="20"/>
                <w:szCs w:val="20"/>
                <w:color w:val="auto"/>
              </w:rPr>
            </w:pPr>
            <w:r>
              <w:rPr>
                <w:rFonts w:ascii="Arial" w:cs="Arial" w:eastAsia="Arial" w:hAnsi="Arial"/>
                <w:sz w:val="18"/>
                <w:szCs w:val="18"/>
                <w:color w:val="auto"/>
              </w:rPr>
              <w:t>- Cresco Labs Inc.</w:t>
            </w:r>
          </w:p>
        </w:tc>
        <w:tc>
          <w:tcPr>
            <w:tcW w:w="3900" w:type="dxa"/>
            <w:vAlign w:val="bottom"/>
            <w:gridSpan w:val="3"/>
          </w:tcPr>
          <w:p>
            <w:pPr>
              <w:ind w:left="1840"/>
              <w:spacing w:after="0"/>
              <w:rPr>
                <w:sz w:val="20"/>
                <w:szCs w:val="20"/>
                <w:color w:val="auto"/>
              </w:rPr>
            </w:pPr>
            <w:r>
              <w:rPr>
                <w:rFonts w:ascii="Arial" w:cs="Arial" w:eastAsia="Arial" w:hAnsi="Arial"/>
                <w:sz w:val="18"/>
                <w:szCs w:val="18"/>
                <w:color w:val="auto"/>
                <w:w w:val="99"/>
              </w:rPr>
              <w:t>- Trulieve Cannabis Corp.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94"/>
              </w:rPr>
              <w:t>- Curaleaf Holdings, Inc</w:t>
            </w:r>
          </w:p>
        </w:tc>
        <w:tc>
          <w:tcPr>
            <w:tcW w:w="3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This performance graph and other information furnished under this Part II Item 5 of this Form 10-K shall not be deemed to be “soliciting material” or to be “filed” with the SEC or subject to Regulation 14A or 14C, or to the liabilities of Section 18 of the Exchange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Subordinate Voting Shares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June 12, 2018, we issued 10,744,995 Subordinate Voting Shares as part of the approximately C$87 million SR Offering at C$7.75. The financing was underwritten by GMP Securities L.P., Canaccord Genuity Corp., Beacon Securities Limited, Echelon Wealth Partners Inc., and Eight Capital Corp. In addition, pursuant to the RTO transaction, Bayswater Uranium Corporation’s existing 185,186,988 common shares were converted into 500,439 of our Subordinate Voting shares. The value assigned to these shares was $3,002,634, which was based on a per-share price of $6.00 on the RTO date.</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December 31, 2020, our shareholders converted an additional 423,319 Multiple Voting Shares into 42,331,900 Subordinate Voting Shares.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August 2, 2018, we issued 7,300,000 Subordinate Voting Shares as part of a C$80.3 million bought deal for a value of C$11.00 per share. The financing was underwritten by Canaccord Genuity Corp., GMP Securities L.P., Beacon Securities Limited, Echelon Wealth Partners Inc. and Eight Capital Corp.</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September 7, 2018, September 13, 2018, December 10, 2019, and May 20, 2020, the holders of Compensation Options issued to underwriters of the Transaction financing exercised options, which converted into 285,200 Subordinate Voting Shares.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Between October 9, 2018 and through December 31, 2018, we issued, in total, 87,742 Subordinate Voting Shares for 100% of the membership interests or shares of privately held companies, continuing through December 31, 2019, we issued, in total, an additional 12,413,906 Subordinate Voting Shares and, continuing through December 31, 2020, we issued, in total, an additional 1,964,014 Subordinate Voting Shares.</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On October 17, 2018, we issued 5,083,000 Subordinate Voting Shares as part of a C$101.7 million bought deal for a value of C$20.00 per share. The financing was underwritten by GMP Securities L.P., Beacon Securities Limited, Cormark Securities Inc., Echelon Wealth Partners Inc. and Eight Capital Corp.</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Between December 6, 2018 and through December 31, 2018, we issued 489,347 Subordinate Voting Shares to buyout the membership interests of joint venture partners pursuant to agreements between the parties, continuing through December 31, 2019, we issued an additional 4,402,735 Subordinate Voting Shares and, continuing through December 31, 2020, we issued an additional 1,315,789 Subordinate Voting Shares.</w:t>
      </w:r>
    </w:p>
    <w:p>
      <w:pPr>
        <w:spacing w:after="0" w:line="1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Between February 11, 2019, January 3, 2020, May 18, 2020, and August 12, 2020 we issued, in total, 8,408,779 Subordinate Voting Shares for 100% of the membership interest of Advanced Grow Labs, LLC as well as for certain achieved milestone events.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22, 2019 and May 24, 2019, we issued 19,875 Subordinate Voting Shares to the lead lender pursuant to the Note Purchase Agreement.</w:t>
      </w:r>
    </w:p>
    <w:p>
      <w:pPr>
        <w:spacing w:after="0" w:line="24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5, 2019, June 21, 2019, August 12, 2019, May 25, 2020, and July 10, 2020 we issued, in total, 25,202,433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Between July 2, 2019 and December 31, 2019, we issued, in total, 1,179,354 Subordinate Voting Shares to holders of our restricted stock units issued under our 2018 Stock and Incentive Plan, which vested over the same period. From January 1, 2020 through February 19, 2020 (the effective date of the filing of our registration statement on Form S-8), we issued, in total, 1,250 Subordinate Voting Shares to holders of our restricted stock units issued under our 2018 Stock and Incentive Plan, which vested over the same period.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Multiple Voting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June 12, 2018, we issued 830,975 Multiple Voting Shares to prior holders of VCP23, LLC membership interests pursuant to the Transaction.</w:t>
      </w:r>
    </w:p>
    <w:p>
      <w:pPr>
        <w:spacing w:after="0" w:line="24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Beginning on July 3, 2018 and through December 31, 2018, our shareholders converted 195,606 Multiple Voting Shares into 19,560,600 Subordinate Voting Shares, continuing through December 31, 2019, our shareholders converted an additional 357,104 Multiple Voting Shares into 35,710,400 Subordinate Voting Shares and, continuing through December 31, 2020, our shareholders converted an additional 423,319 Multiple Voting Shares into 42,331,900 Subordinate Voting Shares. On November 7, 2018, we issued 32,965 Multiple Voting Shares in exchange for 3,296,500 subscription receipts held by the owners of a privately held company. On January 8, 2019, we issued 31,000 Multiple Voting Shares to buyout the membership interest of joint venture partners pursuant to an agreement between the parties.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Beginning on July 3, 2018 and through December 31, 2018, our shareholders converted 8,896 Super Voting Shares into 8,896 Multiple Voting Shares, continuing through December 31, 2019, our shareholders converted an additional 22,224 Super Voting Shares into 22,224 Multiple Voting Shares and, continuing through December 31, 2020 our shareholders converted an additional 90,258 Super Voting Shares into 90,258 Multiple Voting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Super Voting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June 12, 2018, we issued 433,409 Super Voting Shares to prior holders of VCP23, LLC membership interests pursuant to the Transaction and prior holders of Bayswater Uranium Corporation.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Beginning on December 3, 2018 and through December 31, 2018, our shareholders converted 8,896 Super Voting Shares into 8,896 Multiple Voting Shares, continuing through December 31, 2019, our shareholders converted an additional 22,224 Super Voting Shares into 22,224 Multiple Voting Shares and, continuing through December 31, 2020 our shareholders converted an additional 90,258 Super Voting Shares into 90,258 Multiple Voting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Reserved.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 DISCUSSION AND ANALYSIS OF FINANCIAL CONDITION AND RESULTS OF OPERATION</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The following information should be read in conjunction with the consolidated financial statements and related notes thereto included in this Annual Report on Form 10-K.</w:t>
      </w:r>
    </w:p>
    <w:p>
      <w:pPr>
        <w:spacing w:after="0" w:line="170"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i w:val="1"/>
          <w:iCs w:val="1"/>
          <w:color w:val="auto"/>
        </w:rPr>
        <w:t>In addition to historical information, this report contains forward-looking statements that involve risks and uncertainties which may cause our actual results to differ materially from plans and results discussed in forward-looking statements. We encourage you to review the risks and uncertainties discussed in the sections entitled Item 1A. “Risk Factors” and “Disclosure Regarding Forward-Looking Statements” included at the beginning of this Annual Report on Form 10-K. The risks and uncertainties can cause actual results to differ significantly from those forecast in forward-looking statements or implied in historical results and trends.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This management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of the financial condition and results of operations of Green Thumb Industries Inc.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Green Thumb</w:t>
      </w:r>
      <w:r>
        <w:rPr>
          <w:rFonts w:ascii="Arial" w:cs="Arial" w:eastAsia="Arial" w:hAnsi="Arial"/>
          <w:sz w:val="17"/>
          <w:szCs w:val="17"/>
          <w:color w:val="auto"/>
        </w:rPr>
        <w:t>”) is for the years ended December 31, 2020, 2019 and 2018. It is supplemental to, and should be read in conjunction with, the Company’s consolidated financial statements for the year ended December 31, 2019 and the combined financial statements for the years ended December 31, 2018 and 2017 and the accompanying notes for each respective periods. The Company’s financial statements are prepared in accordance with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Financial information presented in this MD&amp;A is presented in United States dollars (“</w:t>
      </w:r>
      <w:r>
        <w:rPr>
          <w:rFonts w:ascii="Arial" w:cs="Arial" w:eastAsia="Arial" w:hAnsi="Arial"/>
          <w:sz w:val="17"/>
          <w:szCs w:val="17"/>
          <w:b w:val="1"/>
          <w:bCs w:val="1"/>
          <w:color w:val="auto"/>
        </w:rPr>
        <w:t>$</w:t>
      </w:r>
      <w:r>
        <w:rPr>
          <w:rFonts w:ascii="Arial" w:cs="Arial" w:eastAsia="Arial" w:hAnsi="Arial"/>
          <w:sz w:val="17"/>
          <w:szCs w:val="17"/>
          <w:color w:val="auto"/>
        </w:rPr>
        <w:t>” or “</w:t>
      </w:r>
      <w:r>
        <w:rPr>
          <w:rFonts w:ascii="Arial" w:cs="Arial" w:eastAsia="Arial" w:hAnsi="Arial"/>
          <w:sz w:val="17"/>
          <w:szCs w:val="17"/>
          <w:b w:val="1"/>
          <w:bCs w:val="1"/>
          <w:color w:val="auto"/>
        </w:rPr>
        <w:t>US$</w:t>
      </w:r>
      <w:r>
        <w:rPr>
          <w:rFonts w:ascii="Arial" w:cs="Arial" w:eastAsia="Arial" w:hAnsi="Arial"/>
          <w:sz w:val="17"/>
          <w:szCs w:val="17"/>
          <w:color w:val="auto"/>
        </w:rPr>
        <w:t>”), unless otherwise indicated.</w:t>
      </w:r>
    </w:p>
    <w:p>
      <w:pPr>
        <w:spacing w:after="0" w:line="17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Company’s actual results may differ materially from those anticipated in these forward-looking statements and information.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March 2020, the World Health Organization categorized coronavirus disease 2019 (“COVID-19”)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p>
    <w:p>
      <w:pPr>
        <w:spacing w:after="0" w:line="18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The Company’s ability to continue to operate without any significant negative operational impact from the COVID-19 pandemic and any of its variants will in part depend on the Company’s ability to protect its employees, customers and supply chain and its continued designation as “essential” in states where it does business that currently or in the future impose restrictions on business operations.</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limiting in-store retail activity have been enacted by governmental authorities, the Company has expanded consumer delivery options and curbside pickup to help further protect the health and safety of Green Thumb employees and customers.</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During 2020, the Company’s revenue, gross profit and operating income were not negatively impacted by COVID-19 and the Company generally maintained the consistency of its operations. However, the uncertain nature of the spread of COVID-19 and its variants may impact the Company’s business operations for reasons including the potential quarantine of Green Thumb employees or those of its supply chain partners and our designation as “essential” in states where we do business that currently or in the future impose restrictions on business operations.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THE COMPANY</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Established in 2014 and headquartered in Chicago, Illinois, Green Thumb is promoting well-being through the power of cannabis through branded consumer packaged goods and people-first retail experiences, while being committed to community and sustainable profitable growth. As of December 31, 2020, Green Thumb has operations across 12 U.S. markets, employs over 2,200 people and serves hundreds of thousands of patients and customers annually.</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Green Thumb’s core business is manufacturing, distributing and marketing a portfolio of owned cannabis consumer packaged goods brands (which we refer to as our Consumer Packaged Goods business), including Beboe, Dogwalkers, Dr. Solomon’s, incredibles, Rhythm, and The Feel Collection. The Company distributes and markets these products primarily to third-party licensed retail cannabis stores across the United States as well as to Green Thumb-owned retail stores (which we refer to as our Retail business).</w:t>
      </w:r>
    </w:p>
    <w:p>
      <w:pPr>
        <w:spacing w:after="0" w:line="17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Company’s Consumer Packaged Goods portfolio is primarily generated from plant material that Green Thumb grows and processes itself which we use to produce our consumer packaged goods produced in 13 owned and operated manufacturing facilities. This portfolio consists of SKUs across a range of cannabis product categories, including flower, pre-rolls, concentrates, vape, capsules, tinctures, edibles, topicals and other cannabis-related products (none of which product category are individually material to the Company). These Consumer Package Goods products are sold in retail locations throughout the 12 U.S. markets Green Thumb operates including Green Thumb’s own Rise and Essence dispensaries.</w:t>
      </w:r>
    </w:p>
    <w:p>
      <w:pPr>
        <w:spacing w:after="0" w:line="16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Green Thumb owns and operates a national cannabis retail chain called Rise, and in the Las Vegas, Nevada and Pasadena California areas,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w:t>
      </w:r>
    </w:p>
    <w:p>
      <w:pPr>
        <w:spacing w:after="0" w:line="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 operate (including Nevada). The Essence stores were acquired in connection with the 2019 acquisition of Integral Associates and are located in Nevada and beginning in March 2021, California. The Essence stores differ from the Rise stores mainly in geographic location. As of December 31, 2020, the Company had 51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Coronavirus.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Operations—Consolidated</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following table summarizes the Company’s consolidated financial results for the periods, and as of the dates, indicated. The (i) consolidated statements of operations for the years ended December 31, 2020 2019 and 2018 and (ii) consolidated balance sheet data as of December 31, 2020 and 2019 have been derived from, and should be read in conjunction with the consolidated financial statements and accompanying notes presented in Item 8 of this Report.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308" w:lineRule="auto"/>
        <w:rPr>
          <w:sz w:val="20"/>
          <w:szCs w:val="20"/>
          <w:color w:val="auto"/>
        </w:rPr>
      </w:pPr>
      <w:r>
        <w:rPr>
          <w:rFonts w:ascii="Arial" w:cs="Arial" w:eastAsia="Arial" w:hAnsi="Arial"/>
          <w:sz w:val="17"/>
          <w:szCs w:val="17"/>
          <w:color w:val="auto"/>
        </w:rPr>
        <w:t>The Company’s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For the Year Ended December 31,</w:t>
            </w:r>
          </w:p>
        </w:tc>
        <w:tc>
          <w:tcPr>
            <w:tcW w:w="19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2020 vs. 2019</w:t>
            </w:r>
          </w:p>
        </w:tc>
        <w:tc>
          <w:tcPr>
            <w:tcW w:w="10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8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84"/>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Total Revenues, net of discounts</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556,572,889</w:t>
            </w:r>
          </w:p>
        </w:tc>
        <w:tc>
          <w:tcPr>
            <w:tcW w:w="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216,432,605</w:t>
            </w:r>
          </w:p>
        </w:tc>
        <w:tc>
          <w:tcPr>
            <w:tcW w:w="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62,493,680</w:t>
            </w:r>
          </w:p>
        </w:tc>
        <w:tc>
          <w:tcPr>
            <w:tcW w:w="200" w:type="dxa"/>
            <w:vAlign w:val="bottom"/>
            <w:vMerge w:val="continue"/>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$ 340,140,284</w:t>
            </w:r>
          </w:p>
        </w:tc>
        <w:tc>
          <w:tcPr>
            <w:tcW w:w="20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5"/>
                <w:szCs w:val="15"/>
                <w:color w:val="auto"/>
              </w:rPr>
              <w:t>157%</w:t>
            </w:r>
          </w:p>
        </w:tc>
        <w:tc>
          <w:tcPr>
            <w:tcW w:w="84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w w:val="89"/>
              </w:rPr>
              <w:t>$153,938,925</w:t>
            </w:r>
          </w:p>
        </w:tc>
        <w:tc>
          <w:tcPr>
            <w:tcW w:w="200" w:type="dxa"/>
            <w:vAlign w:val="bottom"/>
            <w:vMerge w:val="continue"/>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5"/>
                <w:szCs w:val="15"/>
                <w:color w:val="auto"/>
              </w:rPr>
              <w:t>Cost of Goods Sold, net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89"/>
              </w:rPr>
              <w:t>(252,404,301)</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2"/>
              </w:rPr>
              <w:t>(109,401,914)</w:t>
            </w:r>
          </w:p>
        </w:tc>
        <w:tc>
          <w:tcPr>
            <w:tcW w:w="80" w:type="dxa"/>
            <w:vAlign w:val="bottom"/>
          </w:tcPr>
          <w:p>
            <w:pPr>
              <w:spacing w:after="0"/>
              <w:rPr>
                <w:sz w:val="14"/>
                <w:szCs w:val="14"/>
                <w:color w:val="auto"/>
              </w:rPr>
            </w:pPr>
          </w:p>
        </w:tc>
        <w:tc>
          <w:tcPr>
            <w:tcW w:w="980" w:type="dxa"/>
            <w:vAlign w:val="bottom"/>
            <w:gridSpan w:val="4"/>
          </w:tcPr>
          <w:p>
            <w:pPr>
              <w:jc w:val="right"/>
              <w:ind w:right="160"/>
              <w:spacing w:after="0" w:line="162" w:lineRule="exact"/>
              <w:rPr>
                <w:sz w:val="20"/>
                <w:szCs w:val="20"/>
                <w:color w:val="auto"/>
              </w:rPr>
            </w:pPr>
            <w:r>
              <w:rPr>
                <w:rFonts w:ascii="Arial" w:cs="Arial" w:eastAsia="Arial" w:hAnsi="Arial"/>
                <w:sz w:val="15"/>
                <w:szCs w:val="15"/>
                <w:color w:val="auto"/>
                <w:w w:val="94"/>
              </w:rPr>
              <w:t>(34,177,259)</w:t>
            </w:r>
          </w:p>
        </w:tc>
        <w:tc>
          <w:tcPr>
            <w:tcW w:w="1100" w:type="dxa"/>
            <w:vAlign w:val="bottom"/>
            <w:gridSpan w:val="4"/>
          </w:tcPr>
          <w:p>
            <w:pPr>
              <w:jc w:val="right"/>
              <w:ind w:right="50"/>
              <w:spacing w:after="0" w:line="162" w:lineRule="exact"/>
              <w:rPr>
                <w:sz w:val="20"/>
                <w:szCs w:val="20"/>
                <w:color w:val="auto"/>
              </w:rPr>
            </w:pPr>
            <w:r>
              <w:rPr>
                <w:rFonts w:ascii="Arial" w:cs="Arial" w:eastAsia="Arial" w:hAnsi="Arial"/>
                <w:sz w:val="15"/>
                <w:szCs w:val="15"/>
                <w:color w:val="auto"/>
              </w:rPr>
              <w:t>(143,002,387)</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131%</w:t>
            </w:r>
          </w:p>
        </w:tc>
        <w:tc>
          <w:tcPr>
            <w:tcW w:w="100" w:type="dxa"/>
            <w:vAlign w:val="bottom"/>
          </w:tcPr>
          <w:p>
            <w:pPr>
              <w:spacing w:after="0"/>
              <w:rPr>
                <w:sz w:val="14"/>
                <w:szCs w:val="14"/>
                <w:color w:val="auto"/>
              </w:rPr>
            </w:pPr>
          </w:p>
        </w:tc>
        <w:tc>
          <w:tcPr>
            <w:tcW w:w="94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w w:val="91"/>
              </w:rPr>
              <w:t>(75,224,655)</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304,168,588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w w:val="95"/>
              </w:rPr>
              <w:t>107,030,691</w:t>
            </w:r>
          </w:p>
        </w:tc>
        <w:tc>
          <w:tcPr>
            <w:tcW w:w="8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28,316,421</w:t>
            </w:r>
          </w:p>
        </w:tc>
        <w:tc>
          <w:tcPr>
            <w:tcW w:w="1100" w:type="dxa"/>
            <w:vAlign w:val="bottom"/>
            <w:gridSpan w:val="4"/>
            <w:shd w:val="clear" w:color="auto" w:fill="CCEEFF"/>
          </w:tcPr>
          <w:p>
            <w:pPr>
              <w:jc w:val="right"/>
              <w:ind w:right="110"/>
              <w:spacing w:after="0" w:line="162" w:lineRule="exact"/>
              <w:rPr>
                <w:sz w:val="20"/>
                <w:szCs w:val="20"/>
                <w:color w:val="auto"/>
              </w:rPr>
            </w:pPr>
            <w:r>
              <w:rPr>
                <w:rFonts w:ascii="Arial" w:cs="Arial" w:eastAsia="Arial" w:hAnsi="Arial"/>
                <w:sz w:val="15"/>
                <w:szCs w:val="15"/>
                <w:color w:val="auto"/>
              </w:rPr>
              <w:t>197,137,897</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w w:val="95"/>
              </w:rPr>
              <w:t>78,714,270</w:t>
            </w: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162"/>
        </w:trPr>
        <w:tc>
          <w:tcPr>
            <w:tcW w:w="408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Total Expenses</w:t>
            </w: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w w:val="95"/>
              </w:rPr>
              <w:t>198,061,759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w w:val="95"/>
              </w:rPr>
              <w:t>134,721,393</w:t>
            </w:r>
          </w:p>
        </w:tc>
        <w:tc>
          <w:tcPr>
            <w:tcW w:w="80" w:type="dxa"/>
            <w:vAlign w:val="bottom"/>
          </w:tcPr>
          <w:p>
            <w:pPr>
              <w:spacing w:after="0"/>
              <w:rPr>
                <w:sz w:val="14"/>
                <w:szCs w:val="14"/>
                <w:color w:val="auto"/>
              </w:rPr>
            </w:pPr>
          </w:p>
        </w:tc>
        <w:tc>
          <w:tcPr>
            <w:tcW w:w="9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54,656,579</w:t>
            </w:r>
          </w:p>
        </w:tc>
        <w:tc>
          <w:tcPr>
            <w:tcW w:w="1100" w:type="dxa"/>
            <w:vAlign w:val="bottom"/>
            <w:gridSpan w:val="4"/>
          </w:tcPr>
          <w:p>
            <w:pPr>
              <w:jc w:val="right"/>
              <w:ind w:right="110"/>
              <w:spacing w:after="0" w:line="162" w:lineRule="exact"/>
              <w:rPr>
                <w:sz w:val="20"/>
                <w:szCs w:val="20"/>
                <w:color w:val="auto"/>
              </w:rPr>
            </w:pPr>
            <w:r>
              <w:rPr>
                <w:rFonts w:ascii="Arial" w:cs="Arial" w:eastAsia="Arial" w:hAnsi="Arial"/>
                <w:sz w:val="15"/>
                <w:szCs w:val="15"/>
                <w:color w:val="auto"/>
              </w:rPr>
              <w:t>63,340,366</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47%</w:t>
            </w:r>
          </w:p>
        </w:tc>
        <w:tc>
          <w:tcPr>
            <w:tcW w:w="100" w:type="dxa"/>
            <w:vAlign w:val="bottom"/>
          </w:tcPr>
          <w:p>
            <w:pPr>
              <w:spacing w:after="0"/>
              <w:rPr>
                <w:sz w:val="14"/>
                <w:szCs w:val="14"/>
                <w:color w:val="auto"/>
              </w:rPr>
            </w:pPr>
          </w:p>
        </w:tc>
        <w:tc>
          <w:tcPr>
            <w:tcW w:w="94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w w:val="95"/>
              </w:rPr>
              <w:t>80,064,814</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Income (Loss) From Operations</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106,106,829</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(27,690,702)</w:t>
            </w:r>
          </w:p>
        </w:tc>
        <w:tc>
          <w:tcPr>
            <w:tcW w:w="8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4"/>
              </w:rPr>
              <w:t>(26,340,158)</w:t>
            </w:r>
          </w:p>
        </w:tc>
        <w:tc>
          <w:tcPr>
            <w:tcW w:w="1100" w:type="dxa"/>
            <w:vAlign w:val="bottom"/>
            <w:gridSpan w:val="4"/>
            <w:shd w:val="clear" w:color="auto" w:fill="CCEEFF"/>
          </w:tcPr>
          <w:p>
            <w:pPr>
              <w:jc w:val="right"/>
              <w:ind w:right="110"/>
              <w:spacing w:after="0" w:line="162" w:lineRule="exact"/>
              <w:rPr>
                <w:sz w:val="20"/>
                <w:szCs w:val="20"/>
                <w:color w:val="auto"/>
              </w:rPr>
            </w:pPr>
            <w:r>
              <w:rPr>
                <w:rFonts w:ascii="Arial" w:cs="Arial" w:eastAsia="Arial" w:hAnsi="Arial"/>
                <w:sz w:val="15"/>
                <w:szCs w:val="15"/>
                <w:color w:val="auto"/>
              </w:rPr>
              <w:t>133,797,531</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(483%)</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(1,350,544)</w:t>
            </w: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Arial" w:cs="Arial" w:eastAsia="Arial" w:hAnsi="Arial"/>
                <w:sz w:val="15"/>
                <w:szCs w:val="15"/>
                <w:color w:val="auto"/>
              </w:rPr>
              <w:t>Total Other Income (Expense)</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(3,176,107)</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(22,512,135)</w:t>
            </w:r>
          </w:p>
        </w:tc>
        <w:tc>
          <w:tcPr>
            <w:tcW w:w="80" w:type="dxa"/>
            <w:vAlign w:val="bottom"/>
          </w:tcPr>
          <w:p>
            <w:pPr>
              <w:spacing w:after="0"/>
              <w:rPr>
                <w:sz w:val="15"/>
                <w:szCs w:val="15"/>
                <w:color w:val="auto"/>
              </w:rPr>
            </w:pPr>
          </w:p>
        </w:tc>
        <w:tc>
          <w:tcPr>
            <w:tcW w:w="980" w:type="dxa"/>
            <w:vAlign w:val="bottom"/>
            <w:gridSpan w:val="4"/>
          </w:tcPr>
          <w:p>
            <w:pPr>
              <w:jc w:val="right"/>
              <w:ind w:right="200"/>
              <w:spacing w:after="0" w:line="169" w:lineRule="exact"/>
              <w:rPr>
                <w:sz w:val="20"/>
                <w:szCs w:val="20"/>
                <w:color w:val="auto"/>
              </w:rPr>
            </w:pPr>
            <w:r>
              <w:rPr>
                <w:rFonts w:ascii="Arial" w:cs="Arial" w:eastAsia="Arial" w:hAnsi="Arial"/>
                <w:sz w:val="15"/>
                <w:szCs w:val="15"/>
                <w:color w:val="auto"/>
              </w:rPr>
              <w:t>56,091,532</w:t>
            </w:r>
          </w:p>
        </w:tc>
        <w:tc>
          <w:tcPr>
            <w:tcW w:w="1100" w:type="dxa"/>
            <w:vAlign w:val="bottom"/>
            <w:gridSpan w:val="4"/>
          </w:tcPr>
          <w:p>
            <w:pPr>
              <w:jc w:val="right"/>
              <w:ind w:right="110"/>
              <w:spacing w:after="0" w:line="169" w:lineRule="exact"/>
              <w:rPr>
                <w:sz w:val="20"/>
                <w:szCs w:val="20"/>
                <w:color w:val="auto"/>
              </w:rPr>
            </w:pPr>
            <w:r>
              <w:rPr>
                <w:rFonts w:ascii="Arial" w:cs="Arial" w:eastAsia="Arial" w:hAnsi="Arial"/>
                <w:sz w:val="15"/>
                <w:szCs w:val="15"/>
                <w:color w:val="auto"/>
              </w:rPr>
              <w:t>19,336,028</w:t>
            </w:r>
          </w:p>
        </w:tc>
        <w:tc>
          <w:tcPr>
            <w:tcW w:w="8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(86%)</w:t>
            </w:r>
          </w:p>
        </w:tc>
        <w:tc>
          <w:tcPr>
            <w:tcW w:w="100" w:type="dxa"/>
            <w:vAlign w:val="bottom"/>
          </w:tcPr>
          <w:p>
            <w:pPr>
              <w:spacing w:after="0"/>
              <w:rPr>
                <w:sz w:val="15"/>
                <w:szCs w:val="15"/>
                <w:color w:val="auto"/>
              </w:rPr>
            </w:pPr>
          </w:p>
        </w:tc>
        <w:tc>
          <w:tcPr>
            <w:tcW w:w="940" w:type="dxa"/>
            <w:vAlign w:val="bottom"/>
            <w:gridSpan w:val="3"/>
          </w:tcPr>
          <w:p>
            <w:pPr>
              <w:jc w:val="right"/>
              <w:ind w:right="140"/>
              <w:spacing w:after="0" w:line="169" w:lineRule="exact"/>
              <w:rPr>
                <w:sz w:val="20"/>
                <w:szCs w:val="20"/>
                <w:color w:val="auto"/>
              </w:rPr>
            </w:pPr>
            <w:r>
              <w:rPr>
                <w:rFonts w:ascii="Arial" w:cs="Arial" w:eastAsia="Arial" w:hAnsi="Arial"/>
                <w:sz w:val="15"/>
                <w:szCs w:val="15"/>
                <w:color w:val="auto"/>
                <w:w w:val="91"/>
              </w:rPr>
              <w:t>(78,603,667)</w:t>
            </w:r>
          </w:p>
        </w:tc>
        <w:tc>
          <w:tcPr>
            <w:tcW w:w="7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Income (Loss) Before Provision for Income Taxes and</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Non-Controlling Interest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102,930,722</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(50,202,837)</w:t>
            </w:r>
          </w:p>
        </w:tc>
        <w:tc>
          <w:tcPr>
            <w:tcW w:w="80" w:type="dxa"/>
            <w:vAlign w:val="bottom"/>
            <w:shd w:val="clear" w:color="auto" w:fill="CCEEFF"/>
          </w:tcPr>
          <w:p>
            <w:pPr>
              <w:spacing w:after="0"/>
              <w:rPr>
                <w:sz w:val="15"/>
                <w:szCs w:val="15"/>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29,751,374</w:t>
            </w:r>
          </w:p>
        </w:tc>
        <w:tc>
          <w:tcPr>
            <w:tcW w:w="1100" w:type="dxa"/>
            <w:vAlign w:val="bottom"/>
            <w:gridSpan w:val="4"/>
            <w:shd w:val="clear" w:color="auto" w:fill="CCEEFF"/>
          </w:tcPr>
          <w:p>
            <w:pPr>
              <w:jc w:val="right"/>
              <w:ind w:right="110"/>
              <w:spacing w:after="0"/>
              <w:rPr>
                <w:sz w:val="20"/>
                <w:szCs w:val="20"/>
                <w:color w:val="auto"/>
              </w:rPr>
            </w:pPr>
            <w:r>
              <w:rPr>
                <w:rFonts w:ascii="Arial" w:cs="Arial" w:eastAsia="Arial" w:hAnsi="Arial"/>
                <w:sz w:val="15"/>
                <w:szCs w:val="15"/>
                <w:color w:val="auto"/>
              </w:rPr>
              <w:t>153,133,559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w w:val="91"/>
              </w:rPr>
              <w:t>(79,954,211)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5"/>
                <w:szCs w:val="15"/>
                <w:color w:val="auto"/>
              </w:rPr>
              <w:t>Provision for Income Taxes</w:t>
            </w: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83,852,802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9,344,033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w w:val="89"/>
              </w:rPr>
              <w:t>7,183,595</w:t>
            </w:r>
          </w:p>
        </w:tc>
        <w:tc>
          <w:tcPr>
            <w:tcW w:w="1100" w:type="dxa"/>
            <w:vAlign w:val="bottom"/>
            <w:gridSpan w:val="4"/>
          </w:tcPr>
          <w:p>
            <w:pPr>
              <w:jc w:val="right"/>
              <w:ind w:right="110"/>
              <w:spacing w:after="0" w:line="162" w:lineRule="exact"/>
              <w:rPr>
                <w:sz w:val="20"/>
                <w:szCs w:val="20"/>
                <w:color w:val="auto"/>
              </w:rPr>
            </w:pPr>
            <w:r>
              <w:rPr>
                <w:rFonts w:ascii="Arial" w:cs="Arial" w:eastAsia="Arial" w:hAnsi="Arial"/>
                <w:sz w:val="15"/>
                <w:szCs w:val="15"/>
                <w:color w:val="auto"/>
              </w:rPr>
              <w:t>74,508,769</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797%</w:t>
            </w:r>
          </w:p>
        </w:tc>
        <w:tc>
          <w:tcPr>
            <w:tcW w:w="100" w:type="dxa"/>
            <w:vAlign w:val="bottom"/>
          </w:tcPr>
          <w:p>
            <w:pPr>
              <w:spacing w:after="0"/>
              <w:rPr>
                <w:sz w:val="14"/>
                <w:szCs w:val="14"/>
                <w:color w:val="auto"/>
              </w:rPr>
            </w:pPr>
          </w:p>
        </w:tc>
        <w:tc>
          <w:tcPr>
            <w:tcW w:w="94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2,160,438</w:t>
            </w:r>
          </w:p>
        </w:tc>
        <w:tc>
          <w:tcPr>
            <w:tcW w:w="7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Net Income (Loss) Before Non-Controlling Interest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19, 077,920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(59,546,870)</w:t>
            </w:r>
          </w:p>
        </w:tc>
        <w:tc>
          <w:tcPr>
            <w:tcW w:w="8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22,567,779</w:t>
            </w:r>
          </w:p>
        </w:tc>
        <w:tc>
          <w:tcPr>
            <w:tcW w:w="1100" w:type="dxa"/>
            <w:vAlign w:val="bottom"/>
            <w:gridSpan w:val="4"/>
            <w:shd w:val="clear" w:color="auto" w:fill="CCEEFF"/>
          </w:tcPr>
          <w:p>
            <w:pPr>
              <w:jc w:val="right"/>
              <w:ind w:right="110"/>
              <w:spacing w:after="0" w:line="162" w:lineRule="exact"/>
              <w:rPr>
                <w:sz w:val="20"/>
                <w:szCs w:val="20"/>
                <w:color w:val="auto"/>
              </w:rPr>
            </w:pPr>
            <w:r>
              <w:rPr>
                <w:rFonts w:ascii="Arial" w:cs="Arial" w:eastAsia="Arial" w:hAnsi="Arial"/>
                <w:sz w:val="15"/>
                <w:szCs w:val="15"/>
                <w:color w:val="auto"/>
              </w:rPr>
              <w:t>78,624,790</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1"/>
              </w:rPr>
              <w:t>(82,114,649)</w:t>
            </w:r>
          </w:p>
        </w:tc>
        <w:tc>
          <w:tcPr>
            <w:tcW w:w="7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(364%)</w:t>
            </w:r>
          </w:p>
        </w:tc>
        <w:tc>
          <w:tcPr>
            <w:tcW w:w="0" w:type="dxa"/>
            <w:vAlign w:val="bottom"/>
          </w:tcPr>
          <w:p>
            <w:pPr>
              <w:spacing w:after="0"/>
              <w:rPr>
                <w:sz w:val="1"/>
                <w:szCs w:val="1"/>
                <w:color w:val="auto"/>
              </w:rPr>
            </w:pPr>
          </w:p>
        </w:tc>
      </w:tr>
      <w:tr>
        <w:trPr>
          <w:trHeight w:val="162"/>
        </w:trPr>
        <w:tc>
          <w:tcPr>
            <w:tcW w:w="4080" w:type="dxa"/>
            <w:vAlign w:val="bottom"/>
            <w:gridSpan w:val="2"/>
          </w:tcPr>
          <w:p>
            <w:pPr>
              <w:spacing w:after="0" w:line="162" w:lineRule="exact"/>
              <w:rPr>
                <w:sz w:val="20"/>
                <w:szCs w:val="20"/>
                <w:color w:val="auto"/>
              </w:rPr>
            </w:pPr>
            <w:r>
              <w:rPr>
                <w:rFonts w:ascii="Arial" w:cs="Arial" w:eastAsia="Arial" w:hAnsi="Arial"/>
                <w:sz w:val="15"/>
                <w:szCs w:val="15"/>
                <w:color w:val="auto"/>
              </w:rPr>
              <w:t>Net Income (Loss) Attributable to Non-Controlling Interest</w:t>
            </w: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4,084,953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(430,463)</w:t>
            </w:r>
          </w:p>
        </w:tc>
        <w:tc>
          <w:tcPr>
            <w:tcW w:w="80" w:type="dxa"/>
            <w:vAlign w:val="bottom"/>
          </w:tcPr>
          <w:p>
            <w:pPr>
              <w:spacing w:after="0"/>
              <w:rPr>
                <w:sz w:val="14"/>
                <w:szCs w:val="14"/>
                <w:color w:val="auto"/>
              </w:rPr>
            </w:pPr>
          </w:p>
        </w:tc>
        <w:tc>
          <w:tcPr>
            <w:tcW w:w="980" w:type="dxa"/>
            <w:vAlign w:val="bottom"/>
            <w:gridSpan w:val="4"/>
          </w:tcPr>
          <w:p>
            <w:pPr>
              <w:jc w:val="right"/>
              <w:ind w:right="200"/>
              <w:spacing w:after="0" w:line="162" w:lineRule="exact"/>
              <w:rPr>
                <w:sz w:val="20"/>
                <w:szCs w:val="20"/>
                <w:color w:val="auto"/>
              </w:rPr>
            </w:pPr>
            <w:r>
              <w:rPr>
                <w:rFonts w:ascii="Arial" w:cs="Arial" w:eastAsia="Arial" w:hAnsi="Arial"/>
                <w:sz w:val="15"/>
                <w:szCs w:val="15"/>
                <w:color w:val="auto"/>
              </w:rPr>
              <w:t>27,811,696</w:t>
            </w:r>
          </w:p>
        </w:tc>
        <w:tc>
          <w:tcPr>
            <w:tcW w:w="1100" w:type="dxa"/>
            <w:vAlign w:val="bottom"/>
            <w:gridSpan w:val="4"/>
          </w:tcPr>
          <w:p>
            <w:pPr>
              <w:jc w:val="right"/>
              <w:ind w:right="110"/>
              <w:spacing w:after="0" w:line="162" w:lineRule="exact"/>
              <w:rPr>
                <w:sz w:val="20"/>
                <w:szCs w:val="20"/>
                <w:color w:val="auto"/>
              </w:rPr>
            </w:pPr>
            <w:r>
              <w:rPr>
                <w:rFonts w:ascii="Arial" w:cs="Arial" w:eastAsia="Arial" w:hAnsi="Arial"/>
                <w:sz w:val="15"/>
                <w:szCs w:val="15"/>
                <w:color w:val="auto"/>
              </w:rPr>
              <w:t>4,515,416</w:t>
            </w:r>
          </w:p>
        </w:tc>
        <w:tc>
          <w:tcPr>
            <w:tcW w:w="8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(1,049%)</w:t>
            </w:r>
          </w:p>
        </w:tc>
        <w:tc>
          <w:tcPr>
            <w:tcW w:w="100" w:type="dxa"/>
            <w:vAlign w:val="bottom"/>
          </w:tcPr>
          <w:p>
            <w:pPr>
              <w:spacing w:after="0"/>
              <w:rPr>
                <w:sz w:val="14"/>
                <w:szCs w:val="14"/>
                <w:color w:val="auto"/>
              </w:rPr>
            </w:pPr>
          </w:p>
        </w:tc>
        <w:tc>
          <w:tcPr>
            <w:tcW w:w="940" w:type="dxa"/>
            <w:vAlign w:val="bottom"/>
            <w:gridSpan w:val="3"/>
          </w:tcPr>
          <w:p>
            <w:pPr>
              <w:jc w:val="right"/>
              <w:ind w:right="140"/>
              <w:spacing w:after="0" w:line="162" w:lineRule="exact"/>
              <w:rPr>
                <w:sz w:val="20"/>
                <w:szCs w:val="20"/>
                <w:color w:val="auto"/>
              </w:rPr>
            </w:pPr>
            <w:r>
              <w:rPr>
                <w:rFonts w:ascii="Arial" w:cs="Arial" w:eastAsia="Arial" w:hAnsi="Arial"/>
                <w:sz w:val="15"/>
                <w:szCs w:val="15"/>
                <w:color w:val="auto"/>
                <w:w w:val="91"/>
              </w:rPr>
              <w:t>(28,242,159)</w:t>
            </w:r>
          </w:p>
        </w:tc>
        <w:tc>
          <w:tcPr>
            <w:tcW w:w="7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w w:val="98"/>
              </w:rPr>
              <w:t>Net Income (Loss) Attributable to Green Thumb Industries Inc.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14,992,967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(59,116,407)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gridSpan w:val="4"/>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(5,243,917)</w:t>
            </w:r>
          </w:p>
        </w:tc>
        <w:tc>
          <w:tcPr>
            <w:tcW w:w="1100" w:type="dxa"/>
            <w:vAlign w:val="bottom"/>
            <w:gridSpan w:val="4"/>
            <w:shd w:val="clear" w:color="auto" w:fill="CCEEFF"/>
          </w:tcPr>
          <w:p>
            <w:pPr>
              <w:jc w:val="right"/>
              <w:ind w:right="110"/>
              <w:spacing w:after="0" w:line="162" w:lineRule="exact"/>
              <w:rPr>
                <w:sz w:val="20"/>
                <w:szCs w:val="20"/>
                <w:color w:val="auto"/>
              </w:rPr>
            </w:pPr>
            <w:r>
              <w:rPr>
                <w:rFonts w:ascii="Arial" w:cs="Arial" w:eastAsia="Arial" w:hAnsi="Arial"/>
                <w:sz w:val="15"/>
                <w:szCs w:val="15"/>
                <w:color w:val="auto"/>
                <w:w w:val="95"/>
              </w:rPr>
              <w:t>$  74,109,374</w:t>
            </w: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(125%)</w:t>
            </w:r>
          </w:p>
        </w:tc>
        <w:tc>
          <w:tcPr>
            <w:tcW w:w="1040" w:type="dxa"/>
            <w:vAlign w:val="bottom"/>
            <w:gridSpan w:val="4"/>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0"/>
              </w:rPr>
              <w:t>$ (53,872,490)</w:t>
            </w:r>
          </w:p>
        </w:tc>
        <w:tc>
          <w:tcPr>
            <w:tcW w:w="7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1,027%</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5"/>
                <w:szCs w:val="15"/>
                <w:color w:val="auto"/>
              </w:rPr>
              <w:t>Net Income (Loss) per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rPr>
              <w:t>0.07</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(0.31)</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(0.04)</w:t>
            </w:r>
          </w:p>
        </w:tc>
        <w:tc>
          <w:tcPr>
            <w:tcW w:w="440" w:type="dxa"/>
            <w:vAlign w:val="bottom"/>
          </w:tcPr>
          <w:p>
            <w:pPr>
              <w:jc w:val="right"/>
              <w:ind w:right="285"/>
              <w:spacing w:after="0" w:line="156" w:lineRule="exact"/>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3"/>
                <w:szCs w:val="13"/>
                <w:color w:val="auto"/>
              </w:rPr>
            </w:pPr>
          </w:p>
        </w:tc>
        <w:tc>
          <w:tcPr>
            <w:tcW w:w="540" w:type="dxa"/>
            <w:vAlign w:val="bottom"/>
            <w:gridSpan w:val="2"/>
          </w:tcPr>
          <w:p>
            <w:pPr>
              <w:jc w:val="right"/>
              <w:ind w:right="110"/>
              <w:spacing w:after="0" w:line="156" w:lineRule="exact"/>
              <w:rPr>
                <w:sz w:val="20"/>
                <w:szCs w:val="20"/>
                <w:color w:val="auto"/>
              </w:rPr>
            </w:pPr>
            <w:r>
              <w:rPr>
                <w:rFonts w:ascii="Arial" w:cs="Arial" w:eastAsia="Arial" w:hAnsi="Arial"/>
                <w:sz w:val="15"/>
                <w:szCs w:val="15"/>
                <w:color w:val="auto"/>
              </w:rPr>
              <w:t>0.38</w:t>
            </w: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(123%)</w:t>
            </w:r>
          </w:p>
        </w:tc>
        <w:tc>
          <w:tcPr>
            <w:tcW w:w="100" w:type="dxa"/>
            <w:vAlign w:val="bottom"/>
          </w:tcPr>
          <w:p>
            <w:pPr>
              <w:spacing w:after="0" w:line="156" w:lineRule="exact"/>
              <w:rPr>
                <w:sz w:val="20"/>
                <w:szCs w:val="20"/>
                <w:color w:val="auto"/>
              </w:rPr>
            </w:pPr>
            <w:r>
              <w:rPr>
                <w:rFonts w:ascii="Arial" w:cs="Arial" w:eastAsia="Arial" w:hAnsi="Arial"/>
                <w:sz w:val="15"/>
                <w:szCs w:val="15"/>
                <w:color w:val="auto"/>
                <w:w w:val="95"/>
              </w:rPr>
              <w:t>$</w:t>
            </w:r>
          </w:p>
        </w:tc>
        <w:tc>
          <w:tcPr>
            <w:tcW w:w="940" w:type="dxa"/>
            <w:vAlign w:val="bottom"/>
            <w:gridSpan w:val="3"/>
          </w:tcPr>
          <w:p>
            <w:pPr>
              <w:jc w:val="right"/>
              <w:ind w:right="140"/>
              <w:spacing w:after="0" w:line="156" w:lineRule="exact"/>
              <w:rPr>
                <w:sz w:val="20"/>
                <w:szCs w:val="20"/>
                <w:color w:val="auto"/>
              </w:rPr>
            </w:pPr>
            <w:r>
              <w:rPr>
                <w:rFonts w:ascii="Arial" w:cs="Arial" w:eastAsia="Arial" w:hAnsi="Arial"/>
                <w:sz w:val="15"/>
                <w:szCs w:val="15"/>
                <w:color w:val="auto"/>
              </w:rPr>
              <w:t>(0.27)</w:t>
            </w:r>
          </w:p>
        </w:tc>
        <w:tc>
          <w:tcPr>
            <w:tcW w:w="720" w:type="dxa"/>
            <w:vAlign w:val="bottom"/>
            <w:gridSpan w:val="2"/>
          </w:tcPr>
          <w:p>
            <w:pPr>
              <w:jc w:val="right"/>
              <w:ind w:right="100"/>
              <w:spacing w:after="0" w:line="156" w:lineRule="exact"/>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Net Income (Loss) per share—diluted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0.07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(0.31)</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5"/>
                <w:szCs w:val="15"/>
                <w:color w:val="auto"/>
              </w:rPr>
              <w:t>(0.04)</w:t>
            </w:r>
          </w:p>
        </w:tc>
        <w:tc>
          <w:tcPr>
            <w:tcW w:w="440" w:type="dxa"/>
            <w:vAlign w:val="bottom"/>
            <w:shd w:val="clear" w:color="auto" w:fill="CCEEFF"/>
          </w:tcPr>
          <w:p>
            <w:pPr>
              <w:jc w:val="right"/>
              <w:ind w:right="285"/>
              <w:spacing w:after="0" w:line="156" w:lineRule="exact"/>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10"/>
              <w:spacing w:after="0" w:line="156" w:lineRule="exact"/>
              <w:rPr>
                <w:sz w:val="20"/>
                <w:szCs w:val="20"/>
                <w:color w:val="auto"/>
              </w:rPr>
            </w:pPr>
            <w:r>
              <w:rPr>
                <w:rFonts w:ascii="Arial" w:cs="Arial" w:eastAsia="Arial" w:hAnsi="Arial"/>
                <w:sz w:val="15"/>
                <w:szCs w:val="15"/>
                <w:color w:val="auto"/>
              </w:rPr>
              <w:t>0.38</w:t>
            </w: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5"/>
                <w:szCs w:val="15"/>
                <w:color w:val="auto"/>
              </w:rPr>
              <w:t>(123%)</w:t>
            </w:r>
          </w:p>
        </w:tc>
        <w:tc>
          <w:tcPr>
            <w:tcW w:w="1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94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(0.27)</w:t>
            </w:r>
          </w:p>
        </w:tc>
        <w:tc>
          <w:tcPr>
            <w:tcW w:w="7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675%</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5"/>
                <w:szCs w:val="15"/>
                <w:color w:val="auto"/>
              </w:rPr>
              <w:t>Weighted average number of shares outstanding—basic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w w:val="95"/>
              </w:rPr>
              <w:t>210,988,259</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6" w:lineRule="exact"/>
              <w:rPr>
                <w:sz w:val="20"/>
                <w:szCs w:val="20"/>
                <w:color w:val="auto"/>
              </w:rPr>
            </w:pPr>
            <w:r>
              <w:rPr>
                <w:rFonts w:ascii="Arial" w:cs="Arial" w:eastAsia="Arial" w:hAnsi="Arial"/>
                <w:sz w:val="15"/>
                <w:szCs w:val="15"/>
                <w:color w:val="auto"/>
                <w:w w:val="95"/>
              </w:rPr>
              <w:t>190,602,400</w:t>
            </w:r>
          </w:p>
        </w:tc>
        <w:tc>
          <w:tcPr>
            <w:tcW w:w="80" w:type="dxa"/>
            <w:vAlign w:val="bottom"/>
          </w:tcPr>
          <w:p>
            <w:pPr>
              <w:spacing w:after="0"/>
              <w:rPr>
                <w:sz w:val="13"/>
                <w:szCs w:val="13"/>
                <w:color w:val="auto"/>
              </w:rPr>
            </w:pPr>
          </w:p>
        </w:tc>
        <w:tc>
          <w:tcPr>
            <w:tcW w:w="980" w:type="dxa"/>
            <w:vAlign w:val="bottom"/>
            <w:gridSpan w:val="4"/>
          </w:tcPr>
          <w:p>
            <w:pPr>
              <w:jc w:val="right"/>
              <w:ind w:right="200"/>
              <w:spacing w:after="0" w:line="156" w:lineRule="exact"/>
              <w:rPr>
                <w:sz w:val="20"/>
                <w:szCs w:val="20"/>
                <w:color w:val="auto"/>
              </w:rPr>
            </w:pPr>
            <w:r>
              <w:rPr>
                <w:rFonts w:ascii="Arial" w:cs="Arial" w:eastAsia="Arial" w:hAnsi="Arial"/>
                <w:sz w:val="15"/>
                <w:szCs w:val="15"/>
                <w:color w:val="auto"/>
                <w:w w:val="91"/>
              </w:rPr>
              <w:t>130,102,523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80" w:type="dxa"/>
            <w:vAlign w:val="bottom"/>
            <w:gridSpan w:val="2"/>
            <w:shd w:val="clear" w:color="auto" w:fill="CCEEFF"/>
          </w:tcPr>
          <w:p>
            <w:pPr>
              <w:spacing w:after="0" w:line="156" w:lineRule="exact"/>
              <w:rPr>
                <w:sz w:val="20"/>
                <w:szCs w:val="20"/>
                <w:color w:val="auto"/>
              </w:rPr>
            </w:pPr>
            <w:r>
              <w:rPr>
                <w:rFonts w:ascii="Arial" w:cs="Arial" w:eastAsia="Arial" w:hAnsi="Arial"/>
                <w:sz w:val="15"/>
                <w:szCs w:val="15"/>
                <w:color w:val="auto"/>
              </w:rPr>
              <w:t>Weighted average number of shares outstanding—diluted</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5"/>
                <w:szCs w:val="15"/>
                <w:color w:val="auto"/>
                <w:w w:val="95"/>
              </w:rPr>
              <w:t>212,531,188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5"/>
                <w:szCs w:val="15"/>
                <w:color w:val="auto"/>
                <w:w w:val="95"/>
              </w:rPr>
              <w:t>190,602,400</w:t>
            </w:r>
          </w:p>
        </w:tc>
        <w:tc>
          <w:tcPr>
            <w:tcW w:w="8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200"/>
              <w:spacing w:after="0" w:line="156" w:lineRule="exact"/>
              <w:rPr>
                <w:sz w:val="20"/>
                <w:szCs w:val="20"/>
                <w:color w:val="auto"/>
              </w:rPr>
            </w:pPr>
            <w:r>
              <w:rPr>
                <w:rFonts w:ascii="Arial" w:cs="Arial" w:eastAsia="Arial" w:hAnsi="Arial"/>
                <w:sz w:val="15"/>
                <w:szCs w:val="15"/>
                <w:color w:val="auto"/>
                <w:w w:val="91"/>
              </w:rPr>
              <w:t>130,102,523</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1,358,549,162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1,167,536,624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325,101,386</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212,960,693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232" w:lineRule="exact"/>
        <w:rPr>
          <w:sz w:val="20"/>
          <w:szCs w:val="20"/>
          <w:color w:val="auto"/>
        </w:rPr>
      </w:pPr>
    </w:p>
    <w:p>
      <w:pPr>
        <w:ind w:left="120" w:right="516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2020 Compared with Year Ended December 31, 2019 </w:t>
      </w:r>
      <w:r>
        <w:rPr>
          <w:rFonts w:ascii="Arial" w:cs="Arial" w:eastAsia="Arial" w:hAnsi="Arial"/>
          <w:sz w:val="18"/>
          <w:szCs w:val="18"/>
          <w:i w:val="1"/>
          <w:iCs w:val="1"/>
          <w:color w:val="auto"/>
        </w:rPr>
        <w:t>Revenue</w:t>
      </w:r>
    </w:p>
    <w:p>
      <w:pPr>
        <w:spacing w:after="0" w:line="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Revenue for the year ended December 31, 2020 was $556,572,889, up 157% from $216,432,605 for the year ended December 31, 2019. The increase in revenue was driven by contributions from both Retail and Consumer Packaged Goods, largely due to growth in Illinois and Pennsylvania. The key performance driver of Retail revenues in 2020 was legalization of adult use in Illinois on January 1, 2020 as well as new store openings particularly in Illinois and Pennsylvania, and the 2020 full period effect of the June 2019 acquisition of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Essence stores in Nevada. During the year ended December 31, 2020, Retail revenue made up 71% of total revenue as compared to 64% in 2019. During the year ended December 31, 2020, the Company increased its Retail footprint by opening 11 new stores and acquiring one store as compared to opening 17 new stores and acquiring eight during the same period in 2019. In total, the Company had 51 Retail locations open and operating during year ended December 31, 2020 as compared to 39 Retail locations in the prior year.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key drivers for Consumer Packaged Goods revenue was legalization of adult use in Illinois on January 1, 2020 as well as the expansion of Green Thumb’s branded product portfolio to third-party retailers through the Company’s existing Consumer Packaged Goods cultivation and processing facilities in Illinois, Pennsylvania, Massachusetts, Maryland, Connecticut and Nevada due to increased scale and efficiency. Consumer Packaged Goods revenue made up 29% of total revenues in 2020 as compared to 36% in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Cost of goods sold are derived from costs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Cost of goods sold for the year ended December 31, 2020 was $252,404,301, up 131% from $109,401,914 for the year ended December 31, 2019, driven by increased volume in open and operating Retail stores; new Retail store openings in Illinois, Pennsylvania and Nevada; and expansion of the Consumer Packaged Goods sales in Illinois, Pennsylvania, Massachusetts, Maryland, Connecticut and Nevada.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Gross profit for the year ended December 31, 2020 was $304,168,588, representing a gross margin on the sale of finished cannabis consumer packaged goods of 55%. This is compared to gross profit for the year ended December 31, 2019 of $107,030,691 or a 49% gross margin. The Company’s increase in gross margin percentage was mainly attributed to an overall increase in Retail sales as a proportion of total sales. In addition, Consumer Packaged Goods also contributed to the increase in gross profit through expanded capacity. The increase in gross profit was directly attributable to the revenue increase as further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Total expenses for the year ended December 31, 2020 were $198,061,759 or 36% of total revenues, net of discounts. Total expenses for the year ended December 31, 2019 were $134,721,393 or 62% of total revenues, net of discounts.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increase in total expenses was attributable to Retail salaries, benefits, depreciation expense and other operational and facility expenses mainly as a result of the Company’s new and acquired Retail facilities. In addition, an increase in intangible asset amortization expense, back office personnel costs and non-cash equity incentive compensation expense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Total other income (expense) decreased to ($3,176,107) for the year ended December 31, 2020 as compared to ($22,512,135) for the year ended December 31, 2019. The reduction in other income (expense) was primarily due to favorable fair value adjustments on the Company’s investments and contingent consideration recorded in 2020 offset by unfavorable adjustments to the fair value of the warrant liability and increased interest expense.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the year ended December 31, 2020 was $102,930,722 as compared to loss of ($50,202,837) for the year ended December 31, 2019.</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As presented under the heading “Non-GAAP Measures” below, after adjusting for non-cash equity incentive compensation of $19,336,718 for 2020 and $18,285,377 for 2019, as well as other non-operating items, Adjusted Operating EBITDA (as defined below under the heading “Non GAAP Measures”) was $179,584,426 and $27,762,114 for the year ended December 31, 2020 and 2019, respectively.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year ended December 31, 2020, federal and state income tax expense totaled $83,852,802 as compared to $9,344,033 for the year ended December 31, 2019.</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net expense of $83,852,802 for the year ended December 31, 2020 includes current tax expense of $81,758,298 and deferred tax expense of $2,094,504 in the current period.</w:t>
      </w:r>
    </w:p>
    <w:p>
      <w:pPr>
        <w:spacing w:after="0" w:line="278" w:lineRule="exact"/>
        <w:rPr>
          <w:sz w:val="20"/>
          <w:szCs w:val="20"/>
          <w:color w:val="auto"/>
        </w:rPr>
      </w:pPr>
    </w:p>
    <w:p>
      <w:pPr>
        <w:ind w:left="120" w:right="514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2019 Compared with Year Ended December 31, 2018 </w:t>
      </w:r>
      <w:r>
        <w:rPr>
          <w:rFonts w:ascii="Arial" w:cs="Arial" w:eastAsia="Arial" w:hAnsi="Arial"/>
          <w:sz w:val="18"/>
          <w:szCs w:val="18"/>
          <w:i w:val="1"/>
          <w:iCs w:val="1"/>
          <w:color w:val="auto"/>
        </w:rPr>
        <w:t>Revenue</w:t>
      </w:r>
    </w:p>
    <w:p>
      <w:pPr>
        <w:spacing w:after="0" w:line="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Revenue for the year ended December 31, 2019 was $216,432,605, up 246% from $62,493,680 for the year ended December 31, 2018 driven by contribution from both Consumer Packaged Goods and Retail sales across all 12 markets (California, Colorado, Connecticut, Florida, Illinois, Maryland, Massachusetts, Nevada, New Jersey, New York, Ohio and Pennsylvania). Key performance drivers were: distribution expansion of Green Thumb’s branded product portfolio primarily in Illinois, Massachusetts and Pennsylvania; new store openings and increased store traffic to Green Thumb’s 39 open and operating retail stores, particularly in Florida, Illinois, Massachusetts and Pennsylvania; and the addition of revenue from the acquisition of Connecticut-based AGL and Nevada-based Integral Associates.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Cost of goods sold for the year ended December 31, 2019 was $109,401,914, up 220% from $34,177,259 for the year ended December 31, 2018, driven by growth from both Consumer Packaged Goods and Retail sales across all 12 markets (California, Colorado, Connecticut, Florida, Illinois, Maryland, Massachusetts, Nevada, New Jersey, New York, Ohio and Pennsylvania).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Gross profit for the year ended December 31, 2019 was $107,030,691, representing a gross margin on the sale of finished cannabis Consumer Packaged goods of 49%. This is compared to gross profit for the year ended December 31, 2018 of $28,316,421 representing a 45% gross margin driven by increased harvested cannabis and consumer packaged goods shipments, along with incremental contribution from increased volume from Retail sales.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the year ended December 31, 2019 were $134,721,393 or 62% of total revenues, net of discounts, an increase of $80,064,814.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expenses for the year ended December 31, 2018 were $54,656,579 or 87% of total revenues, net of discounts.</w:t>
      </w:r>
    </w:p>
    <w:p>
      <w:pPr>
        <w:spacing w:after="0" w:line="21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increase in total expenses was attributable to an increase in general and administrative expenses, mainly due to non-cash charges related to equity incentive compensation of $18,285,377, an increase of $6,137,126 compared to the year ended December 31, 2018. Salaries and benefits also contributed as a result of increased headcount from the Company’s Retail facilities in Florida, Illinois, Nevada, Maryland, Massachusetts and Pennsylvania, along with corporate staff development.</w:t>
      </w:r>
    </w:p>
    <w:p>
      <w:pPr>
        <w:spacing w:after="0" w:line="18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Additionally, the Company had professional fees of $17,714,193 which represented an increase of $7,025,063 over the 2018 amount of $10,689,130, primarily driven by acquisition related support, and other regulatory and growth-related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Total other income (expense) for the year ended December 31, 2019 was ($22,512,135), compared to income of $56,091,532 for the year ended December 31, 2018, mainly due to a favorable adjustment to the fair values of the Company’s investments recorded in 2018.</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Net operating loss before provision for income taxes and non-controlling interest for the year ended December 31, 2019 was ($50,202,837) compared to income of $29,751,374 for the year ended December 31, 2018.</w:t>
      </w:r>
    </w:p>
    <w:p>
      <w:pPr>
        <w:spacing w:after="0" w:line="170"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As presented under the heading “Non-GAAP Measures” below, after adjusting for non-cash equity incentive compensation of $18,285,377 in 2019 and $12,148,251 in 2018, as well as other non-operating items, Adjusted Operating EBITDA was $27,762,114 and ($9,007,926) for the years ended December 31, 2019 and 2018,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Income tax expense is recognized based on the expected tax payable on the taxable income for the year, using tax rates enacted at year-end. For the year ended December 31, 2019, federal and state income tax expense totaled $9,344,033 compared to $7,183,595 for the year ended December 31, 2018. The net expense of $9,344,033 for the year ended December 31, 2019 includes current tax expense of $22,760,946 and deferred tax benefit of $13,416,913 in the current period. The deferred tax benefit is mainly driven by changes in the fair value of investments and amortization of intangibles.</w:t>
      </w:r>
    </w:p>
    <w:p>
      <w:pPr>
        <w:spacing w:after="0" w:line="265" w:lineRule="exact"/>
        <w:rPr>
          <w:sz w:val="20"/>
          <w:szCs w:val="20"/>
          <w:color w:val="auto"/>
        </w:rPr>
      </w:pPr>
    </w:p>
    <w:p>
      <w:pPr>
        <w:ind w:left="120" w:right="508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2018 Compared with Year Ended December 31, 2017 </w:t>
      </w:r>
      <w:r>
        <w:rPr>
          <w:rFonts w:ascii="Arial" w:cs="Arial" w:eastAsia="Arial" w:hAnsi="Arial"/>
          <w:sz w:val="18"/>
          <w:szCs w:val="18"/>
          <w:i w:val="1"/>
          <w:iCs w:val="1"/>
          <w:color w:val="auto"/>
        </w:rPr>
        <w:t>Revenue</w:t>
      </w:r>
    </w:p>
    <w:p>
      <w:pPr>
        <w:spacing w:after="0" w:line="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Revenue for the year ended December 31, 2018 was $62,493,680, up 278% from $16,528,779 for the year ended December 31, 2017 due to revenue contribution from Consumer Packaged Goods and Retail sales across Illinois, Maryland, Massachusetts, Nevada and Pennsylvania. Year over year consumer packaged goods growth is driven by expanded distribution to third-party retail customers of Green Thumb’s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Year ended December 31, 2018 cost of goods sold of $34,177,259 was up $24,369,484 or 248% compared to year ended December 31, 2017, driven by expanded production of consumer packaged goods in new markets Maryland and Pennsylvania, as well as material increases from retail sales driven by new store openings and increases in daily transactions across Illinois, Maryland, Massachusetts, Nevada and Pennsylvania.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Gross profit for the year ended December 31, 2018 was $28,316,421, representing a gross margin on the sale of branded cannabis flower and processed and packaged products including concentrates, edibles, topicals and other cannabis products, of 45%. This is compared to gross profit for the year ended December 31, 2017 of $6,721,004 or a 41% gross margin.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expenses for year ended December 31, 2018 were $54,656,579, an increase of $43,165,807, compared to year ended December 31, 2017.</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increase in total expenses was attributable to an increase in general and administrative expenses, mainly due to non-cash charges related to equity incentive compensation of $12,148,251, which is all incremental compared to the prior year. Salaries and benefits also contributed to the increase as a result of new headcount from the Company’s Retail facilities in Illinois, Nevada, Maryland and Pennsylvania along with corporate staff development.</w:t>
      </w:r>
    </w:p>
    <w:p>
      <w:pPr>
        <w:spacing w:after="0" w:line="187"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Additionally, the Company had professional fees of $10,689,130 which represented an increase of $7,171,238 over the 2017 amount of $3,517,892 due to the reverse takeover transaction, acquisition related support, and other regulatory and growth related activities.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Total other income for year ended December 31, 2018 was $56,091,532, an increase of $55,979,581 compared to 2017, due to the iAnthus Warrants and other investments recorded at fair value, as further described in the Liquidity, Financing Activities During the Period, and Capital Resources section of this MD&amp;A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Net operating income before provision for income taxes and non-controlling interest for year ended December 31, 2018 was $29,751,374, compared to a loss of ($4,657,817) for the year ended December 31, 2017. The increase in net operating income was driven by the fair value of the iAnthus Warrants and other investments recorded at fair value, partially offset by equity incentive compensation as described above, in addition to start-up costs for new markets this year.</w:t>
      </w:r>
    </w:p>
    <w:p>
      <w:pPr>
        <w:spacing w:after="0" w:line="187"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As presented under the heading “Non-GAAP Measures” below, after adjusting for non-cash equity incentive compensation of $12,148,251 as described above Adjusted Operating EBITDA was ($9,007,926) and ($4,079,780) for the year ended December 31, 2018 and 2017,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2018, Federal and State income tax expense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totaled $7,183,595 compared to $214,000 provision for income taxes for the year ended December 31, 2017. Deferred tax expense of $4,061,000 is included in the $7,183,595 for the current period. This expense is driven by the fair value of warrants and investments, partially offset by deferred tax benefit related to net operating losses and stock-based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revenues net of sales discounts by segment for the years ended December 31, 2020, 2019 and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20" w:type="dxa"/>
            <w:vAlign w:val="bottom"/>
            <w:tcBorders>
              <w:bottom w:val="single" w:sz="8" w:color="auto"/>
            </w:tcBorders>
            <w:gridSpan w:val="6"/>
          </w:tcPr>
          <w:p>
            <w:pPr>
              <w:jc w:val="right"/>
              <w:ind w:right="402"/>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Pr>
          <w:p>
            <w:pPr>
              <w:spacing w:after="0"/>
              <w:rPr>
                <w:sz w:val="14"/>
                <w:szCs w:val="14"/>
                <w:color w:val="auto"/>
              </w:rPr>
            </w:pPr>
          </w:p>
        </w:tc>
        <w:tc>
          <w:tcPr>
            <w:tcW w:w="15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2020 vs.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2019 vs. 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92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9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8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900" w:type="dxa"/>
            <w:vAlign w:val="bottom"/>
          </w:tcPr>
          <w:p>
            <w:pPr>
              <w:jc w:val="right"/>
              <w:ind w:right="344"/>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48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345"/>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46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5"/>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Consumer Packaged Goods</w:t>
            </w: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right w:val="single" w:sz="8" w:color="CCEEFF"/>
            </w:tcBorders>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$ 273,977,174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$109,930,160</w:t>
            </w: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$25,706,134</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$164,047,014</w:t>
            </w:r>
          </w:p>
        </w:tc>
        <w:tc>
          <w:tcPr>
            <w:tcW w:w="200" w:type="dxa"/>
            <w:vAlign w:val="bottom"/>
            <w:vMerge w:val="continue"/>
            <w:shd w:val="clear" w:color="auto" w:fill="CCEEFF"/>
          </w:tcPr>
          <w:p>
            <w:pPr>
              <w:spacing w:after="0"/>
              <w:rPr>
                <w:sz w:val="17"/>
                <w:szCs w:val="17"/>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149%</w:t>
            </w:r>
          </w:p>
        </w:tc>
        <w:tc>
          <w:tcPr>
            <w:tcW w:w="8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$ 84,224,026</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Arial" w:cs="Arial" w:eastAsia="Arial" w:hAnsi="Arial"/>
                <w:sz w:val="16"/>
                <w:szCs w:val="16"/>
                <w:color w:val="auto"/>
              </w:rPr>
              <w:t>Retail</w:t>
            </w:r>
          </w:p>
        </w:tc>
        <w:tc>
          <w:tcPr>
            <w:tcW w:w="920" w:type="dxa"/>
            <w:vAlign w:val="bottom"/>
          </w:tcPr>
          <w:p>
            <w:pPr>
              <w:jc w:val="right"/>
              <w:spacing w:after="0"/>
              <w:rPr>
                <w:sz w:val="20"/>
                <w:szCs w:val="20"/>
                <w:color w:val="auto"/>
              </w:rPr>
            </w:pPr>
            <w:r>
              <w:rPr>
                <w:rFonts w:ascii="Arial" w:cs="Arial" w:eastAsia="Arial" w:hAnsi="Arial"/>
                <w:sz w:val="16"/>
                <w:szCs w:val="16"/>
                <w:color w:val="auto"/>
              </w:rPr>
              <w:t>396,371,725</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137,809,904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41,994,791</w:t>
            </w:r>
          </w:p>
        </w:tc>
        <w:tc>
          <w:tcPr>
            <w:tcW w:w="2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258,561,821</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188%</w:t>
            </w: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95,815,113</w:t>
            </w:r>
          </w:p>
        </w:tc>
        <w:tc>
          <w:tcPr>
            <w:tcW w:w="680" w:type="dxa"/>
            <w:vAlign w:val="bottom"/>
            <w:gridSpan w:val="2"/>
          </w:tcPr>
          <w:p>
            <w:pPr>
              <w:ind w:left="2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3"/>
        </w:trPr>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Intersegment Eliminations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(113,776,010)</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(31,307,459)</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(5,207,245)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(82,468,551)</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263%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(26,100,214)</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Total Revenues, Net of Discounts</w:t>
            </w: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vMerge w:val="continue"/>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87"/>
              </w:rPr>
              <w:t>$ 556,572,889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216,432,605</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62,493,680</w:t>
            </w:r>
          </w:p>
        </w:tc>
        <w:tc>
          <w:tcPr>
            <w:tcW w:w="20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340,140,284</w:t>
            </w:r>
          </w:p>
        </w:tc>
        <w:tc>
          <w:tcPr>
            <w:tcW w:w="200" w:type="dxa"/>
            <w:vAlign w:val="bottom"/>
            <w:vMerge w:val="continue"/>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6"/>
                <w:szCs w:val="16"/>
                <w:b w:val="1"/>
                <w:bCs w:val="1"/>
                <w:color w:val="auto"/>
              </w:rPr>
              <w:t>157%</w:t>
            </w:r>
          </w:p>
        </w:tc>
        <w:tc>
          <w:tcPr>
            <w:tcW w:w="80" w:type="dxa"/>
            <w:vAlign w:val="bottom"/>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153,938,925</w:t>
            </w:r>
          </w:p>
        </w:tc>
        <w:tc>
          <w:tcPr>
            <w:tcW w:w="200" w:type="dxa"/>
            <w:vAlign w:val="bottom"/>
            <w:vMerge w:val="continue"/>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6"/>
                <w:szCs w:val="16"/>
                <w:b w:val="1"/>
                <w:bCs w:val="1"/>
                <w:color w:val="auto"/>
              </w:rPr>
              <w:t>246%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2020 Compared with the Year Ended December 31, 2019</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Revenues, net of discounts for the Consumer Packaged Goods Segment were $273,977,174 for the year ended December 31, 2020, an increase of $164,047,014 or 149%, compared to the year ended December 31, 2019. The increase in Consumer Packaged Goods revenues, net of discounts, was primarily driven by the legalization of adult- use cannabis in Illinois on January 1, 2020, increased sales volume in established markets such as Pennsylvania, Massachusetts and Maryland and the 2020 full period effect of the June 2019 acquisition of Desert Grown Farms and Cannabiotix in Nevada.</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Revenues, net of discounts for the Retail Segment were $396,371,725 for the year ended December 31, 2020, an increase of $258,561,821 or 188%, compared to the year ended December 31, 2019. The increase in Retail revenues, net of discounts, was primarily driven by legalization of adult use in Illinois on January 1, 2020 as well as new store openings particularly in Illinois and Pennsylvania, and the 2020 full period effect of the June 2019 acquisition of the Essence stores in Nevada.</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with the Year Ended December 31, 2018</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Revenues, net of discounts for the Consumer Packaged Goods Segment were $109,930,160 for the year ended December 31, 2019, an increase of $84,224,026 or 328%, compared to the year ended December 31, 2018. The increase in Consumer Packaged Goods revenues, net of discounts, was primarily driven by increased sales volume in established markets such as Illinois, Massachusetts, Maryland and Pennsylvania as well as the acquisition of Advanced Grow Labs, LLC’s cultivation and processing facility and Integral Associates, LLC’s Desert Grown Farms cultivation and processing facility.</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Revenues, net of discounts for the Retail Segment were $137,809,904 for the year ended December 31, 2019, an increase of $95,815,113 or 228%, compared to the year ended December 31, 2018. The increase in Retail revenues, net of discounts, was primarily driven by new store openings, the acquisition of Integral Associates, LLC’s Essence branded dispensaries and increased sales volume at existing stores.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2018 Compared with the Year Ended December 31, 2017</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Revenues, net of discounts for the Consumer Packaged Goods Segment were $25,706,134 for the year ended December 31, 2018, an increase of $17,330,181 or 207%, compared to the year ended December 31, 2017. The increase in Consumer Packaged Goods revenues, net of discounts, was primarily driven by new markets in Pennsylvania and Massachusetts along with increased sales volume in the established markets of Illinois and Maryland.</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Revenues, net of discounts for the Retail Segment were $41,994,791 for the year ended December 31, 2018, an increase of $32,069,821 or 323%, compared to the year ended December 31, 2017. The increase in Retail revenues, net of discounts, was primarily driven by new store openings in Pennsylvania and Maryland, increased sales volume at existing stores in the established markets of Illinois and Nevada as well as the revenue from the acquisition of two Illinois stores in October 2017.</w:t>
      </w:r>
    </w:p>
    <w:p>
      <w:pPr>
        <w:spacing w:after="0" w:line="18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CPG level while reviewing its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Company derives its revenue from two revenue streams: a Consumer Packaged Good business in which it manufactures, sells and distributes its portfolio of finished consumer packaged goods, including brands Rythm, Dogwalkers, The Feel Collection and Beboe, among others, primarily to third-party retail customers; and a Retail business in which it sells finished goods sourced primarily from third-party cannabis manufacturers direct to the end consumer in its retail stores, as well as direct-to-consumer delivery where applicable by state law.</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year ended December 31, 2020, revenue was contributed from Consumer Packaged Goods and Retail sales across California, Colorado, Connecticut, Florida, Illinois, Maryland, Massachusetts, Nevada, New Jersey, New York, Ohio and Pennsylvania.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During the year ended December 31, 2020, the Company continued to be focused on creating sustainable, profitable growth of the Company’s base business while pursuing national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ongoing business.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relatively constant in the more established locations and increase in the newer locations as business continues to grow.</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expects an increase in stock compensation expenses related to recruiting and hiring talent, along with legal and professional fees associated with being a publicly traded company in Canada and registered with the U.S. Securities Exchange Commission.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19,077,920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(59,546,870)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22,567,779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(113,667)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(1,465,705)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
              <w:spacing w:after="0"/>
              <w:rPr>
                <w:sz w:val="20"/>
                <w:szCs w:val="20"/>
                <w:color w:val="auto"/>
              </w:rPr>
            </w:pPr>
            <w:r>
              <w:rPr>
                <w:rFonts w:ascii="Arial" w:cs="Arial" w:eastAsia="Arial" w:hAnsi="Arial"/>
                <w:sz w:val="18"/>
                <w:szCs w:val="18"/>
                <w:color w:val="auto"/>
              </w:rPr>
              <w:t>(1,952,945)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18,666,520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13,658,904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2,278,834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83,852,802</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9,344,033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7,183,595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(15,376,746)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10,318,936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2"/>
              </w:rPr>
              <w:t>(56,417,421)</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52,505,575</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31,152,182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5,183,980</w:t>
            </w: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Earnings before interest, taxes, depreciation, and amortization (EBITDA) (non-GAAP</w:t>
            </w: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measure)</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1"/>
              </w:rPr>
              <w:t>158,612,404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3,461,480</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2"/>
              </w:rPr>
              <w:t>(21,156,178)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Stock-based compensation, non-cash</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19,336,718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18,285,377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12,148,251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1,635,304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6,015,257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179,584,426</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27,762,114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(9,007,927</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542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2020 and 2019, the Company had total current liabilities of $119,288,435 and $111,367,255, respectively, and cash and cash equivalents of $83,757,785 and 46,667,334, respectively to meet its current obligations. As of December 31, 2020, the Company had working capital of $64,655,570, an increase of $66,960,214 as compared to December 31, 2019, driven primarily by a reduction in liabilities arising from the completion of business acquisitions during the year ended December 31, 2020.</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is an early-stage growth company. It is generating cash from sales and is deploying its capital reserves to acquire and develop assets capable of producing additional revenues and earnings over both the immediate and near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Investing and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operating, investing and financing activities for the years ended December 31, 2020, 2019 and 2018, were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7"/>
              </w:rPr>
              <w:t>Years Ended December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$ 95,916,965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18,013,610)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17,683,003)</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($57,274,311)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174,671,380)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111,421,268)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(1,522,203)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93,366,252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245,525,846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Cash Obligations and Other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quantifies the Company’s future contractual obligations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20" w:type="dxa"/>
            <w:vAlign w:val="bottom"/>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156"/>
        </w:trPr>
        <w:tc>
          <w:tcPr>
            <w:tcW w:w="38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Notes Payable(a)</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105,466,429</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105,466,429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Charitable Contributions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717,429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185,886</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189,953</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194,109</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147,481</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r>
      <w:tr>
        <w:trPr>
          <w:trHeight w:val="162"/>
        </w:trPr>
        <w:tc>
          <w:tcPr>
            <w:tcW w:w="3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Mortgage Payable(b)</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3,556,678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156,097</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164,763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174,964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185,281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1,573,810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1,301,763</w:t>
            </w: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Interest Due on Notes Payable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30,304,983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12,655,971</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5"/>
              </w:rPr>
              <w:t>12,655,971</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4,993,041</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r>
      <w:tr>
        <w:trPr>
          <w:trHeight w:val="162"/>
        </w:trPr>
        <w:tc>
          <w:tcPr>
            <w:tcW w:w="3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Due on Mortgage Payable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1,287,315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212,016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203,349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193,149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182,831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154,564</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341,406</w:t>
            </w: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Operating Leases—Third Party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93"/>
              </w:rPr>
              <w:t>365,277,752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24,009,579</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5"/>
              </w:rPr>
              <w:t>25,487,123</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25,360,510</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5"/>
              </w:rPr>
              <w:t>24,856,882</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5"/>
              </w:rPr>
              <w:t>22,834,433</w:t>
            </w:r>
          </w:p>
        </w:tc>
        <w:tc>
          <w:tcPr>
            <w:tcW w:w="120" w:type="dxa"/>
            <w:vAlign w:val="bottom"/>
          </w:tcPr>
          <w:p>
            <w:pPr>
              <w:spacing w:after="0"/>
              <w:rPr>
                <w:sz w:val="14"/>
                <w:szCs w:val="14"/>
                <w:color w:val="auto"/>
              </w:rPr>
            </w:pPr>
          </w:p>
        </w:tc>
        <w:tc>
          <w:tcPr>
            <w:tcW w:w="9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242,729,225</w:t>
            </w:r>
          </w:p>
        </w:tc>
      </w:tr>
      <w:tr>
        <w:trPr>
          <w:trHeight w:val="162"/>
        </w:trPr>
        <w:tc>
          <w:tcPr>
            <w:tcW w:w="3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Leases—Related Parties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15,613,128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1,307,183</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1,337,130</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1,367,771</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1,255,714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1,182,489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9,162,841</w:t>
            </w:r>
          </w:p>
        </w:tc>
      </w:tr>
      <w:tr>
        <w:trPr>
          <w:trHeight w:val="162"/>
        </w:trPr>
        <w:tc>
          <w:tcPr>
            <w:tcW w:w="3840" w:type="dxa"/>
            <w:vAlign w:val="bottom"/>
          </w:tcPr>
          <w:p>
            <w:pPr>
              <w:spacing w:after="0" w:line="162" w:lineRule="exact"/>
              <w:rPr>
                <w:sz w:val="20"/>
                <w:szCs w:val="20"/>
                <w:color w:val="auto"/>
              </w:rPr>
            </w:pPr>
            <w:r>
              <w:rPr>
                <w:rFonts w:ascii="Arial" w:cs="Arial" w:eastAsia="Arial" w:hAnsi="Arial"/>
                <w:sz w:val="15"/>
                <w:szCs w:val="15"/>
                <w:color w:val="auto"/>
              </w:rPr>
              <w:t>Contingent Consideration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27,100,000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22,150,000</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4,950,000</w:t>
            </w:r>
          </w:p>
        </w:tc>
        <w:tc>
          <w:tcPr>
            <w:tcW w:w="120" w:type="dxa"/>
            <w:vAlign w:val="bottom"/>
          </w:tcPr>
          <w:p>
            <w:pPr>
              <w:spacing w:after="0"/>
              <w:rPr>
                <w:sz w:val="14"/>
                <w:szCs w:val="14"/>
                <w:color w:val="auto"/>
              </w:rPr>
            </w:pPr>
          </w:p>
        </w:tc>
        <w:tc>
          <w:tcPr>
            <w:tcW w:w="960" w:type="dxa"/>
            <w:vAlign w:val="bottom"/>
            <w:gridSpan w:val="2"/>
          </w:tcPr>
          <w:p>
            <w:pPr>
              <w:ind w:left="58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r>
      <w:tr>
        <w:trPr>
          <w:trHeight w:val="162"/>
        </w:trPr>
        <w:tc>
          <w:tcPr>
            <w:tcW w:w="38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Construction Commitments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520,252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520,252</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r>
      <w:tr>
        <w:trPr>
          <w:trHeight w:val="169"/>
        </w:trPr>
        <w:tc>
          <w:tcPr>
            <w:tcW w:w="3840" w:type="dxa"/>
            <w:vAlign w:val="bottom"/>
          </w:tcPr>
          <w:p>
            <w:pPr>
              <w:spacing w:after="0" w:line="169" w:lineRule="exact"/>
              <w:rPr>
                <w:sz w:val="20"/>
                <w:szCs w:val="20"/>
                <w:color w:val="auto"/>
              </w:rPr>
            </w:pPr>
            <w:r>
              <w:rPr>
                <w:rFonts w:ascii="Arial" w:cs="Arial" w:eastAsia="Arial" w:hAnsi="Arial"/>
                <w:sz w:val="15"/>
                <w:szCs w:val="15"/>
                <w:b w:val="1"/>
                <w:bCs w:val="1"/>
                <w:color w:val="auto"/>
              </w:rPr>
              <w:t>Total as of December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3"/>
              </w:rPr>
              <w:t>549,843,966</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3"/>
              </w:rPr>
              <w:t>61,196,984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44,988,289</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137,749,973</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26,628,189</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25,745,296</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253,535,235</w:t>
            </w:r>
          </w:p>
        </w:tc>
        <w:tc>
          <w:tcPr>
            <w:tcW w:w="60" w:type="dxa"/>
            <w:vAlign w:val="bottom"/>
          </w:tcPr>
          <w:p>
            <w:pPr>
              <w:spacing w:after="0"/>
              <w:rPr>
                <w:sz w:val="14"/>
                <w:szCs w:val="14"/>
                <w:color w:val="auto"/>
              </w:rPr>
            </w:pPr>
          </w:p>
        </w:tc>
      </w:tr>
      <w:tr>
        <w:trPr>
          <w:trHeight w:val="20"/>
        </w:trPr>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2" w:lineRule="exact"/>
        <w:rPr>
          <w:sz w:val="20"/>
          <w:szCs w:val="20"/>
          <w:color w:val="auto"/>
        </w:rPr>
      </w:pPr>
    </w:p>
    <w:p>
      <w:pPr>
        <w:ind w:left="540" w:right="220" w:hanging="424"/>
        <w:spacing w:after="0" w:line="250"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May 21, 2020, the Company exercised its option to extend the maturity date of its senior secured notes for an additional year. The new maturity date is May 22, 2023. Additionally, this amount excludes $10,511,335 of unamortized debt discount as of December 31, 2020. See Note 11—Notes Payable for details.</w:t>
      </w:r>
    </w:p>
    <w:p>
      <w:pPr>
        <w:ind w:left="540" w:hanging="424"/>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amount excludes $174,222 of unamortized debt discount as of December 31, 2020. See Note 11—Notes Payable for details.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December 31, 2020 and 2019,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Pending and Subsequent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February 8, 2021, the SEC declared effective the Company’s Registration Statement No. 333-248213 on Form S-1 filed on February 2,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Form S-1</w:t>
      </w:r>
      <w:r>
        <w:rPr>
          <w:rFonts w:ascii="Arial" w:cs="Arial" w:eastAsia="Arial" w:hAnsi="Arial"/>
          <w:sz w:val="16"/>
          <w:szCs w:val="16"/>
          <w:color w:val="auto"/>
        </w:rPr>
        <w:t>”. Shortly thereafter, the Company received an offer from a single institutional investor to purchase 3,122,073 of the Subordinate Voting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registered on the Form S-1 at a price of $32.03 per share for a total of $100,000,030. The transaction closed on February 9, 2021.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February 23, 2021, the Company accepted additional offers to purchase a total of 1,571,917 Subordinate Voting Shares at a price of $35.50 per share,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total of $55,803,054.</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discussion under Part II, Item 8, Notes to Consolidated Financial Statements, Note 2 – Significant Accounting Policies.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76"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Management selected discount rates ranging from 12% to 18% primarily dependent upon the markets in which each of the acquisitions operates. The terminal growth rate represents the rate at which these businesses will continue to grow into perpetuity. Management selected terminal growth rates between 2% and 3%. Other significant assumptions include revenue, gross profit, operating expenses and anticipated capital expenditures which are based upon the Corporation’s historical operations along with management projections.</w:t>
      </w:r>
    </w:p>
    <w:p>
      <w:pPr>
        <w:spacing w:after="0" w:line="16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Company’s assets are aggregated into two reportable segments (Retail and Consumer Packaged Goods). For the purposes of testing goodwill, the Company has identified 22 reporting units. The Company analyzed its reporting units by first reviewing the operating segments based on the geographic areas in which the Company conducts business (or each market). The markets were then further divided into reporting units based on the market operations (retail and consumer packaged goods) which were primarily determined based on the licenses each market holds. The following represent the markets in which the Company operates as of December 31, 2020: California, Colorado, Connecticut, Florida, Illinois, Maryland, Massachusetts, Nevada, New Jersey, New York, Ohio and Pennsylvania.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Payments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900"/>
        <w:spacing w:after="0" w:line="375" w:lineRule="auto"/>
        <w:rPr>
          <w:sz w:val="20"/>
          <w:szCs w:val="20"/>
          <w:color w:val="auto"/>
        </w:rPr>
      </w:pPr>
      <w:r>
        <w:rPr>
          <w:rFonts w:ascii="Arial" w:cs="Arial" w:eastAsia="Arial" w:hAnsi="Arial"/>
          <w:sz w:val="18"/>
          <w:szCs w:val="18"/>
          <w:b w:val="1"/>
          <w:bCs w:val="1"/>
          <w:color w:val="auto"/>
        </w:rPr>
        <w:t>ITEM 7A. QUANTITAVE AND QUALITATIVE DISCLOSURES ABOUT MARKET RISK Financial Risk Management</w:t>
      </w:r>
    </w:p>
    <w:p>
      <w:pPr>
        <w:spacing w:after="0" w:line="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The Company is exposed in varying degrees to a variety of financial instrument related risks.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mitigates these risks by assessing, monitoring and approving the Company’s risk management processes.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provides credit to its customers in the normal course of business. The Company has established credit evaluation and monitoring processes to mitigate credit risk but has limited risk as the majority of its sales are transacted with cash.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raw material and other commodity prices.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operating results and financial position of the Company are reported in U.S. dollars. Some of the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are denominated in currencies other than the U.S. dollar. The results of the Company’s operations are subject to currency transaction risks. The Company has no hedging agreements in place with respect to foreign exchange rates. The Company has not entered into any agreements or purchased any instruments to hedge possible currency risks at this time.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The Company’s financial debts have fixed rates of interest and therefore expose the Company to a limited interest rate fair value risk.</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Commodities Price Risk</w:t>
      </w:r>
      <w:r>
        <w:rPr>
          <w:rFonts w:ascii="Arial" w:cs="Arial" w:eastAsia="Arial" w:hAnsi="Arial"/>
          <w:sz w:val="16"/>
          <w:szCs w:val="16"/>
          <w:color w:val="auto"/>
        </w:rPr>
        <w:t>. Price risk is the risk of variability in fair value due to movements in equity or market prices. The primary raw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information required by Item 8 is located beginning on page F-1 of this report.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700"/>
        <w:spacing w:after="0" w:line="3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 Prior Independent Registered Accounting Firm</w:t>
      </w:r>
    </w:p>
    <w:p>
      <w:pPr>
        <w:spacing w:after="0" w:line="1"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color w:val="auto"/>
        </w:rPr>
        <w:t>Following the Transaction, the independent registered public accounting firm of the Corporation was MNP LLP (“</w:t>
      </w:r>
      <w:r>
        <w:rPr>
          <w:rFonts w:ascii="Arial" w:cs="Arial" w:eastAsia="Arial" w:hAnsi="Arial"/>
          <w:sz w:val="18"/>
          <w:szCs w:val="18"/>
          <w:b w:val="1"/>
          <w:bCs w:val="1"/>
          <w:color w:val="auto"/>
        </w:rPr>
        <w:t>MNP</w:t>
      </w:r>
      <w:r>
        <w:rPr>
          <w:rFonts w:ascii="Arial" w:cs="Arial" w:eastAsia="Arial" w:hAnsi="Arial"/>
          <w:sz w:val="18"/>
          <w:szCs w:val="18"/>
          <w:color w:val="auto"/>
        </w:rPr>
        <w:t>”) located at 111 Richmond Street W, Suite 300, Toronto, Ontario M5H 2G4, Canada. The Company engaged MNP on February 21, 2019, and MNP completed an audit of the Company for the year ended December 31, 2018. MNP resigned as the Company’s auditor effective October 15, 2019. The resignation of MNP was approved by the Audit Committee and the Board.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2018 and the subsequent period through October 15, 2019, the date of MNP’s resignation, there were no</w:t>
      </w:r>
    </w:p>
    <w:p>
      <w:pPr>
        <w:spacing w:after="0" w:line="46" w:lineRule="exact"/>
        <w:rPr>
          <w:sz w:val="20"/>
          <w:szCs w:val="20"/>
          <w:color w:val="auto"/>
        </w:rPr>
      </w:pPr>
    </w:p>
    <w:p>
      <w:pPr>
        <w:ind w:left="120" w:right="20" w:hanging="4"/>
        <w:spacing w:after="0" w:line="302" w:lineRule="auto"/>
        <w:tabs>
          <w:tab w:leader="none" w:pos="3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disagreements with MNP on any matter of accounting principles or practices, financial statement disclosure or auditing scope or procedure, which, if not resolved to MNP’s satisfaction, would have caused MNP to make reference thereto in its report on the consolidated financial statements of the Company (as described in Item 304(a)(1)(iv) of Regulation S-K) or (2) reportable events (as described in Item 304(a)(1)(v) of Regulation S-K).</w:t>
      </w:r>
    </w:p>
    <w:p>
      <w:pPr>
        <w:spacing w:after="0" w:line="15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MNP’s report on the consolidated financial statements of the Company for the year ended December 31, 2018 did not contain an adverse opinion or a disclaimer of opinion and was not qualified or modified as to uncertainty, audit scope or accounting principles.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have provided MNP with a copy of the foregoing disclosures and requested that MNP furnish us with a letter addressed to the SEC stating whether MNP agrees with the statements made herein and, if not, stating the respects in which it does not agree. A copy of the letter is filed as Exhibit 16.1 to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Engagement of Macias Gini &amp; O’Connell LLP</w:t>
      </w:r>
    </w:p>
    <w:p>
      <w:pPr>
        <w:spacing w:after="0" w:line="117"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color w:val="auto"/>
        </w:rPr>
        <w:t>The Company appointed Macias Gini &amp; O’Connell LLP (“</w:t>
      </w:r>
      <w:r>
        <w:rPr>
          <w:rFonts w:ascii="Arial" w:cs="Arial" w:eastAsia="Arial" w:hAnsi="Arial"/>
          <w:sz w:val="18"/>
          <w:szCs w:val="18"/>
          <w:b w:val="1"/>
          <w:bCs w:val="1"/>
          <w:color w:val="auto"/>
        </w:rPr>
        <w:t>MGO</w:t>
      </w:r>
      <w:r>
        <w:rPr>
          <w:rFonts w:ascii="Arial" w:cs="Arial" w:eastAsia="Arial" w:hAnsi="Arial"/>
          <w:sz w:val="18"/>
          <w:szCs w:val="18"/>
          <w:color w:val="auto"/>
        </w:rPr>
        <w:t>”) located at 2029 Century Park East, Suite 1500, Los Angeles, California 90067 as its independent registered public accounting firm effective October 17, 2019. The engagement of MGO was approved by the Audit Committee and the Board. MGO has completed an audit of the Company for the years ended December 31, 2020 and 2019.</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period from October 17, 2019 through November 30, 2019, the Company did not consult with MGO regarding any of the following:</w:t>
      </w:r>
    </w:p>
    <w:p>
      <w:pPr>
        <w:spacing w:after="0" w:line="154" w:lineRule="exact"/>
        <w:rPr>
          <w:sz w:val="20"/>
          <w:szCs w:val="20"/>
          <w:color w:val="auto"/>
        </w:rPr>
      </w:pPr>
    </w:p>
    <w:p>
      <w:pPr>
        <w:ind w:left="1080" w:right="10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Company’s financial statements, and neither a written report nor oral advice was provided to the Company that MGO concluded was an important factor considered by the Company in reaching a decision as to an accounting, auditing or financial reporting issue; or</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described in Item 304(a)(1)(iv) of Regulation S-K) or a reportable event (as described in Item 304(a)(1)(v) of Regulation S-K).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evaluated the effectiveness of our disclosure controls and procedures as of December 31, 2020. The term “disclosure controls and procedures,” as defined in Rules 13a-15(e) and 15d-15(e)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2020. As a new SEC registrant, Green Thumb is not required to include management’s assessment of Internal Controls over Financial Reporting (“</w:t>
      </w:r>
      <w:r>
        <w:rPr>
          <w:rFonts w:ascii="Arial" w:cs="Arial" w:eastAsia="Arial" w:hAnsi="Arial"/>
          <w:sz w:val="17"/>
          <w:szCs w:val="17"/>
          <w:b w:val="1"/>
          <w:bCs w:val="1"/>
          <w:color w:val="auto"/>
        </w:rPr>
        <w:t>ICFR</w:t>
      </w:r>
      <w:r>
        <w:rPr>
          <w:rFonts w:ascii="Arial" w:cs="Arial" w:eastAsia="Arial" w:hAnsi="Arial"/>
          <w:sz w:val="17"/>
          <w:szCs w:val="17"/>
          <w:color w:val="auto"/>
        </w:rPr>
        <w:t>”) or an attestation report of the Company’s registered public accounting firm in our 2020 Form 10-K. However, management has developed and is in the process of enhancing the Company’s ICFR and its disclosure controls and procedures in preparation for the annual audit of the Company for the 2021 fiscal year. Green Thumb expects to be required to include both management’s assessment of ICFR and the attestation of the Company’s registered public accounting firm regarding the Company’s ICFR in our 2021 annual report on Form 10-K. Management, including the Chief Executive Officer and Chief Financial Officer, have carefully considered the Company’s progress in the development of the disclosure controls and procedures to date and determined that they were reasonably effective at the assurance level as of December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Information regarding directors and executive officers will be included in the 2021 Proxy Statement and is incorporated herein by reference.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required by this item will be set forth under Executive Compensation in the Green Thumb Industries Inc. Proxy Statement for the 2021 Annual Meeting of Shareholders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will be included in the 2021 Proxy Statement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equity compensation plans will be included in the 2021 Proxy Statement and is incorporated herein by reference.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DIRECTOR INDEPENDENCE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incorporated herein by reference to the 2021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principal accounting fees and services is incorporated herein by reference to the 2021 Proxy Statement.</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820"/>
          </w:cols>
          <w:pgMar w:left="320" w:top="459" w:right="7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b w:val="1"/>
          <w:bCs w:val="1"/>
          <w:color w:val="auto"/>
        </w:rPr>
      </w:pPr>
    </w:p>
    <w:p>
      <w:pPr>
        <w:ind w:left="11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listed in the accompanying index (page F-1) to the financial statements are filed as part of this Annual Report on Form 10-K.</w:t>
      </w:r>
    </w:p>
    <w:p>
      <w:pPr>
        <w:spacing w:after="0" w:line="7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exhibits listed on the accompanying index (page E-1) are filed as part of this Annual Report on Form 10-K.</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Financial Statements Schedules omitted</w:t>
      </w:r>
    </w:p>
    <w:p>
      <w:pPr>
        <w:spacing w:after="0" w:line="117" w:lineRule="exact"/>
        <w:rPr>
          <w:rFonts w:ascii="Arial" w:cs="Arial" w:eastAsia="Arial" w:hAnsi="Arial"/>
          <w:sz w:val="18"/>
          <w:szCs w:val="18"/>
          <w:b w:val="1"/>
          <w:bCs w:val="1"/>
          <w:color w:val="auto"/>
        </w:rPr>
      </w:pPr>
    </w:p>
    <w:p>
      <w:pPr>
        <w:ind w:left="110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schedules have been omitted because the required information is included in the consolidated financial statements and notes thereto or because they are not applicable or not required.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209"/>
        </w:trPr>
        <w:tc>
          <w:tcPr>
            <w:tcW w:w="10560" w:type="dxa"/>
            <w:vAlign w:val="bottom"/>
            <w:tcBorders>
              <w:top w:val="single" w:sz="8" w:color="CCEEFF"/>
            </w:tcBorders>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Consolidated Balance Sheets as of December 31, 2020 and 2019</w:t>
              </w:r>
            </w:hyperlink>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Consolidated Statement of Operations for each of the three years in the period ended December 31, 2020</w:t>
              </w:r>
            </w:hyperlink>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F-2</w:t>
            </w:r>
          </w:p>
        </w:tc>
      </w:tr>
      <w:tr>
        <w:trPr>
          <w:trHeight w:val="216"/>
        </w:trPr>
        <w:tc>
          <w:tcPr>
            <w:tcW w:w="10560" w:type="dxa"/>
            <w:vAlign w:val="bottom"/>
            <w:shd w:val="clear" w:color="auto" w:fill="CCEEFF"/>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Consolidated Statements of Changes in Shareholders’ Equity</w:t>
              </w:r>
            </w:hyperlink>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F-3</w:t>
            </w: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Consolidated Statement of Cash Flows for each of the three years in the period ended December 31, 2020</w:t>
              </w:r>
            </w:hyperlink>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F-5</w:t>
            </w:r>
          </w:p>
        </w:tc>
      </w:tr>
      <w:tr>
        <w:trPr>
          <w:trHeight w:val="216"/>
        </w:trPr>
        <w:tc>
          <w:tcPr>
            <w:tcW w:w="10560" w:type="dxa"/>
            <w:vAlign w:val="bottom"/>
            <w:shd w:val="clear" w:color="auto" w:fill="CCEEFF"/>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Notes to Consolidated Financial Statements</w:t>
              </w:r>
            </w:hyperlink>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F-7</w:t>
            </w: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Reports of Independent Public Accounting Firms</w:t>
              </w:r>
            </w:hyperlink>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F-57</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A list of exhibits filed with this Annual Report on Form 10-K is included in the Exhibit Index immediately preceding Appendix A to this Annual Report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gridSpan w:val="7"/>
          </w:tcPr>
          <w:p>
            <w:pPr>
              <w:ind w:left="1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vMerge w:val="restart"/>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Description of Exhibit</w:t>
            </w:r>
          </w:p>
        </w:tc>
        <w:tc>
          <w:tcPr>
            <w:tcW w:w="42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4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Amended and Restated Articles of Green Thumb Industries Inc.</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w w:val="92"/>
              </w:rPr>
            </w:pPr>
            <w:hyperlink r:id="rId106">
              <w:r>
                <w:rPr>
                  <w:rFonts w:ascii="Arial" w:cs="Arial" w:eastAsia="Arial" w:hAnsi="Arial"/>
                  <w:sz w:val="18"/>
                  <w:szCs w:val="18"/>
                  <w:u w:val="single" w:color="auto"/>
                  <w:color w:val="0000EE"/>
                  <w:w w:val="92"/>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Business Combination Agreement, dated June 12, 2018, by and among Bayswater Uranium Corporation, VCP23, LLC, GTI Finco Inc.,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1165318 B.C. Ltd. and GTI23, Inc.</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w:t>
            </w:r>
          </w:p>
        </w:tc>
        <w:tc>
          <w:tcPr>
            <w:tcW w:w="500" w:type="dxa"/>
            <w:vAlign w:val="bottom"/>
          </w:tcPr>
          <w:p>
            <w:pPr>
              <w:spacing w:after="0"/>
              <w:rPr>
                <w:sz w:val="24"/>
                <w:szCs w:val="24"/>
                <w:color w:val="auto"/>
              </w:rPr>
            </w:pPr>
          </w:p>
        </w:tc>
        <w:tc>
          <w:tcPr>
            <w:tcW w:w="9980" w:type="dxa"/>
            <w:vAlign w:val="bottom"/>
            <w:tcBorders>
              <w:bottom w:val="single" w:sz="8" w:color="0000EE"/>
            </w:tcBorders>
            <w:gridSpan w:val="1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Membership Interest Purchase Agreement, dated November 12, 2018, by and among the Seller Parties, GTI Core, LLC and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Industries Inc.</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10.3*#</w:t>
            </w:r>
          </w:p>
        </w:tc>
        <w:tc>
          <w:tcPr>
            <w:tcW w:w="500" w:type="dxa"/>
            <w:vAlign w:val="bottom"/>
          </w:tcPr>
          <w:p>
            <w:pPr>
              <w:spacing w:after="0"/>
              <w:rPr>
                <w:sz w:val="24"/>
                <w:szCs w:val="24"/>
                <w:color w:val="auto"/>
              </w:rPr>
            </w:pPr>
          </w:p>
        </w:tc>
        <w:tc>
          <w:tcPr>
            <w:tcW w:w="9980" w:type="dxa"/>
            <w:vAlign w:val="bottom"/>
            <w:tcBorders>
              <w:bottom w:val="single" w:sz="8" w:color="0000EE"/>
            </w:tcBorders>
            <w:gridSpan w:val="1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Amendment No. 1 to Membership Interest Purchase Agreement, dated June 5, 2019, by and among the Seller Parties, GTI Core, LLC and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Green Thumb Industries Inc.</w:t>
              </w:r>
            </w:hyperlink>
          </w:p>
        </w:tc>
        <w:tc>
          <w:tcPr>
            <w:tcW w:w="79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10.4*#</w:t>
            </w:r>
          </w:p>
        </w:tc>
        <w:tc>
          <w:tcPr>
            <w:tcW w:w="500" w:type="dxa"/>
            <w:vAlign w:val="bottom"/>
          </w:tcPr>
          <w:p>
            <w:pPr>
              <w:spacing w:after="0"/>
              <w:rPr>
                <w:sz w:val="24"/>
                <w:szCs w:val="24"/>
                <w:color w:val="auto"/>
              </w:rPr>
            </w:pPr>
          </w:p>
        </w:tc>
        <w:tc>
          <w:tcPr>
            <w:tcW w:w="9960" w:type="dxa"/>
            <w:vAlign w:val="bottom"/>
            <w:tcBorders>
              <w:bottom w:val="single" w:sz="8" w:color="0000EE"/>
            </w:tcBorders>
            <w:gridSpan w:val="10"/>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Agreement and Plan of Merger and Reorganization, dated January 4, 2019, by and among Green Thumb Industries Inc., GTI Merger Sub,</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LLC and Advanced Grow Labs, LLC.</w:t>
              </w:r>
            </w:hyperlink>
          </w:p>
        </w:tc>
        <w:tc>
          <w:tcPr>
            <w:tcW w:w="7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10.5*#</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First Amendment to the Agreement and Plan of Merger and Reorganization, dated February 11, 2019, by and among Green Thumb</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Industries Inc., GTI Merger Sub, LLC and Advanced Grow Labs, LLC.</w:t>
              </w:r>
            </w:hyperlink>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gridSpan w:val="6"/>
            <w:shd w:val="clear" w:color="auto" w:fill="0000EE"/>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10.6*#</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Note Purchase Agreement, dated May 22, 2019, by and among the Issuers, the Purchasers and the Agents.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10.7*#</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w w:val="91"/>
              </w:rPr>
            </w:pPr>
            <w:hyperlink r:id="rId113">
              <w:r>
                <w:rPr>
                  <w:rFonts w:ascii="Arial" w:cs="Arial" w:eastAsia="Arial" w:hAnsi="Arial"/>
                  <w:sz w:val="18"/>
                  <w:szCs w:val="18"/>
                  <w:u w:val="single" w:color="auto"/>
                  <w:color w:val="0000EE"/>
                  <w:w w:val="91"/>
                </w:rPr>
                <w:t>First Amendment to the Note Purchase Agreement, dated November 9, 2019, by and among the Issuers, the Purchasers and the Agents.</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Green Thumb Industries Inc. 2018 Stock and Incentive Plan, dated June 11, 2018.</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10.10#</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Notice of Option Grant.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Form of Option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87"/>
              </w:rPr>
              <w:t>10.12#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Form of Notice of RSU Grant and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Form of Indemnification Agreement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67">
              <w:r>
                <w:rPr>
                  <w:rFonts w:ascii="Arial" w:cs="Arial" w:eastAsia="Arial" w:hAnsi="Arial"/>
                  <w:sz w:val="18"/>
                  <w:szCs w:val="18"/>
                  <w:u w:val="single" w:color="auto"/>
                  <w:color w:val="0000EE"/>
                </w:rPr>
                <w:t>MNP LLP Letter, dated March 18, 2021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r:id="rId119">
              <w:r>
                <w:rPr>
                  <w:rFonts w:ascii="Arial" w:cs="Arial" w:eastAsia="Arial" w:hAnsi="Arial"/>
                  <w:sz w:val="18"/>
                  <w:szCs w:val="18"/>
                  <w:u w:val="single" w:color="auto"/>
                  <w:color w:val="0000EE"/>
                </w:rPr>
                <w:t>List of Subsidiaries of Green Thumb Industries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68">
              <w:r>
                <w:rPr>
                  <w:rFonts w:ascii="Arial" w:cs="Arial" w:eastAsia="Arial" w:hAnsi="Arial"/>
                  <w:sz w:val="18"/>
                  <w:szCs w:val="18"/>
                  <w:u w:val="single" w:color="auto"/>
                  <w:color w:val="0000EE"/>
                </w:rPr>
                <w:t>Consent of Independent Registered Public Accounting Firm (MGO)</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Consent of Independent Registered Public Accounting Firm (MNP).</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Chief Executive Officer required by Rule 13a-14(a) of the Exchange Act.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Certification of Chief Financial Officer required by Rule 13a-14(a) of the Exchange Act.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72">
              <w:r>
                <w:rPr>
                  <w:rFonts w:ascii="Arial" w:cs="Arial" w:eastAsia="Arial" w:hAnsi="Arial"/>
                  <w:sz w:val="18"/>
                  <w:szCs w:val="18"/>
                  <w:u w:val="single" w:color="auto"/>
                  <w:color w:val="0000EE"/>
                </w:rPr>
                <w:t>Certification of Chief Executive Officer pursuant to Section 1350 of Chapter 63 of the United States Code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Certification of Chief Financial Officer pursuant to Section 1350 of Chapter 63 of the United States Code.</w:t>
              </w:r>
            </w:hyperlink>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340" w:hanging="224"/>
        <w:spacing w:after="0" w:line="25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5500" w:right="3620" w:hanging="5384"/>
        <w:spacing w:after="0" w:line="433" w:lineRule="auto"/>
        <w:tabs>
          <w:tab w:leader="none" w:pos="3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10 filed on December 20, 2019. E-1</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3"/>
              </w:rPr>
              <w:t>Appendix A</w:t>
            </w:r>
          </w:p>
        </w:tc>
        <w:tc>
          <w:tcPr>
            <w:tcW w:w="0" w:type="dxa"/>
            <w:vAlign w:val="bottom"/>
          </w:tcPr>
          <w:p>
            <w:pPr>
              <w:spacing w:after="0"/>
              <w:rPr>
                <w:sz w:val="1"/>
                <w:szCs w:val="1"/>
                <w:color w:val="auto"/>
              </w:rPr>
            </w:pPr>
          </w:p>
        </w:tc>
      </w:tr>
      <w:tr>
        <w:trPr>
          <w:trHeight w:val="54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gridSpan w:val="4"/>
          </w:tcPr>
          <w:p>
            <w:pPr>
              <w:jc w:val="center"/>
              <w:ind w:left="874"/>
              <w:spacing w:after="0"/>
              <w:rPr>
                <w:sz w:val="20"/>
                <w:szCs w:val="20"/>
                <w:color w:val="auto"/>
              </w:rPr>
            </w:pPr>
            <w:r>
              <w:rPr>
                <w:rFonts w:ascii="Arial" w:cs="Arial" w:eastAsia="Arial" w:hAnsi="Arial"/>
                <w:sz w:val="18"/>
                <w:szCs w:val="18"/>
                <w:b w:val="1"/>
                <w:bCs w:val="1"/>
                <w:color w:val="auto"/>
                <w:w w:val="90"/>
              </w:rPr>
              <w:t>List of Licenses of Green Thumb Industries Inc.</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w w:val="96"/>
              </w:rPr>
              <w:t>Licenses in the State of California</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Renewal Date</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Holding Entity</w:t>
            </w: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Permit License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City</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(MM/DD/YY)</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ESSENCE CC, LLC</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4"/>
              <w:spacing w:after="0" w:line="195" w:lineRule="exact"/>
              <w:rPr>
                <w:sz w:val="20"/>
                <w:szCs w:val="20"/>
                <w:color w:val="auto"/>
              </w:rPr>
            </w:pPr>
            <w:r>
              <w:rPr>
                <w:rFonts w:ascii="Arial" w:cs="Arial" w:eastAsia="Arial" w:hAnsi="Arial"/>
                <w:sz w:val="18"/>
                <w:szCs w:val="18"/>
                <w:color w:val="auto"/>
                <w:w w:val="90"/>
              </w:rPr>
              <w:t>Customer Number 508318</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Culver City, CA</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N/A</w:t>
            </w:r>
          </w:p>
        </w:tc>
        <w:tc>
          <w:tcPr>
            <w:tcW w:w="6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Medicinal Dispensary,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Adult Use Retail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Store and Home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Delivery Conditional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Licenses</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ESSENCE WEHO, LLC</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Conditional License</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West Hollywood, CA</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Adult Use Retail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Store, Home Delivery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and Consumption</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INTEGRAL ASSOCIATES</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Conditional License</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Culver City, CA</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color w:val="auto"/>
              </w:rPr>
              <w:t>N/A</w:t>
            </w: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Distribution and</w:t>
            </w:r>
          </w:p>
        </w:tc>
        <w:tc>
          <w:tcPr>
            <w:tcW w:w="0" w:type="dxa"/>
            <w:vAlign w:val="bottom"/>
          </w:tcPr>
          <w:p>
            <w:pPr>
              <w:spacing w:after="0"/>
              <w:rPr>
                <w:sz w:val="1"/>
                <w:szCs w:val="1"/>
                <w:color w:val="auto"/>
              </w:rPr>
            </w:pPr>
          </w:p>
        </w:tc>
      </w:tr>
      <w:tr>
        <w:trPr>
          <w:trHeight w:val="216"/>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CALIFORNIA, LLC</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Delivery Conditional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INTEGRAL ASSOCIATES</w:t>
            </w:r>
          </w:p>
        </w:tc>
        <w:tc>
          <w:tcPr>
            <w:tcW w:w="2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C10-0000787-LIC</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Pasadena, CA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2/26/2022</w:t>
            </w:r>
          </w:p>
        </w:tc>
        <w:tc>
          <w:tcPr>
            <w:tcW w:w="6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Medicinal Dispensary,</w:t>
            </w:r>
          </w:p>
        </w:tc>
        <w:tc>
          <w:tcPr>
            <w:tcW w:w="0" w:type="dxa"/>
            <w:vAlign w:val="bottom"/>
          </w:tcPr>
          <w:p>
            <w:pPr>
              <w:spacing w:after="0"/>
              <w:rPr>
                <w:sz w:val="1"/>
                <w:szCs w:val="1"/>
                <w:color w:val="auto"/>
              </w:rPr>
            </w:pPr>
          </w:p>
        </w:tc>
      </w:tr>
      <w:tr>
        <w:trPr>
          <w:trHeight w:val="216"/>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rPr>
              <w:t>DENA, LLC</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Adult Use Retail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Store and Home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Delivery Provisional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24"/>
        </w:trPr>
        <w:tc>
          <w:tcPr>
            <w:tcW w:w="2620" w:type="dxa"/>
            <w:vAlign w:val="bottom"/>
            <w:gridSpan w:val="3"/>
          </w:tcPr>
          <w:p>
            <w:pPr>
              <w:spacing w:after="0"/>
              <w:rPr>
                <w:sz w:val="20"/>
                <w:szCs w:val="20"/>
                <w:color w:val="auto"/>
              </w:rPr>
            </w:pPr>
            <w:r>
              <w:rPr>
                <w:rFonts w:ascii="Arial" w:cs="Arial" w:eastAsia="Arial" w:hAnsi="Arial"/>
                <w:sz w:val="18"/>
                <w:szCs w:val="18"/>
                <w:i w:val="1"/>
                <w:iCs w:val="1"/>
                <w:color w:val="auto"/>
                <w:w w:val="90"/>
              </w:rPr>
              <w:t>Licenses in the State of Connecticut</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Renewal Date</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Holding Entity</w:t>
            </w: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Permit License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City</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(MM/DD/YY)</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ADVANCED GROW LABS,</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4"/>
              <w:spacing w:after="0" w:line="195" w:lineRule="exact"/>
              <w:rPr>
                <w:sz w:val="20"/>
                <w:szCs w:val="20"/>
                <w:color w:val="auto"/>
              </w:rPr>
            </w:pPr>
            <w:r>
              <w:rPr>
                <w:rFonts w:ascii="Arial" w:cs="Arial" w:eastAsia="Arial" w:hAnsi="Arial"/>
                <w:sz w:val="18"/>
                <w:szCs w:val="18"/>
                <w:color w:val="auto"/>
                <w:w w:val="92"/>
              </w:rPr>
              <w:t>MMPR.0000001</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West Haven, CT</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02/06/2022</w:t>
            </w:r>
          </w:p>
        </w:tc>
        <w:tc>
          <w:tcPr>
            <w:tcW w:w="6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rPr>
              <w:t>LLC</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7"/>
              </w:rPr>
              <w:t>ADVANCED GROW LABS,</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BAK.0015356</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West Haven, CT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Bakery License</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rPr>
              <w:t>LLC</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(for Edibles)</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BLUEPOINT WELLNESS OF</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MMDF.0000002</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Branford, CT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04/10/2021</w:t>
            </w:r>
          </w:p>
        </w:tc>
        <w:tc>
          <w:tcPr>
            <w:tcW w:w="6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CONNECTICUT</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6"/>
              </w:rPr>
              <w:t>BLUEPOINT WELLNESS OF</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MMDF.0000029</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Westport, CT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12/17/2021</w:t>
            </w:r>
          </w:p>
        </w:tc>
        <w:tc>
          <w:tcPr>
            <w:tcW w:w="6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WESTPORT, LLC</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SOUTHERN CT</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MMDF.0000015</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Milford, CT</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02/04/2021*</w:t>
            </w:r>
          </w:p>
        </w:tc>
        <w:tc>
          <w:tcPr>
            <w:tcW w:w="6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16"/>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w w:val="98"/>
              </w:rPr>
              <w:t>WELLNESS &amp; HEALING,</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230"/>
        </w:trPr>
        <w:tc>
          <w:tcPr>
            <w:tcW w:w="2620" w:type="dxa"/>
            <w:vAlign w:val="bottom"/>
            <w:gridSpan w:val="3"/>
          </w:tcPr>
          <w:p>
            <w:pPr>
              <w:jc w:val="center"/>
              <w:ind w:right="320"/>
              <w:spacing w:after="0"/>
              <w:rPr>
                <w:sz w:val="20"/>
                <w:szCs w:val="20"/>
                <w:color w:val="auto"/>
              </w:rPr>
            </w:pPr>
            <w:r>
              <w:rPr>
                <w:rFonts w:ascii="Arial" w:cs="Arial" w:eastAsia="Arial" w:hAnsi="Arial"/>
                <w:sz w:val="18"/>
                <w:szCs w:val="18"/>
                <w:color w:val="auto"/>
              </w:rPr>
              <w:t>LLC</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20" w:type="dxa"/>
            <w:vAlign w:val="bottom"/>
            <w:gridSpan w:val="3"/>
          </w:tcPr>
          <w:p>
            <w:pPr>
              <w:jc w:val="center"/>
              <w:ind w:right="380"/>
              <w:spacing w:after="0"/>
              <w:rPr>
                <w:sz w:val="20"/>
                <w:szCs w:val="20"/>
                <w:color w:val="auto"/>
              </w:rPr>
            </w:pPr>
            <w:r>
              <w:rPr>
                <w:rFonts w:ascii="Arial" w:cs="Arial" w:eastAsia="Arial" w:hAnsi="Arial"/>
                <w:sz w:val="18"/>
                <w:szCs w:val="18"/>
                <w:i w:val="1"/>
                <w:iCs w:val="1"/>
                <w:color w:val="auto"/>
                <w:w w:val="90"/>
              </w:rPr>
              <w:t>Licenses in the State of Florida</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Renewal Date</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Holding Entity</w:t>
            </w:r>
          </w:p>
        </w:tc>
        <w:tc>
          <w:tcPr>
            <w:tcW w:w="2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Permit License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City</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(MM/DD/ YY)</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KSGNF, LLC</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ind w:right="114"/>
              <w:spacing w:after="0" w:line="195" w:lineRule="exact"/>
              <w:rPr>
                <w:sz w:val="20"/>
                <w:szCs w:val="20"/>
                <w:color w:val="auto"/>
              </w:rPr>
            </w:pPr>
            <w:r>
              <w:rPr>
                <w:rFonts w:ascii="Arial" w:cs="Arial" w:eastAsia="Arial" w:hAnsi="Arial"/>
                <w:sz w:val="18"/>
                <w:szCs w:val="18"/>
                <w:color w:val="auto"/>
              </w:rPr>
              <w:t>MMTC</w:t>
            </w:r>
          </w:p>
        </w:tc>
        <w:tc>
          <w:tcPr>
            <w:tcW w:w="12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Homestead, FL</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02/28/2023</w:t>
            </w:r>
          </w:p>
        </w:tc>
        <w:tc>
          <w:tcPr>
            <w:tcW w:w="6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License to Operate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Medical Marijuana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Treatment Center</w:t>
            </w:r>
          </w:p>
        </w:tc>
        <w:tc>
          <w:tcPr>
            <w:tcW w:w="0" w:type="dxa"/>
            <w:vAlign w:val="bottom"/>
          </w:tcPr>
          <w:p>
            <w:pPr>
              <w:spacing w:after="0"/>
              <w:rPr>
                <w:sz w:val="1"/>
                <w:szCs w:val="1"/>
                <w:color w:val="auto"/>
              </w:rPr>
            </w:pPr>
          </w:p>
        </w:tc>
      </w:tr>
      <w:tr>
        <w:trPr>
          <w:trHeight w:val="36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734"/>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Illinois</w:t>
      </w:r>
    </w:p>
    <w:tbl>
      <w:tblPr>
        <w:tblLayout w:type="fixed"/>
        <w:tblInd w:w="1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Renewal Date</w:t>
            </w:r>
          </w:p>
        </w:tc>
        <w:tc>
          <w:tcPr>
            <w:tcW w:w="2220" w:type="dxa"/>
            <w:vAlign w:val="bottom"/>
          </w:tcPr>
          <w:p>
            <w:pPr>
              <w:spacing w:after="0"/>
              <w:rPr>
                <w:sz w:val="12"/>
                <w:szCs w:val="12"/>
                <w:color w:val="auto"/>
              </w:rPr>
            </w:pPr>
          </w:p>
        </w:tc>
      </w:t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NH MEDICINAL</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DISP.000042</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Effingham, IL</w:t>
            </w:r>
          </w:p>
        </w:tc>
        <w:tc>
          <w:tcPr>
            <w:tcW w:w="6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08/22/2021</w:t>
            </w:r>
          </w:p>
        </w:tc>
        <w:tc>
          <w:tcPr>
            <w:tcW w:w="60" w:type="dxa"/>
            <w:vAlign w:val="bottom"/>
          </w:tcPr>
          <w:p>
            <w:pPr>
              <w:spacing w:after="0"/>
              <w:rPr>
                <w:sz w:val="16"/>
                <w:szCs w:val="16"/>
                <w:color w:val="auto"/>
              </w:rPr>
            </w:pPr>
          </w:p>
        </w:tc>
        <w:tc>
          <w:tcPr>
            <w:tcW w:w="2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AUDO.000004</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Effingham,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rPr>
              <w:t>NH MEDICINAL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AUDO.000074</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Charleston,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DISPENSARIES,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GTI OGLESBY,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00" w:type="dxa"/>
            <w:vAlign w:val="bottom"/>
          </w:tcPr>
          <w:p>
            <w:pPr>
              <w:spacing w:after="0"/>
              <w:rPr>
                <w:sz w:val="24"/>
                <w:szCs w:val="24"/>
                <w:color w:val="auto"/>
              </w:rPr>
            </w:pP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Oglesby,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03/09/2021*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6"/>
              </w:rPr>
              <w:t>Cultivation/</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Processing Operation</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GTI OGLESBY,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1503060648-EA</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Oglesby,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Cultivation Center</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00" w:type="dxa"/>
            <w:vAlign w:val="bottom"/>
          </w:tcPr>
          <w:p>
            <w:pPr>
              <w:spacing w:after="0"/>
              <w:rPr>
                <w:sz w:val="24"/>
                <w:szCs w:val="24"/>
                <w:color w:val="auto"/>
              </w:rPr>
            </w:pP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Rock Island, IL</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03/09/2022</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6"/>
              </w:rPr>
              <w:t>Cultivation/</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Processing Operation</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ROCK ISLAND, LLC</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1503060649-EA</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Rock Island,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03/21/2021*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Cultivation Center</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ROCK ISLAND, LLC</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1204-324</w:t>
            </w:r>
          </w:p>
        </w:tc>
        <w:tc>
          <w:tcPr>
            <w:tcW w:w="100" w:type="dxa"/>
            <w:vAlign w:val="bottom"/>
          </w:tcPr>
          <w:p>
            <w:pPr>
              <w:spacing w:after="0"/>
              <w:rPr>
                <w:sz w:val="24"/>
                <w:szCs w:val="24"/>
                <w:color w:val="auto"/>
              </w:rPr>
            </w:pP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Rock Island,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12/31/2020*</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Industrial Hemp</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DISP.000002</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Mundelein, IL</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09/17/2021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AUDO.000001</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Mundelein,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GTI MUNDELEIN,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AUDO.000044</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Joliet,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Provisional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3C COMPASSIONATE CARE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DISP.000027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Naperville, IL</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01/29/2022</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3C COMPASSIONATE CARE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AUDO.000003</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Naperville,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3C COMPASSIONATE CARE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DISP.000011</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Joliet, IL</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11/19/2021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3C COMPASSIONATE CARE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AUDO.000002</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Joliet,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3C COMPASSIONATE CARE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AUDO.000055</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Niles, IL</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Adult Use</w:t>
            </w: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r>
      <w:tr>
        <w:trPr>
          <w:trHeight w:val="364"/>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jc w:val="right"/>
              <w:ind w:right="183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Illinois</w:t>
      </w:r>
    </w:p>
    <w:tbl>
      <w:tblPr>
        <w:tblLayout w:type="fixed"/>
        <w:tblInd w:w="1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Holding Entity</w:t>
            </w: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Permit/License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3C COMPASSIONATE CARE</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393"/>
              <w:spacing w:after="0" w:line="195"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Lake in the Hills, IL</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03/31/2021*</w:t>
            </w:r>
          </w:p>
        </w:tc>
        <w:tc>
          <w:tcPr>
            <w:tcW w:w="8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CENTER, LLC</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Provisional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EVERGREEN DISPENSARY,</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DISP.000003</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09/18/2021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rPr>
              <w:t>LLC</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EVERGREEN DISPENSARY,</w:t>
            </w: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AUDO.000005</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Canton,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rPr>
              <w:t>LLC</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rPr>
              <w:t>Licenses in the State of Illinois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0" w:type="dxa"/>
            <w:vAlign w:val="bottom"/>
            <w:gridSpan w:val="3"/>
            <w:vMerge w:val="restart"/>
          </w:tcPr>
          <w:p>
            <w:pPr>
              <w:jc w:val="center"/>
              <w:ind w:right="600"/>
              <w:spacing w:after="0"/>
              <w:rPr>
                <w:sz w:val="20"/>
                <w:szCs w:val="20"/>
                <w:color w:val="auto"/>
              </w:rPr>
            </w:pPr>
            <w:r>
              <w:rPr>
                <w:rFonts w:ascii="Arial" w:cs="Arial" w:eastAsia="Arial" w:hAnsi="Arial"/>
                <w:sz w:val="18"/>
                <w:szCs w:val="18"/>
                <w:color w:val="auto"/>
                <w:w w:val="93"/>
              </w:rPr>
              <w:t>EVERGREEN DISPENSARY,</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182"/>
        </w:trPr>
        <w:tc>
          <w:tcPr>
            <w:tcW w:w="300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rPr>
              <w:t>LLC</w:t>
            </w: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AUDO.000047</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Quincy, IL</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03/31/2021*</w:t>
            </w: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24"/>
        </w:trPr>
        <w:tc>
          <w:tcPr>
            <w:tcW w:w="3000" w:type="dxa"/>
            <w:vAlign w:val="bottom"/>
            <w:gridSpan w:val="3"/>
          </w:tcPr>
          <w:p>
            <w:pPr>
              <w:jc w:val="center"/>
              <w:ind w:right="600"/>
              <w:spacing w:after="0"/>
              <w:rPr>
                <w:sz w:val="20"/>
                <w:szCs w:val="20"/>
                <w:color w:val="auto"/>
              </w:rPr>
            </w:pPr>
            <w:r>
              <w:rPr>
                <w:rFonts w:ascii="Arial" w:cs="Arial" w:eastAsia="Arial" w:hAnsi="Arial"/>
                <w:sz w:val="18"/>
                <w:szCs w:val="18"/>
                <w:i w:val="1"/>
                <w:iCs w:val="1"/>
                <w:color w:val="auto"/>
                <w:w w:val="90"/>
              </w:rPr>
              <w:t>Licenses in the State of Maryland</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Holding Entity</w:t>
            </w: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Permit/License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CHESAPEAKE</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393"/>
              <w:spacing w:after="0" w:line="195" w:lineRule="exact"/>
              <w:rPr>
                <w:sz w:val="20"/>
                <w:szCs w:val="20"/>
                <w:color w:val="auto"/>
              </w:rPr>
            </w:pPr>
            <w:r>
              <w:rPr>
                <w:rFonts w:ascii="Arial" w:cs="Arial" w:eastAsia="Arial" w:hAnsi="Arial"/>
                <w:sz w:val="18"/>
                <w:szCs w:val="18"/>
                <w:color w:val="auto"/>
                <w:w w:val="89"/>
              </w:rPr>
              <w:t>P-17-00005</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Centreville, MD</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08/28/2023</w:t>
            </w:r>
          </w:p>
        </w:tc>
        <w:tc>
          <w:tcPr>
            <w:tcW w:w="8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ALTERNATIVES, LLC</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Processing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CHESAPEAKE</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D-17-00010</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Bethesda, MD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11/20/2023</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ALTERNATIVES, LLC</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rPr>
              <w:t>GTI MARYLAND, LLC</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G-19-00001</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Centreville, MD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06/27/2025</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Cultivation</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rPr>
              <w:t>GTI MARYLAND, LLC</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D-17-00007</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Silver Spring, MD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11/20/2023</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6"/>
              </w:rPr>
              <w:t>MESHOW, LLC</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D-18-00021</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Joppa, MD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04/10/2024</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i w:val="1"/>
                <w:iCs w:val="1"/>
                <w:color w:val="auto"/>
                <w:w w:val="95"/>
              </w:rPr>
              <w:t>Licenses of the State of Massachusetts</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Holding Entity</w:t>
            </w: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Permit/License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RISE HOLDINGS, INC.</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373"/>
              <w:spacing w:after="0" w:line="195" w:lineRule="exact"/>
              <w:rPr>
                <w:sz w:val="20"/>
                <w:szCs w:val="20"/>
                <w:color w:val="auto"/>
              </w:rPr>
            </w:pPr>
            <w:r>
              <w:rPr>
                <w:rFonts w:ascii="Arial" w:cs="Arial" w:eastAsia="Arial" w:hAnsi="Arial"/>
                <w:sz w:val="18"/>
                <w:szCs w:val="18"/>
                <w:color w:val="auto"/>
                <w:w w:val="93"/>
              </w:rPr>
              <w:t>MC281674</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Holyoke, MA</w:t>
            </w:r>
          </w:p>
        </w:tc>
        <w:tc>
          <w:tcPr>
            <w:tcW w:w="6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01/20/2022</w:t>
            </w:r>
          </w:p>
        </w:tc>
        <w:tc>
          <w:tcPr>
            <w:tcW w:w="8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6"/>
              </w:rPr>
              <w:t>RISE HOLDINGS, INC.</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MP28453</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Holyoke, MA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01/20/2022</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6"/>
              </w:rPr>
              <w:t>RISE HOLDINGS, INC.</w:t>
            </w: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MR281254</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Amherst, MA</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03/08/2022</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3000" w:type="dxa"/>
            <w:vAlign w:val="bottom"/>
            <w:gridSpan w:val="3"/>
          </w:tcPr>
          <w:p>
            <w:pPr>
              <w:jc w:val="center"/>
              <w:ind w:right="600"/>
              <w:spacing w:after="0"/>
              <w:rPr>
                <w:sz w:val="20"/>
                <w:szCs w:val="20"/>
                <w:color w:val="auto"/>
              </w:rPr>
            </w:pPr>
            <w:r>
              <w:rPr>
                <w:rFonts w:ascii="Arial" w:cs="Arial" w:eastAsia="Arial" w:hAnsi="Arial"/>
                <w:sz w:val="18"/>
                <w:szCs w:val="18"/>
                <w:color w:val="auto"/>
                <w:w w:val="96"/>
              </w:rPr>
              <w:t>RISE HOLDINGS, INC.</w:t>
            </w:r>
          </w:p>
        </w:tc>
        <w:tc>
          <w:tcPr>
            <w:tcW w:w="216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RMD645</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Holyoke, MA</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07/12/2021*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4"/>
              </w:rPr>
              <w:t>Medical Cultivator,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Amherst, MA</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Processor and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64"/>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jc w:val="right"/>
              <w:ind w:right="2053"/>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Nevada</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Holding Entity</w:t>
            </w:r>
          </w:p>
        </w:tc>
        <w:tc>
          <w:tcPr>
            <w:tcW w:w="2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Permit/License</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City</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(MM/DD/YY)</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r>
      <w:tr>
        <w:trPr>
          <w:trHeight w:val="195"/>
        </w:trPr>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GTI NEVADA, LLC</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97028286992913304766</w:t>
            </w:r>
          </w:p>
        </w:tc>
        <w:tc>
          <w:tcPr>
            <w:tcW w:w="120" w:type="dxa"/>
            <w:vAlign w:val="bottom"/>
          </w:tcPr>
          <w:p>
            <w:pPr>
              <w:spacing w:after="0"/>
              <w:rPr>
                <w:sz w:val="16"/>
                <w:szCs w:val="16"/>
                <w:color w:val="auto"/>
              </w:rPr>
            </w:pPr>
          </w:p>
        </w:tc>
        <w:tc>
          <w:tcPr>
            <w:tcW w:w="2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Carson City, NV</w:t>
            </w:r>
          </w:p>
        </w:tc>
        <w:tc>
          <w:tcPr>
            <w:tcW w:w="80" w:type="dxa"/>
            <w:vAlign w:val="bottom"/>
          </w:tcPr>
          <w:p>
            <w:pPr>
              <w:spacing w:after="0"/>
              <w:rPr>
                <w:sz w:val="16"/>
                <w:szCs w:val="16"/>
                <w:color w:val="auto"/>
              </w:rPr>
            </w:pPr>
          </w:p>
        </w:tc>
        <w:tc>
          <w:tcPr>
            <w:tcW w:w="120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12/31/2021</w:t>
            </w:r>
          </w:p>
        </w:tc>
        <w:tc>
          <w:tcPr>
            <w:tcW w:w="60" w:type="dxa"/>
            <w:vAlign w:val="bottom"/>
          </w:tcPr>
          <w:p>
            <w:pPr>
              <w:spacing w:after="0"/>
              <w:rPr>
                <w:sz w:val="16"/>
                <w:szCs w:val="16"/>
                <w:color w:val="auto"/>
              </w:rPr>
            </w:pPr>
          </w:p>
        </w:tc>
        <w:tc>
          <w:tcPr>
            <w:tcW w:w="2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Adult Use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JG RETAIL SERVICES NV,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52125541619394980552</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Spanish Springs, NV</w:t>
            </w:r>
          </w:p>
        </w:tc>
        <w:tc>
          <w:tcPr>
            <w:tcW w:w="1200" w:type="dxa"/>
            <w:vAlign w:val="bottom"/>
          </w:tcPr>
          <w:p>
            <w:pPr>
              <w:ind w:left="200"/>
              <w:spacing w:after="0"/>
              <w:rPr>
                <w:sz w:val="20"/>
                <w:szCs w:val="20"/>
                <w:color w:val="auto"/>
              </w:rPr>
            </w:pPr>
            <w:r>
              <w:rPr>
                <w:rFonts w:ascii="Arial" w:cs="Arial" w:eastAsia="Arial" w:hAnsi="Arial"/>
                <w:sz w:val="18"/>
                <w:szCs w:val="18"/>
                <w:color w:val="auto"/>
              </w:rPr>
              <w:t>11/30/2021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Adult Use</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NEVADA,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18900369179730863251</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JG RETAIL SERVICES NV,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45491515276399795916</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Spanish Springs,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NEVADA,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83887504703736981918</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Medicinal Cultivator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NEVADA,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17355802525954961447</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01/31/2022</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Adult Use Cultivator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NEVADA,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88939271215332828859</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Medicinal Processor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GTI NEVADA,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69272354565432352821</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Carson City, NV</w:t>
            </w:r>
          </w:p>
        </w:tc>
        <w:tc>
          <w:tcPr>
            <w:tcW w:w="1200" w:type="dxa"/>
            <w:vAlign w:val="bottom"/>
          </w:tcPr>
          <w:p>
            <w:pPr>
              <w:ind w:left="180"/>
              <w:spacing w:after="0"/>
              <w:rPr>
                <w:sz w:val="20"/>
                <w:szCs w:val="20"/>
                <w:color w:val="auto"/>
              </w:rPr>
            </w:pPr>
            <w:r>
              <w:rPr>
                <w:rFonts w:ascii="Arial" w:cs="Arial" w:eastAsia="Arial" w:hAnsi="Arial"/>
                <w:sz w:val="18"/>
                <w:szCs w:val="18"/>
                <w:color w:val="auto"/>
              </w:rPr>
              <w:t>01/31/2022</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Adult Use Processor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CCLV 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14501073281263752947</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Adult Use Cultivator</w:t>
            </w: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CCLV MANUFACTURING</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46723736766369616954</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Medicinal Cultivator</w:t>
            </w:r>
          </w:p>
        </w:tc>
      </w:tr>
      <w:tr>
        <w:trPr>
          <w:trHeight w:val="23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CENTER, 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CCLV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41146840808916745728</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Adult Use Processor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CCLV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88867726382068964531</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Medicinal Processor</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INTEGRAL CULTIVATION,</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36793887579714409224</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Medicinal Cultivator</w:t>
            </w:r>
          </w:p>
        </w:tc>
      </w:tr>
      <w:tr>
        <w:trPr>
          <w:trHeight w:val="23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INTEGRAL CULTIVATION,</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70155083229545863037</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Adult Use Cultivator</w:t>
            </w:r>
          </w:p>
        </w:tc>
      </w:tr>
      <w:tr>
        <w:trPr>
          <w:trHeight w:val="23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INTEGRAL CULTIVATION,</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Distributor License</w:t>
            </w:r>
          </w:p>
        </w:tc>
      </w:tr>
      <w:tr>
        <w:trPr>
          <w:trHeight w:val="23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INTEGRAL PRODUCTION,</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Medicinal Processor</w:t>
            </w:r>
          </w:p>
        </w:tc>
      </w:tr>
      <w:tr>
        <w:trPr>
          <w:trHeight w:val="23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INTEGRAL PRODUCTION,</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Adult Use Processor</w:t>
            </w:r>
          </w:p>
        </w:tc>
      </w:tr>
      <w:tr>
        <w:trPr>
          <w:trHeight w:val="230"/>
        </w:trPr>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License</w:t>
            </w:r>
          </w:p>
        </w:tc>
      </w:tr>
      <w:tr>
        <w:trPr>
          <w:trHeight w:val="31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INTEGRAL ASSOCIATES,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20" w:type="dxa"/>
            <w:vAlign w:val="bottom"/>
          </w:tcPr>
          <w:p>
            <w:pPr>
              <w:spacing w:after="0"/>
              <w:rPr>
                <w:sz w:val="24"/>
                <w:szCs w:val="24"/>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Las Vegas, NV</w:t>
            </w:r>
          </w:p>
        </w:tc>
        <w:tc>
          <w:tcPr>
            <w:tcW w:w="1200" w:type="dxa"/>
            <w:vAlign w:val="bottom"/>
          </w:tcPr>
          <w:p>
            <w:pPr>
              <w:ind w:left="180"/>
              <w:spacing w:after="0"/>
              <w:rPr>
                <w:sz w:val="20"/>
                <w:szCs w:val="20"/>
                <w:color w:val="auto"/>
              </w:rPr>
            </w:pPr>
            <w:r>
              <w:rPr>
                <w:rFonts w:ascii="Arial" w:cs="Arial" w:eastAsia="Arial" w:hAnsi="Arial"/>
                <w:sz w:val="18"/>
                <w:szCs w:val="18"/>
                <w:color w:val="auto"/>
              </w:rPr>
              <w:t>06/30/2021</w:t>
            </w:r>
          </w:p>
        </w:tc>
        <w:tc>
          <w:tcPr>
            <w:tcW w:w="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30"/>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r>
      <w:tr>
        <w:trPr>
          <w:trHeight w:val="364"/>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jc w:val="right"/>
              <w:ind w:right="193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Nevada</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2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Holding Entity</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Permit/License</w:t>
            </w:r>
          </w:p>
        </w:tc>
        <w:tc>
          <w:tcPr>
            <w:tcW w:w="2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(MM/DD/YY)</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INTEGRAL ASSOCIATES,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center"/>
              <w:ind w:right="12"/>
              <w:spacing w:after="0" w:line="195" w:lineRule="exact"/>
              <w:rPr>
                <w:sz w:val="20"/>
                <w:szCs w:val="20"/>
                <w:color w:val="auto"/>
              </w:rPr>
            </w:pPr>
            <w:r>
              <w:rPr>
                <w:rFonts w:ascii="Arial" w:cs="Arial" w:eastAsia="Arial" w:hAnsi="Arial"/>
                <w:sz w:val="18"/>
                <w:szCs w:val="18"/>
                <w:color w:val="auto"/>
                <w:w w:val="89"/>
              </w:rPr>
              <w:t>06347213896566425206</w:t>
            </w:r>
          </w:p>
        </w:tc>
        <w:tc>
          <w:tcPr>
            <w:tcW w:w="12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Las Vegas, NV</w:t>
            </w:r>
          </w:p>
        </w:tc>
        <w:tc>
          <w:tcPr>
            <w:tcW w:w="8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Adult Use Marijuana</w:t>
            </w:r>
          </w:p>
        </w:tc>
        <w:tc>
          <w:tcPr>
            <w:tcW w:w="0" w:type="dxa"/>
            <w:vAlign w:val="bottom"/>
          </w:tcPr>
          <w:p>
            <w:pPr>
              <w:spacing w:after="0"/>
              <w:rPr>
                <w:sz w:val="1"/>
                <w:szCs w:val="1"/>
                <w:color w:val="auto"/>
              </w:rPr>
            </w:pPr>
          </w:p>
        </w:tc>
      </w:tr>
      <w:tr>
        <w:trPr>
          <w:trHeight w:val="23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rPr>
              <w:t>LLC</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Retail Store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31687553825305698491</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19873661470522818141</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Adult Use Marijuana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Retail Store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09271842370730937488</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Dispensary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18482416987753786163</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Adult Use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Dispensary Conditional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48470950795921214873</w:t>
            </w:r>
          </w:p>
        </w:tc>
        <w:tc>
          <w:tcPr>
            <w:tcW w:w="120" w:type="dxa"/>
            <w:vAlign w:val="bottom"/>
          </w:tcPr>
          <w:p>
            <w:pPr>
              <w:spacing w:after="0"/>
              <w:rPr>
                <w:sz w:val="24"/>
                <w:szCs w:val="24"/>
                <w:color w:val="auto"/>
              </w:rPr>
            </w:pPr>
          </w:p>
        </w:tc>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Sparks,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ESSENCE HENDERSON,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34299986630191194451</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Carson City,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54732391061781763853</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54135769938859220718</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06/30/2021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Adult Use Marijuana</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Retail Store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15464995890053145809</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11/30/2021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48202177935498005793</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Las Vegas,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16849340152215972256</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Reno,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ESSENCE TROPICANA,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43490264137335866974</w:t>
            </w:r>
          </w:p>
        </w:tc>
        <w:tc>
          <w:tcPr>
            <w:tcW w:w="120" w:type="dxa"/>
            <w:vAlign w:val="bottom"/>
          </w:tcPr>
          <w:p>
            <w:pPr>
              <w:spacing w:after="0"/>
              <w:rPr>
                <w:sz w:val="24"/>
                <w:szCs w:val="2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Henderson, NV</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02/05/2022</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Adult Use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i w:val="1"/>
                <w:iCs w:val="1"/>
                <w:color w:val="auto"/>
                <w:w w:val="91"/>
              </w:rPr>
              <w:t>Licenses in the State of New Jersey</w:t>
            </w: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Renewal Date</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Holding Entity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City</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(MM/DD/YY)</w:t>
            </w:r>
          </w:p>
        </w:tc>
        <w:tc>
          <w:tcPr>
            <w:tcW w:w="6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29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GTI NEW JERSEY, LLC</w:t>
            </w:r>
          </w:p>
        </w:tc>
        <w:tc>
          <w:tcPr>
            <w:tcW w:w="2180" w:type="dxa"/>
            <w:vAlign w:val="bottom"/>
          </w:tcPr>
          <w:p>
            <w:pPr>
              <w:jc w:val="center"/>
              <w:ind w:right="12"/>
              <w:spacing w:after="0"/>
              <w:rPr>
                <w:sz w:val="20"/>
                <w:szCs w:val="20"/>
                <w:color w:val="auto"/>
              </w:rPr>
            </w:pPr>
            <w:r>
              <w:rPr>
                <w:rFonts w:ascii="Arial" w:cs="Arial" w:eastAsia="Arial" w:hAnsi="Arial"/>
                <w:sz w:val="18"/>
                <w:szCs w:val="18"/>
                <w:color w:val="auto"/>
                <w:w w:val="89"/>
              </w:rPr>
              <w:t>12112019</w:t>
            </w:r>
          </w:p>
        </w:tc>
        <w:tc>
          <w:tcPr>
            <w:tcW w:w="120" w:type="dxa"/>
            <w:vAlign w:val="bottom"/>
          </w:tcPr>
          <w:p>
            <w:pPr>
              <w:spacing w:after="0"/>
              <w:rPr>
                <w:sz w:val="24"/>
                <w:szCs w:val="24"/>
                <w:color w:val="auto"/>
              </w:rPr>
            </w:pPr>
          </w:p>
        </w:tc>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Patterson, NJ</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12/31/2021</w:t>
            </w:r>
          </w:p>
        </w:tc>
        <w:tc>
          <w:tcPr>
            <w:tcW w:w="6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Cultivation,</w:t>
            </w:r>
          </w:p>
        </w:tc>
        <w:tc>
          <w:tcPr>
            <w:tcW w:w="0" w:type="dxa"/>
            <w:vAlign w:val="bottom"/>
          </w:tcPr>
          <w:p>
            <w:pPr>
              <w:spacing w:after="0"/>
              <w:rPr>
                <w:sz w:val="1"/>
                <w:szCs w:val="1"/>
                <w:color w:val="auto"/>
              </w:rPr>
            </w:pPr>
          </w:p>
        </w:tc>
      </w:tr>
      <w:tr>
        <w:trPr>
          <w:trHeight w:val="216"/>
        </w:trPr>
        <w:tc>
          <w:tcPr>
            <w:tcW w:w="26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(N-003)</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Processing, Dispensary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(Medical) 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GTI NEW JERSEY, LLC</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N/A</w:t>
            </w: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Paramus, NJ</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2440" w:type="dxa"/>
            <w:vAlign w:val="bottom"/>
          </w:tcPr>
          <w:p>
            <w:pPr>
              <w:jc w:val="center"/>
              <w:spacing w:after="0"/>
              <w:rPr>
                <w:sz w:val="20"/>
                <w:szCs w:val="20"/>
                <w:color w:val="auto"/>
              </w:rPr>
            </w:pPr>
            <w:r>
              <w:rPr>
                <w:rFonts w:ascii="Arial" w:cs="Arial" w:eastAsia="Arial" w:hAnsi="Arial"/>
                <w:sz w:val="18"/>
                <w:szCs w:val="18"/>
                <w:color w:val="auto"/>
                <w:w w:val="96"/>
              </w:rPr>
              <w:t>Cultivation,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Processing, Dispensary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4"/>
              </w:rPr>
              <w:t>(Medical) Conditional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6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GTI NEW JERSEY, LLC</w:t>
            </w:r>
          </w:p>
        </w:tc>
        <w:tc>
          <w:tcPr>
            <w:tcW w:w="2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N/A</w:t>
            </w: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Bloomfield, NJ</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N/A</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Cultivation,Processing,</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Dispensary (Medical)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Conditional License</w:t>
            </w:r>
          </w:p>
        </w:tc>
        <w:tc>
          <w:tcPr>
            <w:tcW w:w="0" w:type="dxa"/>
            <w:vAlign w:val="bottom"/>
          </w:tcPr>
          <w:p>
            <w:pPr>
              <w:spacing w:after="0"/>
              <w:rPr>
                <w:sz w:val="1"/>
                <w:szCs w:val="1"/>
                <w:color w:val="auto"/>
              </w:rPr>
            </w:pPr>
          </w:p>
        </w:tc>
      </w:tr>
      <w:tr>
        <w:trPr>
          <w:trHeight w:val="364"/>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161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State of New York</w:t>
      </w:r>
    </w:p>
    <w:tbl>
      <w:tblPr>
        <w:tblLayout w:type="fixed"/>
        <w:tblInd w:w="1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640" w:type="dxa"/>
            <w:vAlign w:val="bottom"/>
            <w:gridSpan w:val="2"/>
          </w:tcPr>
          <w:p>
            <w:pPr>
              <w:ind w:left="800"/>
              <w:spacing w:after="0"/>
              <w:rPr>
                <w:sz w:val="20"/>
                <w:szCs w:val="20"/>
                <w:color w:val="auto"/>
              </w:rPr>
            </w:pPr>
            <w:r>
              <w:rPr>
                <w:rFonts w:ascii="Arial" w:cs="Arial" w:eastAsia="Arial" w:hAnsi="Arial"/>
                <w:sz w:val="14"/>
                <w:szCs w:val="14"/>
                <w:b w:val="1"/>
                <w:bCs w:val="1"/>
                <w:color w:val="auto"/>
              </w:rPr>
              <w:t>Permit/License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FIORELLO</w:t>
            </w:r>
          </w:p>
        </w:tc>
        <w:tc>
          <w:tcPr>
            <w:tcW w:w="10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MM0701M</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Glenville, NY</w:t>
            </w:r>
          </w:p>
        </w:tc>
        <w:tc>
          <w:tcPr>
            <w:tcW w:w="60" w:type="dxa"/>
            <w:vAlign w:val="bottom"/>
          </w:tcPr>
          <w:p>
            <w:pPr>
              <w:spacing w:after="0"/>
              <w:rPr>
                <w:sz w:val="16"/>
                <w:szCs w:val="16"/>
                <w:color w:val="auto"/>
              </w:rPr>
            </w:pPr>
          </w:p>
        </w:tc>
        <w:tc>
          <w:tcPr>
            <w:tcW w:w="120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1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PHARMACEUTICALS, INC.</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Manufacturing</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FIORELLO</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MM0702D</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New York, NY</w:t>
            </w:r>
          </w:p>
        </w:tc>
        <w:tc>
          <w:tcPr>
            <w:tcW w:w="1200" w:type="dxa"/>
            <w:vAlign w:val="bottom"/>
          </w:tcPr>
          <w:p>
            <w:pPr>
              <w:ind w:left="20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PHARMACEUTICALS, INC.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FIORELLO</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MM0703D</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Nassau County, NY</w:t>
            </w:r>
          </w:p>
        </w:tc>
        <w:tc>
          <w:tcPr>
            <w:tcW w:w="1200" w:type="dxa"/>
            <w:vAlign w:val="bottom"/>
          </w:tcPr>
          <w:p>
            <w:pPr>
              <w:ind w:left="20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Provisional</w:t>
            </w:r>
          </w:p>
        </w:tc>
        <w:tc>
          <w:tcPr>
            <w:tcW w:w="0" w:type="dxa"/>
            <w:vAlign w:val="bottom"/>
          </w:tcPr>
          <w:p>
            <w:pPr>
              <w:spacing w:after="0"/>
              <w:rPr>
                <w:sz w:val="1"/>
                <w:szCs w:val="1"/>
                <w:color w:val="auto"/>
              </w:rPr>
            </w:pPr>
          </w:p>
        </w:tc>
      </w:tr>
      <w:tr>
        <w:trPr>
          <w:trHeight w:val="21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PHARMACEUTICALS, INC.</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FIORELLO</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MM0704D</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Rochester, NY</w:t>
            </w:r>
          </w:p>
        </w:tc>
        <w:tc>
          <w:tcPr>
            <w:tcW w:w="1200" w:type="dxa"/>
            <w:vAlign w:val="bottom"/>
          </w:tcPr>
          <w:p>
            <w:pPr>
              <w:ind w:left="20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PHARMACEUTICALS, INC.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FIORELLO</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MM0705D</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Clifton Park, NY</w:t>
            </w:r>
          </w:p>
        </w:tc>
        <w:tc>
          <w:tcPr>
            <w:tcW w:w="1200" w:type="dxa"/>
            <w:vAlign w:val="bottom"/>
          </w:tcPr>
          <w:p>
            <w:pPr>
              <w:ind w:left="20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PHARMACEUTICALS, INC.</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24"/>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Licenses in the State of Ohio</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Holding Entity</w:t>
            </w:r>
          </w:p>
        </w:tc>
        <w:tc>
          <w:tcPr>
            <w:tcW w:w="100" w:type="dxa"/>
            <w:vAlign w:val="bottom"/>
          </w:tcPr>
          <w:p>
            <w:pPr>
              <w:spacing w:after="0"/>
              <w:rPr>
                <w:sz w:val="16"/>
                <w:szCs w:val="16"/>
                <w:color w:val="auto"/>
              </w:rPr>
            </w:pPr>
          </w:p>
        </w:tc>
        <w:tc>
          <w:tcPr>
            <w:tcW w:w="25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Permit/License</w:t>
            </w:r>
          </w:p>
        </w:tc>
        <w:tc>
          <w:tcPr>
            <w:tcW w:w="12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City</w:t>
            </w:r>
          </w:p>
        </w:tc>
        <w:tc>
          <w:tcPr>
            <w:tcW w:w="60" w:type="dxa"/>
            <w:vAlign w:val="bottom"/>
          </w:tcPr>
          <w:p>
            <w:pPr>
              <w:spacing w:after="0"/>
              <w:rPr>
                <w:sz w:val="16"/>
                <w:szCs w:val="16"/>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29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MMD.0700015</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Toledo,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MMD.0700016</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Lorain,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MMD.0700026</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Cleveland,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MMD.0700047</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MMD.0700052</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Lakewood,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Dispensary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MMCPP00070</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Toledo, OH</w:t>
            </w:r>
          </w:p>
        </w:tc>
        <w:tc>
          <w:tcPr>
            <w:tcW w:w="1200" w:type="dxa"/>
            <w:vAlign w:val="bottom"/>
          </w:tcPr>
          <w:p>
            <w:pPr>
              <w:ind w:left="200"/>
              <w:spacing w:after="0"/>
              <w:rPr>
                <w:sz w:val="20"/>
                <w:szCs w:val="20"/>
                <w:color w:val="auto"/>
              </w:rPr>
            </w:pPr>
            <w:r>
              <w:rPr>
                <w:rFonts w:ascii="Arial" w:cs="Arial" w:eastAsia="Arial" w:hAnsi="Arial"/>
                <w:sz w:val="18"/>
                <w:szCs w:val="18"/>
                <w:color w:val="auto"/>
              </w:rPr>
              <w:t>07/01/2021</w:t>
            </w:r>
          </w:p>
        </w:tc>
        <w:tc>
          <w:tcPr>
            <w:tcW w:w="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Processor License</w:t>
            </w:r>
          </w:p>
        </w:tc>
        <w:tc>
          <w:tcPr>
            <w:tcW w:w="0" w:type="dxa"/>
            <w:vAlign w:val="bottom"/>
          </w:tcPr>
          <w:p>
            <w:pPr>
              <w:spacing w:after="0"/>
              <w:rPr>
                <w:sz w:val="1"/>
                <w:szCs w:val="1"/>
                <w:color w:val="auto"/>
              </w:rPr>
            </w:pP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GTI OHIO, LLC</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MMCPC00181</w:t>
            </w:r>
          </w:p>
        </w:tc>
        <w:tc>
          <w:tcPr>
            <w:tcW w:w="2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Toledo, OH</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Provisional</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Provisional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Cultivator License</w:t>
            </w:r>
          </w:p>
        </w:tc>
        <w:tc>
          <w:tcPr>
            <w:tcW w:w="0" w:type="dxa"/>
            <w:vAlign w:val="bottom"/>
          </w:tcPr>
          <w:p>
            <w:pPr>
              <w:spacing w:after="0"/>
              <w:rPr>
                <w:sz w:val="1"/>
                <w:szCs w:val="1"/>
                <w:color w:val="auto"/>
              </w:rPr>
            </w:pPr>
          </w:p>
        </w:tc>
      </w:tr>
      <w:tr>
        <w:trPr>
          <w:trHeight w:val="324"/>
        </w:trPr>
        <w:tc>
          <w:tcPr>
            <w:tcW w:w="5160" w:type="dxa"/>
            <w:vAlign w:val="bottom"/>
            <w:gridSpan w:val="4"/>
          </w:tcPr>
          <w:p>
            <w:pPr>
              <w:spacing w:after="0"/>
              <w:rPr>
                <w:sz w:val="20"/>
                <w:szCs w:val="20"/>
                <w:color w:val="auto"/>
              </w:rPr>
            </w:pPr>
            <w:r>
              <w:rPr>
                <w:rFonts w:ascii="Arial" w:cs="Arial" w:eastAsia="Arial" w:hAnsi="Arial"/>
                <w:sz w:val="18"/>
                <w:szCs w:val="18"/>
                <w:i w:val="1"/>
                <w:iCs w:val="1"/>
                <w:color w:val="auto"/>
              </w:rPr>
              <w:t>Licenses in the Commonwealth of Pennsylvania</w:t>
            </w: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Renewal Date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640" w:type="dxa"/>
            <w:vAlign w:val="bottom"/>
            <w:gridSpan w:val="2"/>
          </w:tcPr>
          <w:p>
            <w:pPr>
              <w:ind w:left="800"/>
              <w:spacing w:after="0"/>
              <w:rPr>
                <w:sz w:val="20"/>
                <w:szCs w:val="20"/>
                <w:color w:val="auto"/>
              </w:rPr>
            </w:pPr>
            <w:r>
              <w:rPr>
                <w:rFonts w:ascii="Arial" w:cs="Arial" w:eastAsia="Arial" w:hAnsi="Arial"/>
                <w:sz w:val="14"/>
                <w:szCs w:val="14"/>
                <w:b w:val="1"/>
                <w:bCs w:val="1"/>
                <w:color w:val="auto"/>
              </w:rPr>
              <w:t>Permit/License</w:t>
            </w:r>
          </w:p>
        </w:tc>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(MM/DD/YY)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PENNSYLVANIA, LLC</w:t>
            </w:r>
          </w:p>
        </w:tc>
        <w:tc>
          <w:tcPr>
            <w:tcW w:w="100" w:type="dxa"/>
            <w:vAlign w:val="bottom"/>
          </w:tcPr>
          <w:p>
            <w:pPr>
              <w:spacing w:after="0"/>
              <w:rPr>
                <w:sz w:val="16"/>
                <w:szCs w:val="16"/>
                <w:color w:val="auto"/>
              </w:rPr>
            </w:pPr>
          </w:p>
        </w:tc>
        <w:tc>
          <w:tcPr>
            <w:tcW w:w="2520" w:type="dxa"/>
            <w:vAlign w:val="bottom"/>
            <w:tcBorders>
              <w:top w:val="single" w:sz="8" w:color="auto"/>
            </w:tcBorders>
          </w:tcPr>
          <w:p>
            <w:pPr>
              <w:ind w:left="820"/>
              <w:spacing w:after="0" w:line="195" w:lineRule="exact"/>
              <w:rPr>
                <w:sz w:val="20"/>
                <w:szCs w:val="20"/>
                <w:color w:val="auto"/>
              </w:rPr>
            </w:pPr>
            <w:r>
              <w:rPr>
                <w:rFonts w:ascii="Arial" w:cs="Arial" w:eastAsia="Arial" w:hAnsi="Arial"/>
                <w:sz w:val="18"/>
                <w:szCs w:val="18"/>
                <w:color w:val="auto"/>
              </w:rPr>
              <w:t>GP-4006-17</w:t>
            </w:r>
          </w:p>
        </w:tc>
        <w:tc>
          <w:tcPr>
            <w:tcW w:w="120" w:type="dxa"/>
            <w:vAlign w:val="bottom"/>
          </w:tcPr>
          <w:p>
            <w:pPr>
              <w:spacing w:after="0"/>
              <w:rPr>
                <w:sz w:val="16"/>
                <w:szCs w:val="16"/>
                <w:color w:val="auto"/>
              </w:rPr>
            </w:pPr>
          </w:p>
        </w:tc>
        <w:tc>
          <w:tcPr>
            <w:tcW w:w="2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GP-4006-17</w:t>
            </w:r>
          </w:p>
        </w:tc>
        <w:tc>
          <w:tcPr>
            <w:tcW w:w="60" w:type="dxa"/>
            <w:vAlign w:val="bottom"/>
          </w:tcPr>
          <w:p>
            <w:pPr>
              <w:spacing w:after="0"/>
              <w:rPr>
                <w:sz w:val="16"/>
                <w:szCs w:val="16"/>
                <w:color w:val="auto"/>
              </w:rPr>
            </w:pPr>
          </w:p>
        </w:tc>
        <w:tc>
          <w:tcPr>
            <w:tcW w:w="120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06/20/2021</w:t>
            </w:r>
          </w:p>
        </w:tc>
        <w:tc>
          <w:tcPr>
            <w:tcW w:w="80" w:type="dxa"/>
            <w:vAlign w:val="bottom"/>
          </w:tcPr>
          <w:p>
            <w:pPr>
              <w:spacing w:after="0"/>
              <w:rPr>
                <w:sz w:val="16"/>
                <w:szCs w:val="16"/>
                <w:color w:val="auto"/>
              </w:rPr>
            </w:pPr>
          </w:p>
        </w:tc>
        <w:tc>
          <w:tcPr>
            <w:tcW w:w="2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Medicinal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Grower/Processor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Permit</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jc w:val="right"/>
              <w:ind w:right="2053"/>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Licenses in the Commonwealth of Pennsylvania</w:t>
      </w:r>
    </w:p>
    <w:tbl>
      <w:tblPr>
        <w:tblLayout w:type="fixed"/>
        <w:tblInd w:w="1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Renewal Date</w:t>
            </w:r>
          </w:p>
        </w:tc>
        <w:tc>
          <w:tcPr>
            <w:tcW w:w="2220" w:type="dxa"/>
            <w:vAlign w:val="bottom"/>
          </w:tcPr>
          <w:p>
            <w:pPr>
              <w:spacing w:after="0"/>
              <w:rPr>
                <w:sz w:val="12"/>
                <w:szCs w:val="12"/>
                <w:color w:val="auto"/>
              </w:rPr>
            </w:pPr>
          </w:p>
        </w:tc>
      </w:tr>
      <w:tr>
        <w:trPr>
          <w:trHeight w:val="185"/>
        </w:trPr>
        <w:tc>
          <w:tcPr>
            <w:tcW w:w="2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Holding Entity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Permit/License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City</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(MM/DD/YY)</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r>
      <w:tr>
        <w:trPr>
          <w:trHeight w:val="195"/>
        </w:trPr>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GTI PENNSYLVANIA, LLC</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D-6002-17</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Erie, PA</w:t>
            </w:r>
          </w:p>
        </w:tc>
        <w:tc>
          <w:tcPr>
            <w:tcW w:w="6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06/29/2021</w:t>
            </w:r>
          </w:p>
        </w:tc>
        <w:tc>
          <w:tcPr>
            <w:tcW w:w="60" w:type="dxa"/>
            <w:vAlign w:val="bottom"/>
          </w:tcPr>
          <w:p>
            <w:pPr>
              <w:spacing w:after="0"/>
              <w:rPr>
                <w:sz w:val="16"/>
                <w:szCs w:val="16"/>
                <w:color w:val="auto"/>
              </w:rPr>
            </w:pPr>
          </w:p>
        </w:tc>
        <w:tc>
          <w:tcPr>
            <w:tcW w:w="2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Mechanicsburg,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D-18-3019</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Chambersburg,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D18-3019</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Duncansville,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Chadds Ford, PA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12/18/2020*</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D18-1044</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King of Prussia,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216"/>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D18-5035</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Latrobe,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Medicinal</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Dispensary 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D18-5035</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Cranberry,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D18-6019</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New Castle,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12/18/2021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KW VENTURES HOLDINGS,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Steelton, PA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06/29/2021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KW VENTURES HOLDINGS,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York, PA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6/29/2021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KW VENTURES HOLDINGS,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D-3025-17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Carlisle,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6/29/2021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Hermitage,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6/29/2021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D-6002-17</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New Castle, PA</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6/29/2021</w:t>
            </w:r>
          </w:p>
        </w:tc>
        <w:tc>
          <w:tcPr>
            <w:tcW w:w="6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D18-6019</w:t>
            </w: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Erie, PA (Peach St.)</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N/A</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Provisional</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r>
        <w:trPr>
          <w:trHeight w:val="310"/>
        </w:trPr>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GTI PENNSYLVANIA LLC</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D18-6019</w:t>
            </w: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Meadville, PA</w:t>
            </w:r>
          </w:p>
        </w:tc>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N/A</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Provisional</w:t>
            </w: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Medicinal Dispensary</w:t>
            </w:r>
          </w:p>
        </w:tc>
      </w:tr>
      <w:tr>
        <w:trPr>
          <w:trHeight w:val="230"/>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Permit</w:t>
            </w:r>
          </w:p>
        </w:tc>
      </w:tr>
    </w:tbl>
    <w:p>
      <w:pPr>
        <w:spacing w:after="0" w:line="107"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renewal pending to extend one year from date indicated.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March 18, 2021</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capacity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Signature</w:t>
            </w:r>
          </w:p>
        </w:tc>
        <w:tc>
          <w:tcPr>
            <w:tcW w:w="120" w:type="dxa"/>
            <w:vAlign w:val="bottom"/>
          </w:tcPr>
          <w:p>
            <w:pPr>
              <w:spacing w:after="0"/>
              <w:rPr>
                <w:sz w:val="16"/>
                <w:szCs w:val="16"/>
                <w:color w:val="auto"/>
              </w:rPr>
            </w:pPr>
          </w:p>
        </w:tc>
        <w:tc>
          <w:tcPr>
            <w:tcW w:w="562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Benjamin Kovler</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Benjamin Kovler</w:t>
            </w:r>
          </w:p>
        </w:tc>
        <w:tc>
          <w:tcPr>
            <w:tcW w:w="1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Georgiadis</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 and 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Anthony Georgiadis</w:t>
            </w:r>
          </w:p>
        </w:tc>
        <w:tc>
          <w:tcPr>
            <w:tcW w:w="1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Wendy Berger</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Wendy Berger</w:t>
            </w:r>
          </w:p>
        </w:tc>
        <w:tc>
          <w:tcPr>
            <w:tcW w:w="1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Gruver</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William Gruver</w:t>
            </w:r>
          </w:p>
        </w:tc>
        <w:tc>
          <w:tcPr>
            <w:tcW w:w="1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Wes Moore</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Wes Moore</w:t>
            </w:r>
          </w:p>
        </w:tc>
        <w:tc>
          <w:tcPr>
            <w:tcW w:w="1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Glen Senk</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18, 2021</w:t>
            </w:r>
          </w:p>
        </w:tc>
      </w:tr>
      <w:tr>
        <w:trPr>
          <w:trHeight w:val="224"/>
        </w:trPr>
        <w:tc>
          <w:tcPr>
            <w:tcW w:w="3200" w:type="dxa"/>
            <w:vAlign w:val="bottom"/>
          </w:tcPr>
          <w:p>
            <w:pPr>
              <w:spacing w:after="0"/>
              <w:rPr>
                <w:sz w:val="20"/>
                <w:szCs w:val="20"/>
                <w:color w:val="auto"/>
              </w:rPr>
            </w:pPr>
            <w:r>
              <w:rPr>
                <w:rFonts w:ascii="Arial" w:cs="Arial" w:eastAsia="Arial" w:hAnsi="Arial"/>
                <w:sz w:val="18"/>
                <w:szCs w:val="18"/>
                <w:color w:val="auto"/>
              </w:rPr>
              <w:t>Glen Senk</w:t>
            </w:r>
          </w:p>
        </w:tc>
        <w:tc>
          <w:tcPr>
            <w:tcW w:w="1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2060"/>
              <w:spacing w:after="0"/>
              <w:rPr>
                <w:sz w:val="20"/>
                <w:szCs w:val="20"/>
                <w:color w:val="auto"/>
              </w:rPr>
            </w:pPr>
            <w:r>
              <w:rPr>
                <w:rFonts w:ascii="Arial" w:cs="Arial" w:eastAsia="Arial" w:hAnsi="Arial"/>
                <w:sz w:val="18"/>
                <w:szCs w:val="18"/>
                <w:color w:val="auto"/>
              </w:rPr>
              <w:t>S-1</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120" w:type="dxa"/>
            <w:vAlign w:val="bottom"/>
            <w:shd w:val="clear" w:color="auto" w:fill="CCEEFF"/>
          </w:tcPr>
          <w:p>
            <w:pPr>
              <w:ind w:left="3760"/>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83,757,785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46,667,334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21,414,987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7,530,253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69,542,953</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46,034,481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6,445,393</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6,780,657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2,782,887</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2,049,886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64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183,944,005</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109,062,611</w:t>
            </w: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189,925,877</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155,596,675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Right of Use Assets,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140,382,781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63,647,812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40,794,806</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14,068,821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Investment in Associate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12,669,963</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10,350,000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Note Receivable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815,937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406,242,034</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435,246,898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382,697,467</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375,084,991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Deposits and 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1,892,229</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3,662,879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1,358,549,162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1,167,536,624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230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20,503,572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8,745,821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56,288,729</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37,184,406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Notes Payable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341,983</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Current Portion of Lease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3,862,110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3,833,268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Liability for Acquisition of Noncontrolling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22,150,000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50,391,181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16,142,041</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5,505,904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6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119,288,435</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111,367,255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Lease Liabilities, Net of Current Portion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146,426,760</w:t>
            </w:r>
          </w:p>
        </w:tc>
        <w:tc>
          <w:tcPr>
            <w:tcW w:w="1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61,115,737</w:t>
            </w: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Notes Payable, Net of Current Portion and Debt Discount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98,712,996</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91,140,194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4,950,000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8,545,558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Warrant Liability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39,454,000</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15,879,843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35,557,630</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36,279,361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444,389,821</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324,327,948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20" w:type="dxa"/>
            <w:vAlign w:val="bottom"/>
          </w:tcPr>
          <w:p>
            <w:pPr>
              <w:spacing w:after="0"/>
              <w:rPr>
                <w:sz w:val="20"/>
                <w:szCs w:val="20"/>
                <w:color w:val="auto"/>
              </w:rPr>
            </w:pPr>
            <w:r>
              <w:rPr>
                <w:rFonts w:ascii="Arial" w:cs="Arial" w:eastAsia="Arial" w:hAnsi="Arial"/>
                <w:sz w:val="16"/>
                <w:szCs w:val="16"/>
                <w:b w:val="1"/>
                <w:bCs w:val="1"/>
                <w:color w:val="auto"/>
              </w:rPr>
              <w:t>SHARE 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w w:val="92"/>
              </w:rPr>
              <w:t>Subordinate Voting Shares (Shares Authorized, Issued and Outstanding at December 31, 2020: Unlimited, 178,113,221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178,113,221, respectively, at December 31, 2019: Unlimited, 128,999,964 and 128,999,964,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8120" w:type="dxa"/>
            <w:vAlign w:val="bottom"/>
          </w:tcPr>
          <w:p>
            <w:pPr>
              <w:spacing w:after="0"/>
              <w:rPr>
                <w:sz w:val="20"/>
                <w:szCs w:val="20"/>
                <w:color w:val="auto"/>
              </w:rPr>
            </w:pPr>
            <w:r>
              <w:rPr>
                <w:rFonts w:ascii="Arial" w:cs="Arial" w:eastAsia="Arial" w:hAnsi="Arial"/>
                <w:sz w:val="16"/>
                <w:szCs w:val="16"/>
                <w:color w:val="auto"/>
                <w:w w:val="93"/>
              </w:rPr>
              <w:t>Multiple Voting Shares (Shares Authorized, Issued and Outstanding at December 31, 2020: Unlimited, 40,289 and 40,289,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120" w:type="dxa"/>
            <w:vAlign w:val="bottom"/>
          </w:tcPr>
          <w:p>
            <w:pPr>
              <w:ind w:left="160"/>
              <w:spacing w:after="0"/>
              <w:rPr>
                <w:sz w:val="20"/>
                <w:szCs w:val="20"/>
                <w:color w:val="auto"/>
              </w:rPr>
            </w:pPr>
            <w:r>
              <w:rPr>
                <w:rFonts w:ascii="Arial" w:cs="Arial" w:eastAsia="Arial" w:hAnsi="Arial"/>
                <w:sz w:val="16"/>
                <w:szCs w:val="16"/>
                <w:color w:val="auto"/>
              </w:rPr>
              <w:t>respectively, at December 31, 2019: Unlimited, 373,350 and 373,350,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w w:val="93"/>
              </w:rPr>
              <w:t>Super Voting Shares (Shares Authorized, Issued and Outstanding at December 31, 2020: Unlimited, 312,031 and 312,031,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respectively, at December 31, 2019: Unlimited, 402,289 and 402,289,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Share 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1,048,640,398</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980,638,701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Contributed Surplus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4,893,153</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3,960,854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tcPr>
          <w:p>
            <w:pPr>
              <w:ind w:left="320"/>
              <w:spacing w:after="0"/>
              <w:rPr>
                <w:sz w:val="20"/>
                <w:szCs w:val="20"/>
                <w:color w:val="auto"/>
              </w:rPr>
            </w:pPr>
            <w:r>
              <w:rPr>
                <w:rFonts w:ascii="Arial" w:cs="Arial" w:eastAsia="Arial" w:hAnsi="Arial"/>
                <w:sz w:val="16"/>
                <w:szCs w:val="16"/>
                <w:color w:val="auto"/>
              </w:rPr>
              <w:t>Deferred Share Issuances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2,587,317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16,587,798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(145,498,623)</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(160,491,590)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640"/>
              <w:spacing w:after="0"/>
              <w:rPr>
                <w:sz w:val="20"/>
                <w:szCs w:val="20"/>
                <w:color w:val="auto"/>
              </w:rPr>
            </w:pPr>
            <w:r>
              <w:rPr>
                <w:rFonts w:ascii="Arial" w:cs="Arial" w:eastAsia="Arial" w:hAnsi="Arial"/>
                <w:sz w:val="16"/>
                <w:szCs w:val="16"/>
                <w:color w:val="auto"/>
              </w:rPr>
              <w:t>Equity of Green Thumb Industries Inc.</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910,622,245</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840,695,763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Noncontrolling interests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3,537,096</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b w:val="1"/>
                <w:bCs w:val="1"/>
                <w:color w:val="auto"/>
              </w:rPr>
              <w:t>TOTAL SHAREHOLDERS’ EQUITY</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914,159,341</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843,208,676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1,358,549,162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1,167,536,624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556,572,889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216,432,605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62,493,680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(252,404,301)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(109,401,914)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(34,177,259)</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304,168,588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107,030,691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28,316,421</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198,061,759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134,721,393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54,656,579</w:t>
            </w:r>
          </w:p>
        </w:tc>
        <w:tc>
          <w:tcPr>
            <w:tcW w:w="0" w:type="dxa"/>
            <w:vAlign w:val="bottom"/>
          </w:tcPr>
          <w:p>
            <w:pPr>
              <w:spacing w:after="0"/>
              <w:rPr>
                <w:sz w:val="1"/>
                <w:szCs w:val="1"/>
                <w:color w:val="auto"/>
              </w:rPr>
            </w:pP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198,061,759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134,721,393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54,656,579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106,106,829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(27,690,702)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(26,340,158)</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15,376,746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(10,318,936)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56,417,421</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113,667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1,465,705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1,952,945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(18,666,520)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(13,658,904)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(2,278,834)</w:t>
            </w:r>
          </w:p>
        </w:tc>
        <w:tc>
          <w:tcPr>
            <w:tcW w:w="0" w:type="dxa"/>
            <w:vAlign w:val="bottom"/>
          </w:tcPr>
          <w:p>
            <w:pPr>
              <w:spacing w:after="0"/>
              <w:rPr>
                <w:sz w:val="1"/>
                <w:szCs w:val="1"/>
                <w:color w:val="auto"/>
              </w:rPr>
            </w:pP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(22,512,135)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56,091,532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Income (Loss) Before Provision for Income Taxes And Non-Controlling Interest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102,930,722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(50,202,837)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29,751,374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83,852,802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9,344,033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19,077,920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(59,546,870)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22,567,779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4,084,953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(430,463)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27,811,696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Green Thumb Industries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14,992,967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(59,116,407)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(5,243,917)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share—basic</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outstanding—basic</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210,988,259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190,602,400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130,102,523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outstanding—diluted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212,531,188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190,602,400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130,102,523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to</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Contributed</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88"/>
              <w:spacing w:after="0" w:line="149" w:lineRule="exact"/>
              <w:rPr>
                <w:sz w:val="20"/>
                <w:szCs w:val="20"/>
                <w:color w:val="auto"/>
              </w:rPr>
            </w:pPr>
            <w:r>
              <w:rPr>
                <w:rFonts w:ascii="Arial" w:cs="Arial" w:eastAsia="Arial" w:hAnsi="Arial"/>
                <w:sz w:val="14"/>
                <w:szCs w:val="14"/>
                <w:b w:val="1"/>
                <w:bCs w:val="1"/>
                <w:color w:val="auto"/>
              </w:rPr>
              <w:t>Earnings</w:t>
            </w: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Be Issued</w:t>
            </w: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Surplus</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0"/>
              </w:rPr>
              <w:t>Issuance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2018</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65,308,240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(4,249,775)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3,366,350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64,424,815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Conversion of notes payable into share capital</w:t>
            </w:r>
          </w:p>
        </w:tc>
        <w:tc>
          <w:tcPr>
            <w:tcW w:w="100" w:type="dxa"/>
            <w:vAlign w:val="bottom"/>
          </w:tcPr>
          <w:p>
            <w:pPr>
              <w:spacing w:after="0"/>
              <w:rPr>
                <w:sz w:val="12"/>
                <w:szCs w:val="12"/>
                <w:color w:val="auto"/>
              </w:rPr>
            </w:pP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3,927,483</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4,686,257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Reverse takeover</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3,002,634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3,002,634</w:t>
            </w:r>
          </w:p>
        </w:tc>
        <w:tc>
          <w:tcPr>
            <w:tcW w:w="0" w:type="dxa"/>
            <w:vAlign w:val="bottom"/>
          </w:tcPr>
          <w:p>
            <w:pPr>
              <w:spacing w:after="0"/>
              <w:rPr>
                <w:sz w:val="1"/>
                <w:szCs w:val="1"/>
                <w:color w:val="auto"/>
              </w:rPr>
            </w:pPr>
          </w:p>
        </w:tc>
      </w:tr>
      <w:tr>
        <w:trPr>
          <w:trHeight w:val="130"/>
        </w:trPr>
        <w:tc>
          <w:tcPr>
            <w:tcW w:w="4280" w:type="dxa"/>
            <w:vAlign w:val="bottom"/>
          </w:tcPr>
          <w:p>
            <w:pPr>
              <w:spacing w:after="0" w:line="130" w:lineRule="exact"/>
              <w:rPr>
                <w:sz w:val="20"/>
                <w:szCs w:val="20"/>
                <w:color w:val="auto"/>
              </w:rPr>
            </w:pPr>
            <w:r>
              <w:rPr>
                <w:rFonts w:ascii="Arial" w:cs="Arial" w:eastAsia="Arial" w:hAnsi="Arial"/>
                <w:sz w:val="14"/>
                <w:szCs w:val="14"/>
                <w:color w:val="auto"/>
                <w:w w:val="96"/>
              </w:rPr>
              <w:t>Shares issued pursuant to private placement, net of issuance costs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80" w:type="dxa"/>
            <w:vAlign w:val="bottom"/>
          </w:tcPr>
          <w:p>
            <w:pPr>
              <w:ind w:left="140"/>
              <w:spacing w:after="0"/>
              <w:rPr>
                <w:sz w:val="20"/>
                <w:szCs w:val="20"/>
                <w:color w:val="auto"/>
              </w:rPr>
            </w:pPr>
            <w:r>
              <w:rPr>
                <w:rFonts w:ascii="Arial" w:cs="Arial" w:eastAsia="Arial" w:hAnsi="Arial"/>
                <w:sz w:val="14"/>
                <w:szCs w:val="14"/>
                <w:color w:val="auto"/>
              </w:rPr>
              <w:t>issuance of options as settlement of services provided</w:t>
            </w: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58,881,710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906,366</w:t>
            </w:r>
          </w:p>
        </w:tc>
        <w:tc>
          <w:tcPr>
            <w:tcW w:w="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59,788,076</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accounting adjustments for 2017 acquisitions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(2,800,000)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(2,800,000)</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Conversion of exchange note</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44,140,526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44,140,526</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Issuance of shares upon fundraise transaction, August 2018, net of costs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58,592,775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58,592,775</w:t>
            </w:r>
          </w:p>
        </w:tc>
        <w:tc>
          <w:tcPr>
            <w:tcW w:w="0" w:type="dxa"/>
            <w:vAlign w:val="bottom"/>
          </w:tcPr>
          <w:p>
            <w:pPr>
              <w:spacing w:after="0"/>
              <w:rPr>
                <w:sz w:val="1"/>
                <w:szCs w:val="1"/>
                <w:color w:val="auto"/>
              </w:rPr>
            </w:pPr>
          </w:p>
        </w:tc>
      </w:tr>
      <w:tr>
        <w:trPr>
          <w:trHeight w:val="130"/>
        </w:trPr>
        <w:tc>
          <w:tcPr>
            <w:tcW w:w="4280" w:type="dxa"/>
            <w:vAlign w:val="bottom"/>
          </w:tcPr>
          <w:p>
            <w:pPr>
              <w:spacing w:after="0" w:line="130" w:lineRule="exact"/>
              <w:rPr>
                <w:sz w:val="20"/>
                <w:szCs w:val="20"/>
                <w:color w:val="auto"/>
              </w:rPr>
            </w:pPr>
            <w:r>
              <w:rPr>
                <w:rFonts w:ascii="Arial" w:cs="Arial" w:eastAsia="Arial" w:hAnsi="Arial"/>
                <w:sz w:val="14"/>
                <w:szCs w:val="14"/>
                <w:color w:val="auto"/>
              </w:rPr>
              <w:t>Issuance of shares upon fundraise transaction, October 2018, net 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80" w:type="dxa"/>
            <w:vAlign w:val="bottom"/>
          </w:tcPr>
          <w:p>
            <w:pPr>
              <w:ind w:left="140"/>
              <w:spacing w:after="0"/>
              <w:rPr>
                <w:sz w:val="20"/>
                <w:szCs w:val="20"/>
                <w:color w:val="auto"/>
              </w:rPr>
            </w:pPr>
            <w:r>
              <w:rPr>
                <w:rFonts w:ascii="Arial" w:cs="Arial" w:eastAsia="Arial" w:hAnsi="Arial"/>
                <w:sz w:val="14"/>
                <w:szCs w:val="14"/>
                <w:color w:val="auto"/>
              </w:rPr>
              <w:t>costs</w:t>
            </w: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75,083,480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75,083,480</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from limited liability company unit holders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1,637,479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17,297,494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18,934,973</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shares under business combinations and investments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51,151,649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51,151,649</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 adjustment for change in ownership</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35,940,000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27,773,234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(90,244,101)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(10,439,741)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(36,970,608)</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shares for redemption of noncontrolling interests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4,093,718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4,093,718</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12,148,251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12,148,251</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1,395,733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(489,437)</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906,296</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Control acquired through management service agreement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(164,635)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(164,635)</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Noncontrolling interest under business combination</w:t>
            </w:r>
          </w:p>
        </w:tc>
        <w:tc>
          <w:tcPr>
            <w:tcW w:w="100" w:type="dxa"/>
            <w:vAlign w:val="bottom"/>
          </w:tcPr>
          <w:p>
            <w:pPr>
              <w:spacing w:after="0"/>
              <w:rPr>
                <w:sz w:val="12"/>
                <w:szCs w:val="12"/>
                <w:color w:val="auto"/>
              </w:rPr>
            </w:pP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1,896,546</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(2,266,627)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(14,821,657)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(17,088,284)</w:t>
            </w: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Distributions of investments</w:t>
            </w:r>
          </w:p>
        </w:tc>
        <w:tc>
          <w:tcPr>
            <w:tcW w:w="100" w:type="dxa"/>
            <w:vAlign w:val="bottom"/>
          </w:tcPr>
          <w:p>
            <w:pPr>
              <w:spacing w:after="0"/>
              <w:rPr>
                <w:sz w:val="12"/>
                <w:szCs w:val="12"/>
                <w:color w:val="auto"/>
              </w:rPr>
            </w:pPr>
          </w:p>
        </w:tc>
        <w:tc>
          <w:tcPr>
            <w:tcW w:w="7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(26,134,851)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(26,134,851)</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(5,243,917)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27,811,696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22,567,779</w:t>
            </w:r>
          </w:p>
        </w:tc>
        <w:tc>
          <w:tcPr>
            <w:tcW w:w="0" w:type="dxa"/>
            <w:vAlign w:val="bottom"/>
          </w:tcPr>
          <w:p>
            <w:pPr>
              <w:spacing w:after="0"/>
              <w:rPr>
                <w:sz w:val="1"/>
                <w:szCs w:val="1"/>
                <w:color w:val="auto"/>
              </w:rPr>
            </w:pPr>
          </w:p>
        </w:tc>
      </w:tr>
      <w:tr>
        <w:trPr>
          <w:trHeight w:val="156"/>
        </w:trPr>
        <w:tc>
          <w:tcPr>
            <w:tcW w:w="4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2018</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397,590,465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91"/>
              </w:rPr>
              <w:t>27,773,234</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14,202,659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(100,876,937</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3,497,459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342,186,880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Shares to</w:t>
            </w:r>
          </w:p>
        </w:tc>
        <w:tc>
          <w:tcPr>
            <w:tcW w:w="80" w:type="dxa"/>
            <w:vAlign w:val="bottom"/>
          </w:tcPr>
          <w:p>
            <w:pPr>
              <w:spacing w:after="0"/>
              <w:rPr>
                <w:sz w:val="14"/>
                <w:szCs w:val="14"/>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Contributed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Deferred</w:t>
            </w:r>
          </w:p>
        </w:tc>
        <w:tc>
          <w:tcPr>
            <w:tcW w:w="10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Non-Controlling</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w:t>
            </w:r>
          </w:p>
        </w:tc>
        <w:tc>
          <w:tcPr>
            <w:tcW w:w="10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Earnings</w:t>
            </w: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Be Issued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Surplus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Issuance</w:t>
            </w:r>
          </w:p>
        </w:tc>
        <w:tc>
          <w:tcPr>
            <w:tcW w:w="108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397,590,465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27,773,234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14,202,659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(100,876,937)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3,497,459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$ 342,186,880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 xml:space="preserve">Adoption of ASC 842, </w:t>
            </w:r>
            <w:r>
              <w:rPr>
                <w:rFonts w:ascii="Arial" w:cs="Arial" w:eastAsia="Arial" w:hAnsi="Arial"/>
                <w:sz w:val="14"/>
                <w:szCs w:val="14"/>
                <w:i w:val="1"/>
                <w:iCs w:val="1"/>
                <w:color w:val="auto"/>
              </w:rPr>
              <w:t>Leases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(498,246)</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(498,246)</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Noncontrolling interests adjustment for change in ownership</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22,461,256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(27,773,234)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5,311,978</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(1,128,776)</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1,650,000</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530,697,606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(23,697,894)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506,999,712</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Deferred share issuances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16,587,798</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16,587,798</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shares for redemption of noncontrolling interests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29,889,374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(4,469,365)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25,420,009</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18,285,377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18,285,377</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for note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Shares issued in consideration of professional fees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228,761</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upon Exercise of broker options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665,152</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Shares withheld in lieu of cash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(125,060)</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Distributions to limited liability company unit holders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(7,516,061)</w:t>
            </w:r>
          </w:p>
        </w:tc>
        <w:tc>
          <w:tcPr>
            <w:tcW w:w="10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(7,516,061)</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(59,116,407)</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(430,463)</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(59,546,870)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2019</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980,638,701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3,960,854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16,587,798</w:t>
            </w:r>
          </w:p>
        </w:tc>
        <w:tc>
          <w:tcPr>
            <w:tcW w:w="10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w w:val="91"/>
              </w:rPr>
              <w:t>$ (160,491,590)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2,512,913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$ 843,208,676</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2020</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980,638,701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3,960,854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99"/>
              </w:rPr>
              <w:t>16,587,798</w:t>
            </w:r>
          </w:p>
        </w:tc>
        <w:tc>
          <w:tcPr>
            <w:tcW w:w="20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w w:val="86"/>
              </w:rPr>
              <w:t>$ (160,491,590)</w:t>
            </w:r>
          </w:p>
        </w:tc>
        <w:tc>
          <w:tcPr>
            <w:tcW w:w="20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2,512,913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1"/>
              </w:rPr>
              <w:t>$ 843,208,676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Noncontrolling interests adjustment for change in ownership</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322,270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(322,270)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3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shares under business combinations and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27,222,737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(17,407,429)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9,815,308</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w w:val="95"/>
              </w:rPr>
              <w:t>Contingent consideration, and other adjustments to purchase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accounting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22,885,813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22,885,813</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deferred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751,987</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751,987</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 of deferred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14,752,468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(14,752,468)</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Issueance of warrants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181,272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181,272</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2,818,409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(1,178,262)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1,640,147</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19,336,718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3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19,336,718</w:t>
            </w:r>
          </w:p>
        </w:tc>
        <w:tc>
          <w:tcPr>
            <w:tcW w:w="0" w:type="dxa"/>
            <w:vAlign w:val="bottom"/>
          </w:tcPr>
          <w:p>
            <w:pPr>
              <w:spacing w:after="0"/>
              <w:rPr>
                <w:sz w:val="1"/>
                <w:szCs w:val="1"/>
                <w:color w:val="auto"/>
              </w:rPr>
            </w:pPr>
          </w:p>
        </w:tc>
      </w:tr>
      <w:tr>
        <w:trPr>
          <w:trHeight w:val="130"/>
        </w:trPr>
        <w:tc>
          <w:tcPr>
            <w:tcW w:w="3620" w:type="dxa"/>
            <w:vAlign w:val="bottom"/>
          </w:tcPr>
          <w:p>
            <w:pPr>
              <w:spacing w:after="0" w:line="130" w:lineRule="exact"/>
              <w:rPr>
                <w:sz w:val="20"/>
                <w:szCs w:val="20"/>
                <w:color w:val="auto"/>
              </w:rPr>
            </w:pPr>
            <w:r>
              <w:rPr>
                <w:rFonts w:ascii="Arial" w:cs="Arial" w:eastAsia="Arial" w:hAnsi="Arial"/>
                <w:sz w:val="14"/>
                <w:szCs w:val="14"/>
                <w:color w:val="auto"/>
              </w:rPr>
              <w:t>Distributions to third party and limited liability company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tcPr>
          <w:p>
            <w:pPr>
              <w:ind w:left="140"/>
              <w:spacing w:after="0"/>
              <w:rPr>
                <w:sz w:val="20"/>
                <w:szCs w:val="20"/>
                <w:color w:val="auto"/>
              </w:rPr>
            </w:pPr>
            <w:r>
              <w:rPr>
                <w:rFonts w:ascii="Arial" w:cs="Arial" w:eastAsia="Arial" w:hAnsi="Arial"/>
                <w:sz w:val="14"/>
                <w:szCs w:val="14"/>
                <w:color w:val="auto"/>
              </w:rPr>
              <w:t>unit 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(2,788,500)</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(2,788,500)</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14,992,967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4,084,953</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19,077,920</w:t>
            </w:r>
          </w:p>
        </w:tc>
        <w:tc>
          <w:tcPr>
            <w:tcW w:w="0" w:type="dxa"/>
            <w:vAlign w:val="bottom"/>
          </w:tcPr>
          <w:p>
            <w:pPr>
              <w:spacing w:after="0"/>
              <w:rPr>
                <w:sz w:val="1"/>
                <w:szCs w:val="1"/>
                <w:color w:val="auto"/>
              </w:rPr>
            </w:pPr>
          </w:p>
        </w:tc>
      </w:tr>
      <w:tr>
        <w:trPr>
          <w:trHeight w:val="155"/>
        </w:trPr>
        <w:tc>
          <w:tcPr>
            <w:tcW w:w="36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2020</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1,048,640,398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4,893,153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2,587,317</w:t>
            </w:r>
          </w:p>
        </w:tc>
        <w:tc>
          <w:tcPr>
            <w:tcW w:w="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(145,498,623</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3,537,096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$ 914,159,341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29"/>
        </w:trPr>
        <w:tc>
          <w:tcPr>
            <w:tcW w:w="79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OPERATING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Net income (loss) attributable to Green Thumb Industries Inc.</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14,992,967</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(59,116,407)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(5,243,917)</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 attributable to non-controlling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4,084,953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(430,463)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27,811,696</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52,505,575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31,482,340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5,183,980</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Amortization of operating lease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26,287,253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7,291,154</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667,837</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Loss from investment in associate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56,423</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55,750</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Bad debt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367,400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Deferred rent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(20,978)</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2,094,504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(13,680,913)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4,061,000</w:t>
            </w:r>
          </w:p>
        </w:tc>
      </w:tr>
      <w:tr>
        <w:trPr>
          <w:trHeight w:val="149"/>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19,336,718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18,285,377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12,148,251</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Decrease (increase) in fair value of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(28,690,766)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5,586,480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(51,942,861)</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Decrease in fair value conversion feature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(1,293,474)</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value of liabilities related to put option and purchase of noncontrolling interests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132,523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(2,518,180)</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Interest on convertible note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434,000</w:t>
            </w: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Gain on settlement of contingent consideration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(9,877,014)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Interest on contingent consideration payable and acquisition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1,235,072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3,908,529</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178,030</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Increase (decrease) in fair value of warrant liability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23,001,771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(4,159,687)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Decrease in fair value of note 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815,937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6,608,790</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debt discount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5,158,618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5,177,775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receivable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(14,252,134)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(791,709)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(3,682,031)</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3"/>
              </w:rPr>
              <w:t>(23,377,268)</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(19,928,761)</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(7,441,790)</w:t>
            </w:r>
          </w:p>
        </w:tc>
      </w:tr>
      <w:tr>
        <w:trPr>
          <w:trHeight w:val="148"/>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230,406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(5,656,786)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(2,092,697)</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Deposits and other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755,630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(306,795)</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(679,072)</w:t>
            </w: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Accounts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11,674,295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(1,398,269)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4,725,096</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18,683,963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10,366,677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1,722,772</w:t>
            </w: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Operating lease liabilities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(17,682,357)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(6,488,207)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tcPr>
          <w:p>
            <w:pPr>
              <w:ind w:left="580"/>
              <w:spacing w:after="0" w:line="149" w:lineRule="exact"/>
              <w:rPr>
                <w:sz w:val="20"/>
                <w:szCs w:val="20"/>
                <w:color w:val="auto"/>
              </w:rPr>
            </w:pPr>
            <w:r>
              <w:rPr>
                <w:rFonts w:ascii="Arial" w:cs="Arial" w:eastAsia="Arial" w:hAnsi="Arial"/>
                <w:sz w:val="14"/>
                <w:szCs w:val="14"/>
                <w:color w:val="auto"/>
              </w:rPr>
              <w:t>Income tax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8,540,102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5,048,319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243,585</w:t>
            </w: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8"/>
        </w:trPr>
        <w:tc>
          <w:tcPr>
            <w:tcW w:w="7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95,916,965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(18,013,610)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(17,683,003)</w:t>
            </w: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INVESTING ACTIVITIES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(59,796,992)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(88,557,016)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(27,432,847)</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disposal of assets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11,799,025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20,325,557</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Investments in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(525,000)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(42,550,000)</w:t>
            </w: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repayment or sale of 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169,818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20,000,000</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Investment in associates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(4,387,500)</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Advances to related parties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(2,750,000)</w:t>
            </w:r>
          </w:p>
        </w:tc>
      </w:tr>
      <w:tr>
        <w:trPr>
          <w:trHeight w:val="149"/>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Repayments from related parties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583,686</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Repayment of note 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Issuance of notes receivable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(3,500,000)</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Consolidation of variable interest entities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154,776</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licenses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(49,999)</w:t>
            </w: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Purchase of businesses, net of cash acquired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(8,921,162)</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(109,439,921)</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(51,489,384)</w:t>
            </w:r>
          </w:p>
        </w:tc>
      </w:tr>
      <w:tr>
        <w:trPr>
          <w:trHeight w:val="27"/>
        </w:trPr>
        <w:tc>
          <w:tcPr>
            <w:tcW w:w="7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79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(57,274,311)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(174,671,380)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(111,421,268)</w:t>
            </w: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 FROM FINANCING ACTIVITIES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Contributions from limited liability company unit holders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1,650,000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21,748,211</w:t>
            </w: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Distributions to third parties and limited liability company unit holders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(2,788,500)</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(7,516,061)</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(17,368,034)</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for change in ownership interests of subsidiary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(700,000)</w:t>
            </w: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shares issued pursuant to private placement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66,805,295</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exchangeable notes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45,000,000</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fundraiser transactions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140,289,093</w:t>
            </w:r>
          </w:p>
        </w:tc>
      </w:tr>
      <w:tr>
        <w:trPr>
          <w:trHeight w:val="149"/>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exercise of options and warrants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1,640,147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540,089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906,296</w:t>
            </w:r>
          </w:p>
        </w:tc>
      </w:tr>
      <w:tr>
        <w:trPr>
          <w:trHeight w:val="148"/>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Reverse takeover, private placement, and fundraise transaction financing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(10,627,423)</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issuance of notes payable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117,435,724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825,000</w:t>
            </w: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color w:val="auto"/>
              </w:rPr>
              <w:t>Principal repayment of notes payable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(303,850)</w:t>
            </w: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(18,743,500)</w:t>
            </w: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(1,353,592)</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for purchase of noncontrolling interest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63"/>
        </w:trPr>
        <w:tc>
          <w:tcPr>
            <w:tcW w:w="7920" w:type="dxa"/>
            <w:vAlign w:val="bottom"/>
          </w:tcPr>
          <w:p>
            <w:pPr>
              <w:ind w:left="58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(1,552,203)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93,366,252</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245,524,846</w:t>
            </w:r>
          </w:p>
        </w:tc>
        <w:tc>
          <w:tcPr>
            <w:tcW w:w="120" w:type="dxa"/>
            <w:vAlign w:val="bottom"/>
          </w:tcPr>
          <w:p>
            <w:pPr>
              <w:spacing w:after="0"/>
              <w:rPr>
                <w:sz w:val="14"/>
                <w:szCs w:val="14"/>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37,090,451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(99,318,738)</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116,420,575</w:t>
            </w:r>
          </w:p>
        </w:tc>
      </w:tr>
      <w:tr>
        <w:trPr>
          <w:trHeight w:val="148"/>
        </w:trPr>
        <w:tc>
          <w:tcPr>
            <w:tcW w:w="7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46,667,334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145,986,072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29,565,497</w:t>
            </w:r>
          </w:p>
        </w:tc>
      </w:tr>
      <w:tr>
        <w:trPr>
          <w:trHeight w:val="156"/>
        </w:trPr>
        <w:tc>
          <w:tcPr>
            <w:tcW w:w="79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83,757,785</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46,667,334</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145,986,072</w:t>
            </w:r>
          </w:p>
        </w:tc>
        <w:tc>
          <w:tcPr>
            <w:tcW w:w="120" w:type="dxa"/>
            <w:vAlign w:val="bottom"/>
          </w:tcPr>
          <w:p>
            <w:pPr>
              <w:spacing w:after="0"/>
              <w:rPr>
                <w:sz w:val="13"/>
                <w:szCs w:val="13"/>
                <w:color w:val="auto"/>
              </w:rPr>
            </w:pP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line="149" w:lineRule="exact"/>
              <w:rPr>
                <w:sz w:val="20"/>
                <w:szCs w:val="20"/>
                <w:color w:val="auto"/>
              </w:rPr>
            </w:pPr>
            <w:r>
              <w:rPr>
                <w:rFonts w:ascii="Arial" w:cs="Arial" w:eastAsia="Arial" w:hAnsi="Arial"/>
                <w:sz w:val="14"/>
                <w:szCs w:val="14"/>
                <w:color w:val="auto"/>
              </w:rPr>
              <w:t>Interest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w w:val="99"/>
              </w:rPr>
              <w:t>12,761,513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5,019,465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874,298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with cancellation of note receivable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605,000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notes payable into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8,613,740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Compensation options issued for reverse takeover services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906,366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Initial consolidation of variable interest entities, net of cash</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(319,411)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Accrued 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(2,029,105</w:t>
            </w:r>
          </w:p>
        </w:tc>
        <w:tc>
          <w:tcPr>
            <w:tcW w:w="300" w:type="dxa"/>
            <w:vAlign w:val="bottom"/>
          </w:tcPr>
          <w:p>
            <w:pPr>
              <w:jc w:val="right"/>
              <w:ind w:right="21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14,949,980</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2,710,085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Distributions of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26,134,851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Liability related to put option of convertible note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7,108,043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increase in right of use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19"/>
              <w:spacing w:after="0" w:line="143" w:lineRule="exact"/>
              <w:rPr>
                <w:sz w:val="20"/>
                <w:szCs w:val="20"/>
                <w:color w:val="auto"/>
              </w:rPr>
            </w:pPr>
            <w:r>
              <w:rPr>
                <w:rFonts w:ascii="Arial" w:cs="Arial" w:eastAsia="Arial" w:hAnsi="Arial"/>
                <w:sz w:val="14"/>
                <w:szCs w:val="14"/>
                <w:color w:val="auto"/>
                <w:w w:val="93"/>
              </w:rPr>
              <w:t>(79,084,799)</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8"/>
              <w:spacing w:after="0" w:line="143" w:lineRule="exact"/>
              <w:rPr>
                <w:sz w:val="20"/>
                <w:szCs w:val="20"/>
                <w:color w:val="auto"/>
              </w:rPr>
            </w:pPr>
            <w:r>
              <w:rPr>
                <w:rFonts w:ascii="Arial" w:cs="Arial" w:eastAsia="Arial" w:hAnsi="Arial"/>
                <w:sz w:val="14"/>
                <w:szCs w:val="14"/>
                <w:color w:val="auto"/>
              </w:rPr>
              <w:t>(63,477,013)</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Noncash increase in lease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79,084,799</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63,975,259</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Net liability upon adoption of ASC 842, </w:t>
            </w:r>
            <w:r>
              <w:rPr>
                <w:rFonts w:ascii="Arial" w:cs="Arial" w:eastAsia="Arial" w:hAnsi="Arial"/>
                <w:sz w:val="14"/>
                <w:szCs w:val="14"/>
                <w:i w:val="1"/>
                <w:iCs w:val="1"/>
                <w:color w:val="auto"/>
              </w:rPr>
              <w:t>Leases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8"/>
              <w:spacing w:after="0" w:line="143" w:lineRule="exact"/>
              <w:rPr>
                <w:sz w:val="20"/>
                <w:szCs w:val="20"/>
                <w:color w:val="auto"/>
              </w:rPr>
            </w:pPr>
            <w:r>
              <w:rPr>
                <w:rFonts w:ascii="Arial" w:cs="Arial" w:eastAsia="Arial" w:hAnsi="Arial"/>
                <w:sz w:val="14"/>
                <w:szCs w:val="14"/>
                <w:color w:val="auto"/>
              </w:rPr>
              <w:t>(498,246)</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Exercise of put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(1,128,776</w:t>
            </w:r>
          </w:p>
        </w:tc>
        <w:tc>
          <w:tcPr>
            <w:tcW w:w="320" w:type="dxa"/>
            <w:vAlign w:val="bottom"/>
          </w:tcPr>
          <w:p>
            <w:pPr>
              <w:jc w:val="right"/>
              <w:ind w:right="188"/>
              <w:spacing w:after="0" w:line="143" w:lineRule="exact"/>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Warrants attributable to debt issuance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753,658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8"/>
              <w:spacing w:after="0" w:line="143" w:lineRule="exact"/>
              <w:rPr>
                <w:sz w:val="20"/>
                <w:szCs w:val="20"/>
                <w:color w:val="auto"/>
              </w:rPr>
            </w:pPr>
            <w:r>
              <w:rPr>
                <w:rFonts w:ascii="Arial" w:cs="Arial" w:eastAsia="Arial" w:hAnsi="Arial"/>
                <w:sz w:val="14"/>
                <w:szCs w:val="14"/>
                <w:color w:val="auto"/>
              </w:rPr>
              <w:t>20,039,530</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Mortgages associated with dispensaries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3,607,000</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Liability for purchase of noncontrolling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19"/>
              <w:spacing w:after="0" w:line="143" w:lineRule="exact"/>
              <w:rPr>
                <w:sz w:val="20"/>
                <w:szCs w:val="20"/>
                <w:color w:val="auto"/>
              </w:rPr>
            </w:pPr>
            <w:r>
              <w:rPr>
                <w:rFonts w:ascii="Arial" w:cs="Arial" w:eastAsia="Arial" w:hAnsi="Arial"/>
                <w:sz w:val="14"/>
                <w:szCs w:val="14"/>
                <w:color w:val="auto"/>
              </w:rPr>
              <w:t>(5,350,000)</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8"/>
              <w:spacing w:after="0" w:line="143" w:lineRule="exact"/>
              <w:rPr>
                <w:sz w:val="20"/>
                <w:szCs w:val="20"/>
                <w:color w:val="auto"/>
              </w:rPr>
            </w:pPr>
            <w:r>
              <w:rPr>
                <w:rFonts w:ascii="Arial" w:cs="Arial" w:eastAsia="Arial" w:hAnsi="Arial"/>
                <w:sz w:val="14"/>
                <w:szCs w:val="14"/>
                <w:color w:val="auto"/>
              </w:rPr>
              <w:t>(25,420,009)</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25,068,847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Liability associated with acquisition agreement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contingent shares under acquisition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22,485,670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8"/>
              <w:spacing w:after="0" w:line="143" w:lineRule="exact"/>
              <w:rPr>
                <w:sz w:val="20"/>
                <w:szCs w:val="20"/>
                <w:color w:val="auto"/>
              </w:rPr>
            </w:pPr>
            <w:r>
              <w:rPr>
                <w:rFonts w:ascii="Arial" w:cs="Arial" w:eastAsia="Arial" w:hAnsi="Arial"/>
                <w:sz w:val="14"/>
                <w:szCs w:val="14"/>
                <w:color w:val="auto"/>
              </w:rPr>
              <w:t>10,999,040</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Deferred share issuances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751,987</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16,587,798</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Deferred share distributions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19"/>
              <w:spacing w:after="0" w:line="143" w:lineRule="exact"/>
              <w:rPr>
                <w:sz w:val="20"/>
                <w:szCs w:val="20"/>
                <w:color w:val="auto"/>
              </w:rPr>
            </w:pPr>
            <w:r>
              <w:rPr>
                <w:rFonts w:ascii="Arial" w:cs="Arial" w:eastAsia="Arial" w:hAnsi="Arial"/>
                <w:sz w:val="14"/>
                <w:szCs w:val="14"/>
                <w:color w:val="auto"/>
                <w:w w:val="93"/>
              </w:rPr>
              <w:t>(14,752,468)</w:t>
            </w:r>
          </w:p>
        </w:tc>
        <w:tc>
          <w:tcPr>
            <w:tcW w:w="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08"/>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color w:val="auto"/>
              </w:rPr>
              <w:t>Issuance of shares under business combinations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4,619,237</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495,737,729</w:t>
            </w:r>
          </w:p>
        </w:tc>
        <w:tc>
          <w:tcPr>
            <w:tcW w:w="3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51,151,649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Acquisitions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Inventory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131,204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13,746,656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975,329</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2,164,140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Prepaid assets</w:t>
            </w:r>
          </w:p>
        </w:tc>
        <w:tc>
          <w:tcPr>
            <w:tcW w:w="100" w:type="dxa"/>
            <w:vAlign w:val="bottom"/>
          </w:tcPr>
          <w:p>
            <w:pPr>
              <w:spacing w:after="0"/>
              <w:rPr>
                <w:sz w:val="12"/>
                <w:szCs w:val="12"/>
                <w:color w:val="auto"/>
              </w:rPr>
            </w:pPr>
          </w:p>
        </w:tc>
        <w:tc>
          <w:tcPr>
            <w:tcW w:w="10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17,280</w:t>
            </w:r>
          </w:p>
        </w:tc>
        <w:tc>
          <w:tcPr>
            <w:tcW w:w="100" w:type="dxa"/>
            <w:vAlign w:val="bottom"/>
          </w:tcPr>
          <w:p>
            <w:pPr>
              <w:spacing w:after="0"/>
              <w:rPr>
                <w:sz w:val="12"/>
                <w:szCs w:val="12"/>
                <w:color w:val="auto"/>
              </w:rPr>
            </w:pP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531,276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26,635</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and equipment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263,860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16,628,952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3,938,703</w:t>
            </w: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Investments</w:t>
            </w:r>
          </w:p>
        </w:tc>
        <w:tc>
          <w:tcPr>
            <w:tcW w:w="100" w:type="dxa"/>
            <w:vAlign w:val="bottom"/>
          </w:tcPr>
          <w:p>
            <w:pPr>
              <w:spacing w:after="0"/>
              <w:rPr>
                <w:sz w:val="12"/>
                <w:szCs w:val="12"/>
                <w:color w:val="auto"/>
              </w:rPr>
            </w:pPr>
          </w:p>
        </w:tc>
        <w:tc>
          <w:tcPr>
            <w:tcW w:w="102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9,900,000</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Right of use assets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119,313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7,461,953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Identifiable intangible assets</w:t>
            </w:r>
          </w:p>
        </w:tc>
        <w:tc>
          <w:tcPr>
            <w:tcW w:w="100" w:type="dxa"/>
            <w:vAlign w:val="bottom"/>
          </w:tcPr>
          <w:p>
            <w:pPr>
              <w:spacing w:after="0"/>
              <w:rPr>
                <w:sz w:val="12"/>
                <w:szCs w:val="12"/>
                <w:color w:val="auto"/>
              </w:rPr>
            </w:pPr>
          </w:p>
        </w:tc>
        <w:tc>
          <w:tcPr>
            <w:tcW w:w="10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6,181,523</w:t>
            </w:r>
          </w:p>
        </w:tc>
        <w:tc>
          <w:tcPr>
            <w:tcW w:w="100" w:type="dxa"/>
            <w:vAlign w:val="bottom"/>
          </w:tcPr>
          <w:p>
            <w:pPr>
              <w:spacing w:after="0"/>
              <w:rPr>
                <w:sz w:val="12"/>
                <w:szCs w:val="12"/>
                <w:color w:val="auto"/>
              </w:rPr>
            </w:pP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377,163,592</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76,650,639</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7,612,476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331,208,108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39,016,100</w:t>
            </w: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Deposits and other assets</w:t>
            </w:r>
          </w:p>
        </w:tc>
        <w:tc>
          <w:tcPr>
            <w:tcW w:w="100" w:type="dxa"/>
            <w:vAlign w:val="bottom"/>
          </w:tcPr>
          <w:p>
            <w:pPr>
              <w:spacing w:after="0"/>
              <w:rPr>
                <w:sz w:val="12"/>
                <w:szCs w:val="12"/>
                <w:color w:val="auto"/>
              </w:rPr>
            </w:pPr>
          </w:p>
        </w:tc>
        <w:tc>
          <w:tcPr>
            <w:tcW w:w="10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610,863</w:t>
            </w:r>
          </w:p>
        </w:tc>
        <w:tc>
          <w:tcPr>
            <w:tcW w:w="100" w:type="dxa"/>
            <w:vAlign w:val="bottom"/>
          </w:tcPr>
          <w:p>
            <w:pPr>
              <w:spacing w:after="0"/>
              <w:rPr>
                <w:sz w:val="12"/>
                <w:szCs w:val="12"/>
                <w:color w:val="auto"/>
              </w:rPr>
            </w:pPr>
          </w:p>
        </w:tc>
        <w:tc>
          <w:tcPr>
            <w:tcW w:w="11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1,171,667</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239,808</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Liabilities assumed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(1,519,596)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(9,729,371)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(2,088,369)</w:t>
            </w: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w:t>
            </w:r>
          </w:p>
        </w:tc>
        <w:tc>
          <w:tcPr>
            <w:tcW w:w="100" w:type="dxa"/>
            <w:vAlign w:val="bottom"/>
          </w:tcPr>
          <w:p>
            <w:pPr>
              <w:spacing w:after="0"/>
              <w:rPr>
                <w:sz w:val="12"/>
                <w:szCs w:val="12"/>
                <w:color w:val="auto"/>
              </w:rPr>
            </w:pPr>
          </w:p>
        </w:tc>
        <w:tc>
          <w:tcPr>
            <w:tcW w:w="10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(119,313)</w:t>
            </w:r>
          </w:p>
        </w:tc>
        <w:tc>
          <w:tcPr>
            <w:tcW w:w="100" w:type="dxa"/>
            <w:vAlign w:val="bottom"/>
          </w:tcPr>
          <w:p>
            <w:pPr>
              <w:spacing w:after="0"/>
              <w:rPr>
                <w:sz w:val="12"/>
                <w:szCs w:val="12"/>
                <w:color w:val="auto"/>
              </w:rPr>
            </w:pPr>
          </w:p>
        </w:tc>
        <w:tc>
          <w:tcPr>
            <w:tcW w:w="11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(7,461,953)</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Contingent liabilities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(56,992,000)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(8,857,220)</w:t>
            </w: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Equity interests issued</w:t>
            </w:r>
          </w:p>
        </w:tc>
        <w:tc>
          <w:tcPr>
            <w:tcW w:w="100" w:type="dxa"/>
            <w:vAlign w:val="bottom"/>
          </w:tcPr>
          <w:p>
            <w:pPr>
              <w:spacing w:after="0"/>
              <w:rPr>
                <w:sz w:val="12"/>
                <w:szCs w:val="12"/>
                <w:color w:val="auto"/>
              </w:rPr>
            </w:pPr>
          </w:p>
        </w:tc>
        <w:tc>
          <w:tcPr>
            <w:tcW w:w="10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(5,096,648)</w:t>
            </w:r>
          </w:p>
        </w:tc>
        <w:tc>
          <w:tcPr>
            <w:tcW w:w="100" w:type="dxa"/>
            <w:vAlign w:val="bottom"/>
          </w:tcPr>
          <w:p>
            <w:pPr>
              <w:spacing w:after="0"/>
              <w:rPr>
                <w:sz w:val="12"/>
                <w:szCs w:val="12"/>
                <w:color w:val="auto"/>
              </w:rPr>
            </w:pPr>
          </w:p>
        </w:tc>
        <w:tc>
          <w:tcPr>
            <w:tcW w:w="11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w w:val="96"/>
              </w:rPr>
              <w:t>(495,806,400)</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(49,689,149)</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Conversion of note receivable previously issued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(27,121,559)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Acquisition liability</w:t>
            </w:r>
          </w:p>
        </w:tc>
        <w:tc>
          <w:tcPr>
            <w:tcW w:w="100" w:type="dxa"/>
            <w:vAlign w:val="bottom"/>
          </w:tcPr>
          <w:p>
            <w:pPr>
              <w:spacing w:after="0"/>
              <w:rPr>
                <w:sz w:val="12"/>
                <w:szCs w:val="12"/>
                <w:color w:val="auto"/>
              </w:rPr>
            </w:pPr>
          </w:p>
        </w:tc>
        <w:tc>
          <w:tcPr>
            <w:tcW w:w="1020" w:type="dxa"/>
            <w:vAlign w:val="bottom"/>
            <w:gridSpan w:val="2"/>
          </w:tcPr>
          <w:p>
            <w:pPr>
              <w:jc w:val="right"/>
              <w:ind w:right="33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(17,378,866)</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720,200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(36,046,274)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(6,680,000)</w:t>
            </w:r>
          </w:p>
        </w:tc>
        <w:tc>
          <w:tcPr>
            <w:tcW w:w="0" w:type="dxa"/>
            <w:vAlign w:val="bottom"/>
          </w:tcPr>
          <w:p>
            <w:pPr>
              <w:spacing w:after="0"/>
              <w:rPr>
                <w:sz w:val="1"/>
                <w:szCs w:val="1"/>
                <w:color w:val="auto"/>
              </w:rPr>
            </w:pPr>
          </w:p>
        </w:tc>
      </w:tr>
      <w:tr>
        <w:trPr>
          <w:trHeight w:val="148"/>
        </w:trPr>
        <w:tc>
          <w:tcPr>
            <w:tcW w:w="7700" w:type="dxa"/>
            <w:vAlign w:val="bottom"/>
          </w:tcPr>
          <w:p>
            <w:pPr>
              <w:ind w:left="280"/>
              <w:spacing w:after="0" w:line="149"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(2,043,092)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8,921,162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109,439,921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51,489,384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Green Thumb Industries Inc. (“</w:t>
      </w:r>
      <w:r>
        <w:rPr>
          <w:rFonts w:ascii="Arial" w:cs="Arial" w:eastAsia="Arial" w:hAnsi="Arial"/>
          <w:sz w:val="17"/>
          <w:szCs w:val="17"/>
          <w:b w:val="1"/>
          <w:bCs w:val="1"/>
          <w:color w:val="auto"/>
        </w:rPr>
        <w:t>Green Thumb</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Rhythm and The Feel Collection, to third-party retail stores across the United States as well as to Green Thumb owned retail stores. The Company also owns and operates retail cannabis stores that include a rapidly growing national chain called Rise</w:t>
      </w:r>
      <w:r>
        <w:rPr>
          <w:rFonts w:ascii="Arial" w:cs="Arial" w:eastAsia="Arial" w:hAnsi="Arial"/>
          <w:sz w:val="14"/>
          <w:szCs w:val="14"/>
          <w:color w:val="auto"/>
        </w:rPr>
        <w:t>TM</w:t>
      </w:r>
      <w:r>
        <w:rPr>
          <w:rFonts w:ascii="Arial" w:cs="Arial" w:eastAsia="Arial" w:hAnsi="Arial"/>
          <w:sz w:val="17"/>
          <w:szCs w:val="17"/>
          <w:color w:val="auto"/>
        </w:rPr>
        <w:t xml:space="preserve"> and a Las Vegas, Nevada area chain of retail cannabis stores named Essence. As of December 31, 2020, Green Thumb has revenue in twelve markets (California, Colorado, Connecticut, Florida, Illinois, Maryland, Massachusetts, Nevada, New Jersey, New York, Ohio, and Pennsylvania).</w:t>
      </w:r>
    </w:p>
    <w:p>
      <w:pPr>
        <w:spacing w:after="0" w:line="176"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61"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8"/>
          <w:szCs w:val="18"/>
          <w:color w:val="auto"/>
        </w:rPr>
        <w:t>On June 12, 2018, the Company completed a reverse takeover transaction (“</w:t>
      </w:r>
      <w:r>
        <w:rPr>
          <w:rFonts w:ascii="Arial" w:cs="Arial" w:eastAsia="Arial" w:hAnsi="Arial"/>
          <w:sz w:val="18"/>
          <w:szCs w:val="18"/>
          <w:b w:val="1"/>
          <w:bCs w:val="1"/>
          <w:color w:val="auto"/>
        </w:rPr>
        <w:t>RTO</w:t>
      </w:r>
      <w:r>
        <w:rPr>
          <w:rFonts w:ascii="Arial" w:cs="Arial" w:eastAsia="Arial" w:hAnsi="Arial"/>
          <w:sz w:val="18"/>
          <w:szCs w:val="18"/>
          <w:color w:val="auto"/>
        </w:rPr>
        <w:t>”) further described in Note 3. Following the RTO, the Company is listed on the Canadian Securities Exchange (the “</w:t>
      </w:r>
      <w:r>
        <w:rPr>
          <w:rFonts w:ascii="Arial" w:cs="Arial" w:eastAsia="Arial" w:hAnsi="Arial"/>
          <w:sz w:val="18"/>
          <w:szCs w:val="18"/>
          <w:b w:val="1"/>
          <w:bCs w:val="1"/>
          <w:color w:val="auto"/>
        </w:rPr>
        <w:t>CSE</w:t>
      </w:r>
      <w:r>
        <w:rPr>
          <w:rFonts w:ascii="Arial" w:cs="Arial" w:eastAsia="Arial" w:hAnsi="Arial"/>
          <w:sz w:val="18"/>
          <w:szCs w:val="18"/>
          <w:color w:val="auto"/>
        </w:rPr>
        <w:t>”) under ticker symbol “</w:t>
      </w:r>
      <w:r>
        <w:rPr>
          <w:rFonts w:ascii="Arial" w:cs="Arial" w:eastAsia="Arial" w:hAnsi="Arial"/>
          <w:sz w:val="18"/>
          <w:szCs w:val="18"/>
          <w:b w:val="1"/>
          <w:bCs w:val="1"/>
          <w:color w:val="auto"/>
        </w:rPr>
        <w:t>GTII</w:t>
      </w:r>
      <w:r>
        <w:rPr>
          <w:rFonts w:ascii="Arial" w:cs="Arial" w:eastAsia="Arial" w:hAnsi="Arial"/>
          <w:sz w:val="18"/>
          <w:szCs w:val="18"/>
          <w:color w:val="auto"/>
        </w:rPr>
        <w:t>” and on the OTCQX, part of the OTC Markets Group, under the ticker “</w:t>
      </w:r>
      <w:r>
        <w:rPr>
          <w:rFonts w:ascii="Arial" w:cs="Arial" w:eastAsia="Arial" w:hAnsi="Arial"/>
          <w:sz w:val="18"/>
          <w:szCs w:val="18"/>
          <w:b w:val="1"/>
          <w:bCs w:val="1"/>
          <w:color w:val="auto"/>
        </w:rPr>
        <w:t>GTBIF</w:t>
      </w:r>
      <w:r>
        <w:rPr>
          <w:rFonts w:ascii="Arial" w:cs="Arial" w:eastAsia="Arial" w:hAnsi="Arial"/>
          <w:sz w:val="18"/>
          <w:szCs w:val="18"/>
          <w:color w:val="auto"/>
        </w:rPr>
        <w:t>”.</w:t>
      </w:r>
    </w:p>
    <w:p>
      <w:pPr>
        <w:spacing w:after="0" w:line="18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Company’s registered office is located at 250 Howe Street, 20th Floor, Vancouver, British Columbia, V6C 3R8. The Company’s U.S. headquarters are at 325 W. Huron St., Suite 700, Chicago, IL 60654.</w:t>
      </w:r>
    </w:p>
    <w:p>
      <w:pPr>
        <w:spacing w:after="0" w:line="315"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17" w:lineRule="exact"/>
        <w:rPr>
          <w:rFonts w:ascii="Arial" w:cs="Arial" w:eastAsia="Arial" w:hAnsi="Arial"/>
          <w:sz w:val="18"/>
          <w:szCs w:val="18"/>
          <w:b w:val="1"/>
          <w:bCs w:val="1"/>
          <w:color w:val="auto"/>
        </w:rPr>
      </w:pPr>
    </w:p>
    <w:p>
      <w:pPr>
        <w:ind w:left="1100" w:right="14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as of December 31, 2020, 2019 and 2018 (the “</w:t>
      </w:r>
      <w:r>
        <w:rPr>
          <w:rFonts w:ascii="Arial" w:cs="Arial" w:eastAsia="Arial" w:hAnsi="Arial"/>
          <w:sz w:val="17"/>
          <w:szCs w:val="17"/>
          <w:b w:val="1"/>
          <w:bCs w:val="1"/>
          <w:color w:val="auto"/>
        </w:rPr>
        <w:t>Consolidated Financial Statements</w:t>
      </w:r>
      <w:r>
        <w:rPr>
          <w:rFonts w:ascii="Arial" w:cs="Arial" w:eastAsia="Arial" w:hAnsi="Arial"/>
          <w:sz w:val="17"/>
          <w:szCs w:val="17"/>
          <w:color w:val="auto"/>
        </w:rPr>
        <w:t>”), have been prepared in accordance with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4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1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on the going concern basis, under the historical cost convention, except for certain financial instruments that are measured at fair value as described herein.</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17" w:lineRule="exact"/>
        <w:rPr>
          <w:rFonts w:ascii="Arial" w:cs="Arial" w:eastAsia="Arial" w:hAnsi="Arial"/>
          <w:sz w:val="18"/>
          <w:szCs w:val="18"/>
          <w:b w:val="1"/>
          <w:bCs w:val="1"/>
          <w:color w:val="auto"/>
        </w:rPr>
      </w:pPr>
    </w:p>
    <w:p>
      <w:pPr>
        <w:ind w:left="1100" w:right="3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w:t>
      </w:r>
      <w:r>
        <w:rPr>
          <w:rFonts w:ascii="Arial" w:cs="Arial" w:eastAsia="Arial" w:hAnsi="Arial"/>
          <w:sz w:val="18"/>
          <w:szCs w:val="18"/>
          <w:b w:val="1"/>
          <w:bCs w:val="1"/>
          <w:color w:val="auto"/>
        </w:rPr>
        <w:t>U.S.</w:t>
      </w:r>
      <w:r>
        <w:rPr>
          <w:rFonts w:ascii="Arial" w:cs="Arial" w:eastAsia="Arial" w:hAnsi="Arial"/>
          <w:sz w:val="18"/>
          <w:szCs w:val="18"/>
          <w:color w:val="auto"/>
        </w:rPr>
        <w:t>”) dollar. These consolidated financial statements are presented in U.S. dollars.</w:t>
      </w:r>
    </w:p>
    <w:p>
      <w:pPr>
        <w:spacing w:after="0" w:line="6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10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years ended December 31, 2020, 2019 and 2018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-2411095</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40"/>
          </w:cols>
          <w:pgMar w:left="320" w:top="459"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On January 1, 2018, the members of GTI-Clinic Illinois Holdings, LLC (representing Green Thumb’s Illinois operations and ownership) and RCP23, LLC (representing Green Thumb’s non-Illinois operations that included Nevada, Pennsylvania, Massachusetts, and Maryland ownership) closed on a restructuring, that combined all of Green Thumb’s operational and ownership structure within VCP23, LLC. Prior to January 1, 2018, these businesses were managed and controlled by Green Thumb senior management. Subsequent to January 1, 2018, VCP23, LLC was controlled by the members of GTI-Clinic Illinois Holdings, LLC and RCP23, LLC.</w:t>
      </w:r>
    </w:p>
    <w:p>
      <w:pPr>
        <w:spacing w:after="0" w:line="49" w:lineRule="exact"/>
        <w:rPr>
          <w:rFonts w:ascii="Arial" w:cs="Arial" w:eastAsia="Arial" w:hAnsi="Arial"/>
          <w:sz w:val="18"/>
          <w:szCs w:val="18"/>
          <w:b w:val="1"/>
          <w:bCs w:val="1"/>
          <w:color w:val="auto"/>
        </w:rPr>
      </w:pPr>
    </w:p>
    <w:p>
      <w:pPr>
        <w:ind w:left="1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On June 12, 2018, the Company completed a reverse takeover transaction with Bayswater Uranium Corporation (“</w:t>
      </w:r>
      <w:r>
        <w:rPr>
          <w:rFonts w:ascii="Arial" w:cs="Arial" w:eastAsia="Arial" w:hAnsi="Arial"/>
          <w:sz w:val="17"/>
          <w:szCs w:val="17"/>
          <w:b w:val="1"/>
          <w:bCs w:val="1"/>
          <w:color w:val="auto"/>
        </w:rPr>
        <w:t>Bayswater</w:t>
      </w:r>
      <w:r>
        <w:rPr>
          <w:rFonts w:ascii="Arial" w:cs="Arial" w:eastAsia="Arial" w:hAnsi="Arial"/>
          <w:sz w:val="17"/>
          <w:szCs w:val="17"/>
          <w:color w:val="auto"/>
        </w:rPr>
        <w:t>”) which we refer to as the “</w:t>
      </w:r>
      <w:r>
        <w:rPr>
          <w:rFonts w:ascii="Arial" w:cs="Arial" w:eastAsia="Arial" w:hAnsi="Arial"/>
          <w:sz w:val="17"/>
          <w:szCs w:val="17"/>
          <w:b w:val="1"/>
          <w:bCs w:val="1"/>
          <w:color w:val="auto"/>
        </w:rPr>
        <w:t>Transaction</w:t>
      </w:r>
      <w:r>
        <w:rPr>
          <w:rFonts w:ascii="Arial" w:cs="Arial" w:eastAsia="Arial" w:hAnsi="Arial"/>
          <w:sz w:val="17"/>
          <w:szCs w:val="17"/>
          <w:color w:val="auto"/>
        </w:rPr>
        <w:t>” or “</w:t>
      </w:r>
      <w:r>
        <w:rPr>
          <w:rFonts w:ascii="Arial" w:cs="Arial" w:eastAsia="Arial" w:hAnsi="Arial"/>
          <w:sz w:val="17"/>
          <w:szCs w:val="17"/>
          <w:b w:val="1"/>
          <w:bCs w:val="1"/>
          <w:color w:val="auto"/>
        </w:rPr>
        <w:t>RTO</w:t>
      </w:r>
      <w:r>
        <w:rPr>
          <w:rFonts w:ascii="Arial" w:cs="Arial" w:eastAsia="Arial" w:hAnsi="Arial"/>
          <w:sz w:val="17"/>
          <w:szCs w:val="17"/>
          <w:color w:val="auto"/>
        </w:rPr>
        <w:t>”. The Transaction was structured as a series of transactions, including a Canadian three-cornered amalgamation transaction and a series of U.S. reorganization steps as explained further in Note 3.</w:t>
      </w:r>
    </w:p>
    <w:p>
      <w:pPr>
        <w:spacing w:after="0" w:line="53"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-2470785</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1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GTI23, Inc.</w:t>
            </w:r>
          </w:p>
        </w:tc>
        <w:tc>
          <w:tcPr>
            <w:tcW w:w="37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gridSpan w:val="2"/>
            <w:vMerge w:val="continue"/>
            <w:shd w:val="clear" w:color="auto" w:fill="CCEEFF"/>
          </w:tcPr>
          <w:p>
            <w:pPr>
              <w:spacing w:after="0"/>
              <w:rPr>
                <w:sz w:val="17"/>
                <w:szCs w:val="17"/>
                <w:color w:val="auto"/>
              </w:rPr>
            </w:pPr>
          </w:p>
        </w:tc>
        <w:tc>
          <w:tcPr>
            <w:tcW w:w="378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Delaware</w:t>
            </w:r>
          </w:p>
        </w:tc>
        <w:tc>
          <w:tcPr>
            <w:tcW w:w="54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37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3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080" w:type="dxa"/>
            <w:vAlign w:val="bottom"/>
            <w:gridSpan w:val="3"/>
          </w:tcPr>
          <w:p>
            <w:pPr>
              <w:ind w:left="1460"/>
              <w:spacing w:after="0"/>
              <w:rPr>
                <w:sz w:val="20"/>
                <w:szCs w:val="20"/>
                <w:color w:val="auto"/>
              </w:rPr>
            </w:pPr>
            <w:r>
              <w:rPr>
                <w:rFonts w:ascii="Arial" w:cs="Arial" w:eastAsia="Arial" w:hAnsi="Arial"/>
                <w:sz w:val="18"/>
                <w:szCs w:val="18"/>
                <w:color w:val="auto"/>
              </w:rPr>
              <w:t>F-8</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Subsidiaries</w:t>
            </w:r>
          </w:p>
        </w:tc>
        <w:tc>
          <w:tcPr>
            <w:tcW w:w="2660" w:type="dxa"/>
            <w:vAlign w:val="bottom"/>
          </w:tcPr>
          <w:p>
            <w:pPr>
              <w:spacing w:after="0"/>
              <w:rPr>
                <w:sz w:val="18"/>
                <w:szCs w:val="18"/>
                <w:color w:val="auto"/>
              </w:rPr>
            </w:pPr>
          </w:p>
        </w:tc>
        <w:tc>
          <w:tcPr>
            <w:tcW w:w="19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Ownership</w:t>
            </w:r>
          </w:p>
        </w:tc>
        <w:tc>
          <w:tcPr>
            <w:tcW w:w="22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6"/>
                <w:szCs w:val="16"/>
                <w:b w:val="1"/>
                <w:bCs w:val="1"/>
                <w:color w:val="auto"/>
              </w:rPr>
              <w:t>Jurisdiction</w:t>
            </w:r>
          </w:p>
        </w:tc>
        <w:tc>
          <w:tcPr>
            <w:tcW w:w="380" w:type="dxa"/>
            <w:vAlign w:val="bottom"/>
          </w:tcPr>
          <w:p>
            <w:pPr>
              <w:spacing w:after="0"/>
              <w:rPr>
                <w:sz w:val="18"/>
                <w:szCs w:val="18"/>
                <w:color w:val="auto"/>
              </w:rPr>
            </w:pPr>
          </w:p>
        </w:tc>
        <w:tc>
          <w:tcPr>
            <w:tcW w:w="2160" w:type="dxa"/>
            <w:vAlign w:val="bottom"/>
          </w:tcPr>
          <w:p>
            <w:pPr>
              <w:ind w:left="780"/>
              <w:spacing w:after="0"/>
              <w:rPr>
                <w:sz w:val="20"/>
                <w:szCs w:val="20"/>
                <w:color w:val="auto"/>
              </w:rPr>
            </w:pPr>
            <w:r>
              <w:rPr>
                <w:rFonts w:ascii="Arial" w:cs="Arial" w:eastAsia="Arial" w:hAnsi="Arial"/>
                <w:sz w:val="16"/>
                <w:szCs w:val="16"/>
                <w:b w:val="1"/>
                <w:bCs w:val="1"/>
                <w:color w:val="auto"/>
              </w:rPr>
              <w:t>Purpose</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JB17, LLC</w:t>
            </w:r>
          </w:p>
        </w:tc>
        <w:tc>
          <w:tcPr>
            <w:tcW w:w="8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100%</w:t>
            </w:r>
          </w:p>
        </w:tc>
        <w:tc>
          <w:tcPr>
            <w:tcW w:w="22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380" w:type="dxa"/>
            <w:vAlign w:val="bottom"/>
            <w:vMerge w:val="continue"/>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Illinois</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 Disp,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Illinois</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w w:val="84"/>
              </w:rPr>
              <w:t>Massachusetts</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Maryland</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Ohio Investors 2017,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Ohio</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Ohio,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Ohio</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Nevada</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Pennsylvania</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Florida,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Florida</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Holding company</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KSGNF,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Florida</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New Jersey</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Ventures Holdings,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Pennsylvania</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Chesapeake Alternatives,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Maryland</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Meshow,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Maryland</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Advanced Grow Labs,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Connecticut</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Bluepoint Wellness of Westport,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Connecticut</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Bluepoint Apothecary,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Connecticut</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 CT Wellness and Healing</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Connecticut</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Integral Associates,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Nevada</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CA,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California</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Fiorello Pharmaceuticals, Inc.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New York</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 Brands,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Colorado</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For Success Holding Company</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California</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Intellectual property</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IP Holdings,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Vision Management Services,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rPr>
              <w:t>Management company</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TWD18, LLC</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2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 company</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VCP Real Estate Holdings, LLC</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540" w:type="dxa"/>
            <w:vAlign w:val="bottom"/>
            <w:gridSpan w:val="2"/>
          </w:tcPr>
          <w:p>
            <w:pPr>
              <w:ind w:left="360"/>
              <w:spacing w:after="0"/>
              <w:rPr>
                <w:sz w:val="20"/>
                <w:szCs w:val="20"/>
                <w:color w:val="auto"/>
              </w:rPr>
            </w:pPr>
            <w:r>
              <w:rPr>
                <w:rFonts w:ascii="Arial" w:cs="Arial" w:eastAsia="Arial" w:hAnsi="Arial"/>
                <w:sz w:val="18"/>
                <w:szCs w:val="18"/>
                <w:color w:val="auto"/>
                <w:w w:val="92"/>
              </w:rPr>
              <w:t>Real Estate holding company</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w:t>
      </w:r>
    </w:p>
    <w:p>
      <w:pPr>
        <w:spacing w:after="0" w:line="7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Dilution gains and losses arising in investments in associates are recognized in the consolidated statements of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17" w:lineRule="exact"/>
        <w:rPr>
          <w:rFonts w:ascii="Arial" w:cs="Arial" w:eastAsia="Arial" w:hAnsi="Arial"/>
          <w:sz w:val="18"/>
          <w:szCs w:val="18"/>
          <w:b w:val="1"/>
          <w:bCs w:val="1"/>
          <w:color w:val="auto"/>
        </w:rPr>
      </w:pPr>
    </w:p>
    <w:p>
      <w:pPr>
        <w:ind w:left="110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w:t>
      </w:r>
      <w:r>
        <w:rPr>
          <w:rFonts w:ascii="Arial" w:cs="Arial" w:eastAsia="Arial" w:hAnsi="Arial"/>
          <w:sz w:val="16"/>
          <w:szCs w:val="16"/>
          <w:b w:val="1"/>
          <w:bCs w:val="1"/>
          <w:color w:val="auto"/>
        </w:rPr>
        <w:t>NCI</w:t>
      </w:r>
      <w:r>
        <w:rPr>
          <w:rFonts w:ascii="Arial" w:cs="Arial" w:eastAsia="Arial" w:hAnsi="Arial"/>
          <w:sz w:val="16"/>
          <w:szCs w:val="16"/>
          <w:color w:val="auto"/>
        </w:rPr>
        <w:t>”)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6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1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10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2020 and 2019 the Company recorded approximately $223,200 and $139,000, respectively, in allowance for doubtful accounts and wrote off approximately $367,400 and $161,700 during each respective period.</w:t>
      </w:r>
    </w:p>
    <w:p>
      <w:pPr>
        <w:spacing w:after="0" w:line="7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1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-5042535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-761365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Not Depreciated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40" w:type="dxa"/>
            <w:vAlign w:val="bottom"/>
            <w:gridSpan w:val="2"/>
          </w:tcPr>
          <w:p>
            <w:pPr>
              <w:jc w:val="center"/>
              <w:ind w:left="810"/>
              <w:spacing w:after="0"/>
              <w:rPr>
                <w:sz w:val="20"/>
                <w:szCs w:val="20"/>
                <w:color w:val="auto"/>
              </w:rPr>
            </w:pPr>
            <w:r>
              <w:rPr>
                <w:rFonts w:ascii="Arial" w:cs="Arial" w:eastAsia="Arial" w:hAnsi="Arial"/>
                <w:sz w:val="18"/>
                <w:szCs w:val="18"/>
                <w:color w:val="auto"/>
                <w:w w:val="85"/>
              </w:rPr>
              <w:t>39 Years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40" w:type="dxa"/>
            <w:vAlign w:val="bottom"/>
            <w:gridSpan w:val="2"/>
            <w:shd w:val="clear" w:color="auto" w:fill="CCEEFF"/>
          </w:tcPr>
          <w:p>
            <w:pPr>
              <w:jc w:val="center"/>
              <w:ind w:left="83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020" w:type="dxa"/>
            <w:vAlign w:val="bottom"/>
          </w:tcPr>
          <w:p>
            <w:pPr>
              <w:jc w:val="right"/>
              <w:spacing w:after="0"/>
              <w:rPr>
                <w:sz w:val="20"/>
                <w:szCs w:val="20"/>
                <w:color w:val="auto"/>
              </w:rPr>
            </w:pPr>
            <w:r>
              <w:rPr>
                <w:rFonts w:ascii="Arial" w:cs="Arial" w:eastAsia="Arial" w:hAnsi="Arial"/>
                <w:sz w:val="18"/>
                <w:szCs w:val="18"/>
                <w:color w:val="auto"/>
              </w:rPr>
              <w:t>5 –</w:t>
            </w:r>
          </w:p>
        </w:tc>
        <w:tc>
          <w:tcPr>
            <w:tcW w:w="142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344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Not Depreciated</w:t>
            </w:r>
          </w:p>
        </w:tc>
      </w:tr>
    </w:tbl>
    <w:p>
      <w:pPr>
        <w:spacing w:after="0" w:line="94"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7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were no impairment charges or disposals related to intangible assets or property, plant and equipment for the year ended December 31, 2020 and 2019, respectively.</w:t>
      </w:r>
    </w:p>
    <w:p>
      <w:pPr>
        <w:spacing w:after="0" w:line="7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 and Investments</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ind w:left="11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date. Amortization periods of assets with finite lives are based on management’s estimates at the date of acquisition and were as follows for each class of intangible asset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316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89"/>
              </w:rPr>
              <w:t>7-15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Tradenames</w:t>
            </w:r>
          </w:p>
        </w:tc>
        <w:tc>
          <w:tcPr>
            <w:tcW w:w="3160" w:type="dxa"/>
            <w:vAlign w:val="bottom"/>
          </w:tcPr>
          <w:p>
            <w:pPr>
              <w:jc w:val="center"/>
              <w:ind w:left="2030"/>
              <w:spacing w:after="0"/>
              <w:rPr>
                <w:sz w:val="20"/>
                <w:szCs w:val="20"/>
                <w:color w:val="auto"/>
              </w:rPr>
            </w:pPr>
            <w:r>
              <w:rPr>
                <w:rFonts w:ascii="Arial" w:cs="Arial" w:eastAsia="Arial" w:hAnsi="Arial"/>
                <w:sz w:val="18"/>
                <w:szCs w:val="18"/>
                <w:color w:val="auto"/>
                <w:w w:val="89"/>
              </w:rPr>
              <w:t>3-15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shd w:val="clear" w:color="auto" w:fill="CCEEFF"/>
          </w:tcPr>
          <w:p>
            <w:pPr>
              <w:jc w:val="center"/>
              <w:ind w:left="2010"/>
              <w:spacing w:after="0"/>
              <w:rPr>
                <w:sz w:val="20"/>
                <w:szCs w:val="20"/>
                <w:color w:val="auto"/>
              </w:rPr>
            </w:pPr>
            <w:r>
              <w:rPr>
                <w:rFonts w:ascii="Arial" w:cs="Arial" w:eastAsia="Arial" w:hAnsi="Arial"/>
                <w:sz w:val="18"/>
                <w:szCs w:val="18"/>
                <w:color w:val="auto"/>
                <w:w w:val="87"/>
              </w:rPr>
              <w:t>3-7 years</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3160" w:type="dxa"/>
            <w:vAlign w:val="bottom"/>
          </w:tcPr>
          <w:p>
            <w:pPr>
              <w:jc w:val="center"/>
              <w:ind w:left="2010"/>
              <w:spacing w:after="0"/>
              <w:rPr>
                <w:sz w:val="20"/>
                <w:szCs w:val="20"/>
                <w:color w:val="auto"/>
              </w:rPr>
            </w:pPr>
            <w:r>
              <w:rPr>
                <w:rFonts w:ascii="Arial" w:cs="Arial" w:eastAsia="Arial" w:hAnsi="Arial"/>
                <w:sz w:val="18"/>
                <w:szCs w:val="18"/>
                <w:color w:val="auto"/>
                <w:w w:val="87"/>
              </w:rPr>
              <w:t>2-5 years</w:t>
            </w:r>
          </w:p>
        </w:tc>
      </w:tr>
    </w:tbl>
    <w:p>
      <w:pPr>
        <w:spacing w:after="0" w:line="79" w:lineRule="exact"/>
        <w:rPr>
          <w:sz w:val="20"/>
          <w:szCs w:val="20"/>
          <w:color w:val="auto"/>
        </w:rPr>
      </w:pPr>
    </w:p>
    <w:p>
      <w:pPr>
        <w:ind w:left="1100" w:right="780"/>
        <w:spacing w:after="0" w:line="342" w:lineRule="auto"/>
        <w:rPr>
          <w:sz w:val="20"/>
          <w:szCs w:val="20"/>
          <w:color w:val="auto"/>
        </w:rPr>
      </w:pPr>
      <w:r>
        <w:rPr>
          <w:rFonts w:ascii="Arial" w:cs="Arial" w:eastAsia="Arial" w:hAnsi="Arial"/>
          <w:sz w:val="16"/>
          <w:szCs w:val="16"/>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2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5" w:lineRule="exact"/>
        <w:rPr>
          <w:rFonts w:ascii="Arial" w:cs="Arial" w:eastAsia="Arial" w:hAnsi="Arial"/>
          <w:sz w:val="18"/>
          <w:szCs w:val="18"/>
          <w:b w:val="1"/>
          <w:bCs w:val="1"/>
          <w:color w:val="auto"/>
        </w:rPr>
      </w:pPr>
    </w:p>
    <w:p>
      <w:pPr>
        <w:ind w:left="11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September 30,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3"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79" w:lineRule="exact"/>
        <w:rPr>
          <w:rFonts w:ascii="Arial" w:cs="Arial" w:eastAsia="Arial" w:hAnsi="Arial"/>
          <w:sz w:val="18"/>
          <w:szCs w:val="18"/>
          <w:b w:val="1"/>
          <w:bCs w:val="1"/>
          <w:color w:val="auto"/>
        </w:rPr>
      </w:pPr>
    </w:p>
    <w:p>
      <w:pPr>
        <w:ind w:left="11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 As discussed further in Note 14—Income Taxes, the Company is subject to the limitations of IRC Section 280E.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10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40"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-2127885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2020, 2019 and 2018.</w:t>
      </w:r>
    </w:p>
    <w:p>
      <w:pPr>
        <w:spacing w:after="0" w:line="7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For some of its locations, the Company offers a loyalty reward program to its dispensary customers. A portion of the revenue generated in a sale must be allocated to the loyalty points earned. The amount allocated to the points earned is deferred until the loyalty points are redeemed or expire. As of December 31, 2020 and 2019, the loyalty liability totaled $2,876,683 and $1,000,010, respectively, and is included in accrued liabilities on the consolidated balance sheets.</w:t>
      </w:r>
    </w:p>
    <w:p>
      <w:pPr>
        <w:spacing w:after="0" w:line="8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1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4" w:lineRule="exact"/>
        <w:rPr>
          <w:rFonts w:ascii="Arial" w:cs="Arial" w:eastAsia="Arial" w:hAnsi="Arial"/>
          <w:sz w:val="18"/>
          <w:szCs w:val="18"/>
          <w:b w:val="1"/>
          <w:bCs w:val="1"/>
          <w:color w:val="auto"/>
        </w:rPr>
      </w:pPr>
    </w:p>
    <w:p>
      <w:pPr>
        <w:ind w:left="11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10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Payments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10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69" w:lineRule="exact"/>
        <w:rPr>
          <w:rFonts w:ascii="Arial" w:cs="Arial" w:eastAsia="Arial" w:hAnsi="Arial"/>
          <w:sz w:val="18"/>
          <w:szCs w:val="18"/>
          <w:b w:val="1"/>
          <w:bCs w:val="1"/>
          <w:color w:val="auto"/>
        </w:rPr>
      </w:pPr>
    </w:p>
    <w:p>
      <w:pPr>
        <w:ind w:left="11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rFonts w:ascii="Arial" w:cs="Arial" w:eastAsia="Arial" w:hAnsi="Arial"/>
          <w:sz w:val="18"/>
          <w:szCs w:val="18"/>
          <w:b w:val="1"/>
          <w:bCs w:val="1"/>
          <w:color w:val="auto"/>
        </w:rPr>
      </w:pPr>
    </w:p>
    <w:p>
      <w:pPr>
        <w:ind w:left="1100" w:right="158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2—Inputs other than quoted prices that are observable for the asset or liability, either directly or indirectly; and Level 3—Inputs for the asset or liability that are not based on observable market data.</w:t>
      </w:r>
    </w:p>
    <w:p>
      <w:pPr>
        <w:spacing w:after="0" w:line="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For further details, see Note 17—Fair Value Measurements.</w:t>
      </w:r>
    </w:p>
    <w:p>
      <w:pPr>
        <w:spacing w:after="0" w:line="126"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5" w:lineRule="exact"/>
        <w:rPr>
          <w:rFonts w:ascii="Arial" w:cs="Arial" w:eastAsia="Arial" w:hAnsi="Arial"/>
          <w:sz w:val="18"/>
          <w:szCs w:val="18"/>
          <w:b w:val="1"/>
          <w:bCs w:val="1"/>
          <w:color w:val="auto"/>
        </w:rPr>
      </w:pPr>
    </w:p>
    <w:p>
      <w:pPr>
        <w:ind w:left="110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-5390515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vesting periods are recorded as share capital. Income tax relating to transaction costs of an equity transaction is accounted for in accordance with Accounting Standards Codification (“</w:t>
      </w:r>
      <w:r>
        <w:rPr>
          <w:rFonts w:ascii="Arial" w:cs="Arial" w:eastAsia="Arial" w:hAnsi="Arial"/>
          <w:sz w:val="18"/>
          <w:szCs w:val="18"/>
          <w:b w:val="1"/>
          <w:bCs w:val="1"/>
          <w:color w:val="auto"/>
        </w:rPr>
        <w:t>ASC</w:t>
      </w:r>
      <w:r>
        <w:rPr>
          <w:rFonts w:ascii="Arial" w:cs="Arial" w:eastAsia="Arial" w:hAnsi="Arial"/>
          <w:sz w:val="18"/>
          <w:szCs w:val="18"/>
          <w:color w:val="auto"/>
        </w:rPr>
        <w:t>”) 740, Income Taxes.</w:t>
      </w:r>
    </w:p>
    <w:p>
      <w:pPr>
        <w:spacing w:after="0" w:line="7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21" w:lineRule="exact"/>
        <w:rPr>
          <w:rFonts w:ascii="Arial" w:cs="Arial" w:eastAsia="Arial" w:hAnsi="Arial"/>
          <w:sz w:val="18"/>
          <w:szCs w:val="18"/>
          <w:b w:val="1"/>
          <w:bCs w:val="1"/>
          <w:color w:val="auto"/>
        </w:rPr>
      </w:pPr>
    </w:p>
    <w:p>
      <w:pPr>
        <w:ind w:left="11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Basic earnings (loss) per share is calculated using the treasury stock method, by dividing the net earnings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three categories of potentially dilutive common share equivalents: RSUs, stock options and warrants. As of December 31, 2020, 2019 and 2018, the Company had 5,664,406, 3,839,017, and 1,677,192 options outstanding, 689,340, 1,399,762 and 1,589,000 RSUs outstanding, and 2,520,794, 2,406,811 and no warrants outstanding during each respective period.</w:t>
      </w:r>
    </w:p>
    <w:p>
      <w:pPr>
        <w:spacing w:after="0" w:line="70"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increase earnings per share or decrease loss per share. For the year ended December 31, 2020, the computation of diluted earnings per share included 1,307,421 options, 134,254 RSUs and 101,254 warrants. No potentially dilutive common share equivalents were included in the computation of diluted loss per share for the years ended December 31, 2019 and 2018 because their impact would have been anti-dilutive.</w:t>
      </w:r>
    </w:p>
    <w:p>
      <w:pPr>
        <w:spacing w:after="0" w:line="7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1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10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10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Green Thumb’s functional currency are initially measured in the functional currencies at the transaction date exchange rate. Monetary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-5445760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are remeasured at the rate of exchange in effect as of the balance sheet date. Revenues and expenses are translated at the transaction date exchange rate. Foreign currency gains and losses resulting from translation are reflected in net comprehensive income (loss) for the period. During the year ended December 31, 2020, 2019 and 2018, there were no transactions in currencies other than US Dollars.</w:t>
      </w:r>
    </w:p>
    <w:p>
      <w:pPr>
        <w:spacing w:after="0" w:line="5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69" w:lineRule="exact"/>
        <w:rPr>
          <w:rFonts w:ascii="Arial" w:cs="Arial" w:eastAsia="Arial" w:hAnsi="Arial"/>
          <w:sz w:val="18"/>
          <w:szCs w:val="18"/>
          <w:b w:val="1"/>
          <w:bCs w:val="1"/>
          <w:color w:val="auto"/>
        </w:rPr>
      </w:pPr>
    </w:p>
    <w:p>
      <w:pPr>
        <w:ind w:left="1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years ended December 31, 2020, 2019 and 2018.</w:t>
      </w:r>
    </w:p>
    <w:p>
      <w:pPr>
        <w:spacing w:after="0" w:line="6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10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8" w:lineRule="exact"/>
        <w:rPr>
          <w:rFonts w:ascii="Arial" w:cs="Arial" w:eastAsia="Arial" w:hAnsi="Arial"/>
          <w:sz w:val="18"/>
          <w:szCs w:val="18"/>
          <w:b w:val="1"/>
          <w:bCs w:val="1"/>
          <w:color w:val="auto"/>
        </w:rPr>
      </w:pPr>
    </w:p>
    <w:p>
      <w:pPr>
        <w:ind w:left="11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540" w:hanging="439"/>
        <w:spacing w:after="0"/>
        <w:tabs>
          <w:tab w:leader="none" w:pos="1540" w:val="left"/>
        </w:tabs>
        <w:numPr>
          <w:ilvl w:val="2"/>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8—Intangible Asset and Goodwill)</w:t>
      </w:r>
    </w:p>
    <w:p>
      <w:pPr>
        <w:spacing w:after="0" w:line="117" w:lineRule="exact"/>
        <w:rPr>
          <w:rFonts w:ascii="Arial" w:cs="Arial" w:eastAsia="Arial" w:hAnsi="Arial"/>
          <w:sz w:val="18"/>
          <w:szCs w:val="18"/>
          <w:i w:val="1"/>
          <w:iCs w:val="1"/>
          <w:color w:val="auto"/>
        </w:rPr>
      </w:pPr>
    </w:p>
    <w:p>
      <w:pPr>
        <w:ind w:left="1540" w:right="5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540" w:right="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-5171440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(Continued)</w:t>
      </w:r>
    </w:p>
    <w:p>
      <w:pPr>
        <w:spacing w:after="0" w:line="130" w:lineRule="exact"/>
        <w:rPr>
          <w:rFonts w:ascii="Arial" w:cs="Arial" w:eastAsia="Arial" w:hAnsi="Arial"/>
          <w:sz w:val="18"/>
          <w:szCs w:val="18"/>
          <w:i w:val="1"/>
          <w:iCs w:val="1"/>
          <w:color w:val="auto"/>
        </w:rPr>
      </w:pPr>
    </w:p>
    <w:p>
      <w:pPr>
        <w:ind w:left="15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 See Note 7—Acquisitions for details.</w:t>
      </w:r>
    </w:p>
    <w:p>
      <w:pPr>
        <w:spacing w:after="0" w:line="7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5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101"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5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540"/>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64" w:lineRule="exact"/>
        <w:rPr>
          <w:rFonts w:ascii="Arial" w:cs="Arial" w:eastAsia="Arial" w:hAnsi="Arial"/>
          <w:sz w:val="18"/>
          <w:szCs w:val="18"/>
          <w:i w:val="1"/>
          <w:iCs w:val="1"/>
          <w:color w:val="auto"/>
        </w:rPr>
      </w:pPr>
    </w:p>
    <w:p>
      <w:pPr>
        <w:ind w:left="1540" w:right="440"/>
        <w:spacing w:after="0" w:line="314" w:lineRule="auto"/>
        <w:rPr>
          <w:rFonts w:ascii="Arial" w:cs="Arial" w:eastAsia="Arial" w:hAnsi="Arial"/>
          <w:sz w:val="18"/>
          <w:szCs w:val="18"/>
          <w:i w:val="1"/>
          <w:iCs w:val="1"/>
          <w:color w:val="auto"/>
        </w:rPr>
      </w:pPr>
      <w:r>
        <w:rPr>
          <w:rFonts w:ascii="Arial" w:cs="Arial" w:eastAsia="Arial" w:hAnsi="Arial"/>
          <w:sz w:val="16"/>
          <w:szCs w:val="16"/>
          <w:color w:val="auto"/>
        </w:rPr>
        <w:t>As described in Notes 2(l) and 2(m), a two-step method was used for determining goodwill impairment. In the first step (“</w:t>
      </w:r>
      <w:r>
        <w:rPr>
          <w:rFonts w:ascii="Arial" w:cs="Arial" w:eastAsia="Arial" w:hAnsi="Arial"/>
          <w:sz w:val="16"/>
          <w:szCs w:val="16"/>
          <w:b w:val="1"/>
          <w:bCs w:val="1"/>
          <w:color w:val="auto"/>
        </w:rPr>
        <w:t>Step</w:t>
      </w:r>
      <w:r>
        <w:rPr>
          <w:rFonts w:ascii="Arial" w:cs="Arial" w:eastAsia="Arial" w:hAnsi="Arial"/>
          <w:sz w:val="16"/>
          <w:szCs w:val="16"/>
          <w:color w:val="auto"/>
        </w:rPr>
        <w:t xml:space="preserve"> </w:t>
      </w:r>
      <w:r>
        <w:rPr>
          <w:rFonts w:ascii="Arial" w:cs="Arial" w:eastAsia="Arial" w:hAnsi="Arial"/>
          <w:sz w:val="16"/>
          <w:szCs w:val="16"/>
          <w:b w:val="1"/>
          <w:bCs w:val="1"/>
          <w:color w:val="auto"/>
        </w:rPr>
        <w:t>One</w:t>
      </w:r>
      <w:r>
        <w:rPr>
          <w:rFonts w:ascii="Arial" w:cs="Arial" w:eastAsia="Arial" w:hAnsi="Arial"/>
          <w:sz w:val="16"/>
          <w:szCs w:val="16"/>
          <w:color w:val="auto"/>
        </w:rPr>
        <w:t>”), the Company compared the estimated fair value of each reporting unit to its carrying value, including goodwill.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value of a reporting unit exceeded the estimated fair value, the second step (“</w:t>
      </w:r>
      <w:r>
        <w:rPr>
          <w:rFonts w:ascii="Arial" w:cs="Arial" w:eastAsia="Arial" w:hAnsi="Arial"/>
          <w:sz w:val="16"/>
          <w:szCs w:val="16"/>
          <w:b w:val="1"/>
          <w:bCs w:val="1"/>
          <w:color w:val="auto"/>
        </w:rPr>
        <w:t>Step Two</w:t>
      </w:r>
      <w:r>
        <w:rPr>
          <w:rFonts w:ascii="Arial" w:cs="Arial" w:eastAsia="Arial" w:hAnsi="Arial"/>
          <w:sz w:val="16"/>
          <w:szCs w:val="16"/>
          <w:color w:val="auto"/>
        </w:rPr>
        <w:t>”) is completed to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-5332730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3"/>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(Continued)</w:t>
      </w:r>
    </w:p>
    <w:p>
      <w:pPr>
        <w:spacing w:after="0" w:line="130" w:lineRule="exact"/>
        <w:rPr>
          <w:rFonts w:ascii="Arial" w:cs="Arial" w:eastAsia="Arial" w:hAnsi="Arial"/>
          <w:sz w:val="18"/>
          <w:szCs w:val="18"/>
          <w:i w:val="1"/>
          <w:iCs w:val="1"/>
          <w:color w:val="auto"/>
        </w:rPr>
      </w:pPr>
    </w:p>
    <w:p>
      <w:pPr>
        <w:ind w:left="1540" w:right="6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California Consumer Packaged Goods, Connecticut Retail and Consumer Packaged Goods, Florida Retail and Consumer Packaged Goods, Illinois Retail, Massachusetts Retail, Nevada Retail and Consumer Packaged Goods and New York Retail and Consumer Packaged Goods.</w:t>
      </w:r>
    </w:p>
    <w:p>
      <w:pPr>
        <w:spacing w:after="0" w:line="83" w:lineRule="exact"/>
        <w:rPr>
          <w:rFonts w:ascii="Arial" w:cs="Arial" w:eastAsia="Arial" w:hAnsi="Arial"/>
          <w:sz w:val="18"/>
          <w:szCs w:val="18"/>
          <w:i w:val="1"/>
          <w:iCs w:val="1"/>
          <w:color w:val="auto"/>
        </w:rPr>
      </w:pPr>
    </w:p>
    <w:p>
      <w:pPr>
        <w:ind w:left="1540" w:hanging="439"/>
        <w:spacing w:after="0"/>
        <w:tabs>
          <w:tab w:leader="none" w:pos="1540" w:val="left"/>
        </w:tabs>
        <w:numPr>
          <w:ilvl w:val="3"/>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540" w:right="2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two reportable segments (Retail and Consumer packaged goods). For the purposes of testing goodwill, Green Thumb has identified 22 reporting units. The Company analyzed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The following represent the markets in which Green Thumb operates as of December 31, 2020: California, Colorado, Connecticut, Florida, Illinois, Maryland, Massachusetts, Nevada, New Jersey, New York, Ohio and Pennsylvania.</w:t>
      </w:r>
    </w:p>
    <w:p>
      <w:pPr>
        <w:spacing w:after="0" w:line="100" w:lineRule="exact"/>
        <w:rPr>
          <w:rFonts w:ascii="Arial" w:cs="Arial" w:eastAsia="Arial" w:hAnsi="Arial"/>
          <w:sz w:val="18"/>
          <w:szCs w:val="18"/>
          <w:i w:val="1"/>
          <w:iCs w:val="1"/>
          <w:color w:val="auto"/>
        </w:rPr>
      </w:pPr>
    </w:p>
    <w:p>
      <w:pPr>
        <w:ind w:left="1540" w:hanging="439"/>
        <w:spacing w:after="0"/>
        <w:tabs>
          <w:tab w:leader="none" w:pos="1540" w:val="left"/>
        </w:tabs>
        <w:numPr>
          <w:ilvl w:val="3"/>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540" w:right="4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6" w:lineRule="exact"/>
        <w:rPr>
          <w:rFonts w:ascii="Arial" w:cs="Arial" w:eastAsia="Arial" w:hAnsi="Arial"/>
          <w:sz w:val="18"/>
          <w:szCs w:val="18"/>
          <w:i w:val="1"/>
          <w:iCs w:val="1"/>
          <w:color w:val="auto"/>
        </w:rPr>
      </w:pPr>
    </w:p>
    <w:p>
      <w:pPr>
        <w:ind w:left="1540" w:hanging="547"/>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color w:val="auto"/>
        </w:rPr>
        <w:t>Allowance for Uncollectible Accounts</w:t>
      </w:r>
    </w:p>
    <w:p>
      <w:pPr>
        <w:spacing w:after="0" w:line="117" w:lineRule="exact"/>
        <w:rPr>
          <w:rFonts w:ascii="Arial" w:cs="Arial" w:eastAsia="Arial" w:hAnsi="Arial"/>
          <w:sz w:val="18"/>
          <w:szCs w:val="18"/>
          <w:i w:val="1"/>
          <w:iCs w:val="1"/>
          <w:color w:val="auto"/>
        </w:rPr>
      </w:pPr>
    </w:p>
    <w:p>
      <w:pPr>
        <w:ind w:left="1540" w:right="20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62"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-5386070</wp:posOffset>
            </wp:positionV>
            <wp:extent cx="6995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2"/>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Stock-Based Payments </w:t>
      </w:r>
      <w:r>
        <w:rPr>
          <w:rFonts w:ascii="Arial" w:cs="Arial" w:eastAsia="Arial" w:hAnsi="Arial"/>
          <w:sz w:val="18"/>
          <w:szCs w:val="18"/>
          <w:color w:val="auto"/>
        </w:rPr>
        <w:t>(Continued)</w:t>
      </w:r>
    </w:p>
    <w:p>
      <w:pPr>
        <w:spacing w:after="0" w:line="130" w:lineRule="exact"/>
        <w:rPr>
          <w:rFonts w:ascii="Arial" w:cs="Arial" w:eastAsia="Arial" w:hAnsi="Arial"/>
          <w:sz w:val="18"/>
          <w:szCs w:val="18"/>
          <w:i w:val="1"/>
          <w:iCs w:val="1"/>
          <w:color w:val="auto"/>
        </w:rPr>
      </w:pPr>
    </w:p>
    <w:p>
      <w:pPr>
        <w:ind w:left="1540" w:right="20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rate are used. Actual results could differ from those estimates. The estimates are considered for each new grant of stock options or warrants.</w:t>
      </w:r>
    </w:p>
    <w:p>
      <w:pPr>
        <w:spacing w:after="0" w:line="75" w:lineRule="exact"/>
        <w:rPr>
          <w:rFonts w:ascii="Arial" w:cs="Arial" w:eastAsia="Arial" w:hAnsi="Arial"/>
          <w:sz w:val="18"/>
          <w:szCs w:val="18"/>
          <w:i w:val="1"/>
          <w:iCs w:val="1"/>
          <w:color w:val="auto"/>
        </w:rPr>
      </w:pPr>
    </w:p>
    <w:p>
      <w:pPr>
        <w:ind w:left="1540" w:hanging="439"/>
        <w:spacing w:after="0"/>
        <w:tabs>
          <w:tab w:leader="none" w:pos="1540" w:val="left"/>
        </w:tabs>
        <w:numPr>
          <w:ilvl w:val="2"/>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5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-2061210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0" w:lineRule="exact"/>
        <w:rPr>
          <w:rFonts w:ascii="Arial" w:cs="Arial" w:eastAsia="Arial" w:hAnsi="Arial"/>
          <w:sz w:val="18"/>
          <w:szCs w:val="18"/>
          <w:b w:val="1"/>
          <w:bCs w:val="1"/>
          <w:color w:val="auto"/>
        </w:rPr>
      </w:pPr>
    </w:p>
    <w:p>
      <w:pPr>
        <w:ind w:left="1540" w:right="20" w:hanging="439"/>
        <w:spacing w:after="0" w:line="272" w:lineRule="auto"/>
        <w:tabs>
          <w:tab w:leader="none" w:pos="1540" w:val="left"/>
        </w:tabs>
        <w:numPr>
          <w:ilvl w:val="1"/>
          <w:numId w:val="43"/>
        </w:numPr>
        <w:rPr>
          <w:rFonts w:ascii="Arial" w:cs="Arial" w:eastAsia="Arial" w:hAnsi="Arial"/>
          <w:sz w:val="17"/>
          <w:szCs w:val="17"/>
          <w:i w:val="1"/>
          <w:iCs w:val="1"/>
          <w:color w:val="auto"/>
        </w:rPr>
      </w:pPr>
      <w:r>
        <w:rPr>
          <w:rFonts w:ascii="Arial" w:cs="Arial" w:eastAsia="Arial" w:hAnsi="Arial"/>
          <w:sz w:val="17"/>
          <w:szCs w:val="17"/>
          <w:color w:val="auto"/>
        </w:rPr>
        <w:t>In June 2016, the Financial Accounting Standards Board (“</w:t>
      </w:r>
      <w:r>
        <w:rPr>
          <w:rFonts w:ascii="Arial" w:cs="Arial" w:eastAsia="Arial" w:hAnsi="Arial"/>
          <w:sz w:val="17"/>
          <w:szCs w:val="17"/>
          <w:b w:val="1"/>
          <w:b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color w:val="auto"/>
        </w:rPr>
        <w:t>ASU</w:t>
      </w:r>
      <w:r>
        <w:rPr>
          <w:rFonts w:ascii="Arial" w:cs="Arial" w:eastAsia="Arial" w:hAnsi="Arial"/>
          <w:sz w:val="17"/>
          <w:szCs w:val="17"/>
          <w:color w:val="auto"/>
        </w:rPr>
        <w:t>”) No. 2016-13, Financial Instruments—Credit Losses (Topic 326) Measurement of Credit Losses on Financial Instruments (“</w:t>
      </w:r>
      <w:r>
        <w:rPr>
          <w:rFonts w:ascii="Arial" w:cs="Arial" w:eastAsia="Arial" w:hAnsi="Arial"/>
          <w:sz w:val="17"/>
          <w:szCs w:val="17"/>
          <w:b w:val="1"/>
          <w:bCs w:val="1"/>
          <w:color w:val="auto"/>
        </w:rPr>
        <w:t>ASU 2016-13</w:t>
      </w:r>
      <w:r>
        <w:rPr>
          <w:rFonts w:ascii="Arial" w:cs="Arial" w:eastAsia="Arial" w:hAnsi="Arial"/>
          <w:sz w:val="17"/>
          <w:szCs w:val="17"/>
          <w:color w:val="auto"/>
        </w:rPr>
        <w:t>”), which replaces the incurred loss model with a current expected credit loss (“</w:t>
      </w:r>
      <w:r>
        <w:rPr>
          <w:rFonts w:ascii="Arial" w:cs="Arial" w:eastAsia="Arial" w:hAnsi="Arial"/>
          <w:sz w:val="17"/>
          <w:szCs w:val="17"/>
          <w:b w:val="1"/>
          <w:bCs w:val="1"/>
          <w:color w:val="auto"/>
        </w:rPr>
        <w:t>CECL</w:t>
      </w:r>
      <w:r>
        <w:rPr>
          <w:rFonts w:ascii="Arial" w:cs="Arial" w:eastAsia="Arial" w:hAnsi="Arial"/>
          <w:sz w:val="17"/>
          <w:szCs w:val="17"/>
          <w:color w:val="auto"/>
        </w:rPr>
        <w:t>”) model and requires consideration of a broader range of reasonable and supportable information to explain credit loss estimates. This standard applies to financial assets, measured at amortized cost, including loans, held-to-maturity debt securities, net investments in leases and trade accounts receivable. The guidance must be adopted using a modified retrospective transition method through a cumulative-effect adjustment to retained earnings in the period of adoption. The Company adopted the new standard in the first quarter of 2020. The adoption of the standard did not have a material impact on the Company’s consolidated financial statements.</w:t>
      </w:r>
    </w:p>
    <w:p>
      <w:pPr>
        <w:spacing w:after="0" w:line="81" w:lineRule="exact"/>
        <w:rPr>
          <w:rFonts w:ascii="Arial" w:cs="Arial" w:eastAsia="Arial" w:hAnsi="Arial"/>
          <w:sz w:val="17"/>
          <w:szCs w:val="17"/>
          <w:i w:val="1"/>
          <w:iCs w:val="1"/>
          <w:color w:val="auto"/>
        </w:rPr>
      </w:pPr>
    </w:p>
    <w:p>
      <w:pPr>
        <w:ind w:left="1540" w:right="40" w:hanging="439"/>
        <w:spacing w:after="0" w:line="291" w:lineRule="auto"/>
        <w:tabs>
          <w:tab w:leader="none" w:pos="1540" w:val="left"/>
        </w:tabs>
        <w:numPr>
          <w:ilvl w:val="1"/>
          <w:numId w:val="43"/>
        </w:numPr>
        <w:rPr>
          <w:rFonts w:ascii="Arial" w:cs="Arial" w:eastAsia="Arial" w:hAnsi="Arial"/>
          <w:sz w:val="16"/>
          <w:szCs w:val="16"/>
          <w:i w:val="1"/>
          <w:iCs w:val="1"/>
          <w:color w:val="auto"/>
        </w:rPr>
      </w:pPr>
      <w:r>
        <w:rPr>
          <w:rFonts w:ascii="Arial" w:cs="Arial" w:eastAsia="Arial" w:hAnsi="Arial"/>
          <w:sz w:val="16"/>
          <w:szCs w:val="16"/>
          <w:color w:val="auto"/>
        </w:rPr>
        <w:t>In January 2017, the FASB issued ASU No. 2017-04 “Intangibles—Goodwill and Other (Topic 350): Simplifying the Test for Goodwill Impairment” (“</w:t>
      </w:r>
      <w:r>
        <w:rPr>
          <w:rFonts w:ascii="Arial" w:cs="Arial" w:eastAsia="Arial" w:hAnsi="Arial"/>
          <w:sz w:val="16"/>
          <w:szCs w:val="16"/>
          <w:b w:val="1"/>
          <w:bCs w:val="1"/>
          <w:color w:val="auto"/>
        </w:rPr>
        <w:t>ASU 2017-04</w:t>
      </w:r>
      <w:r>
        <w:rPr>
          <w:rFonts w:ascii="Arial" w:cs="Arial" w:eastAsia="Arial" w:hAnsi="Arial"/>
          <w:sz w:val="16"/>
          <w:szCs w:val="16"/>
          <w:color w:val="auto"/>
        </w:rPr>
        <w:t>”),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 The Company adopted the new standard in the first quarter of 2020. The adoption of the standard did not have a material impact on the Company’s consolidated financial statements.</w:t>
      </w:r>
    </w:p>
    <w:p>
      <w:pPr>
        <w:spacing w:after="0" w:line="71" w:lineRule="exact"/>
        <w:rPr>
          <w:rFonts w:ascii="Arial" w:cs="Arial" w:eastAsia="Arial" w:hAnsi="Arial"/>
          <w:sz w:val="16"/>
          <w:szCs w:val="16"/>
          <w:i w:val="1"/>
          <w:iCs w:val="1"/>
          <w:color w:val="auto"/>
        </w:rPr>
      </w:pPr>
    </w:p>
    <w:p>
      <w:pPr>
        <w:ind w:left="1540" w:right="160" w:hanging="439"/>
        <w:spacing w:after="0" w:line="257" w:lineRule="auto"/>
        <w:tabs>
          <w:tab w:leader="none" w:pos="1540" w:val="left"/>
        </w:tabs>
        <w:numPr>
          <w:ilvl w:val="1"/>
          <w:numId w:val="43"/>
        </w:numPr>
        <w:rPr>
          <w:rFonts w:ascii="Arial" w:cs="Arial" w:eastAsia="Arial" w:hAnsi="Arial"/>
          <w:sz w:val="18"/>
          <w:szCs w:val="18"/>
          <w:i w:val="1"/>
          <w:iCs w:val="1"/>
          <w:color w:val="auto"/>
        </w:rPr>
      </w:pPr>
      <w:r>
        <w:rPr>
          <w:rFonts w:ascii="Arial" w:cs="Arial" w:eastAsia="Arial" w:hAnsi="Arial"/>
          <w:sz w:val="18"/>
          <w:szCs w:val="18"/>
          <w:color w:val="auto"/>
        </w:rPr>
        <w:t>In August 2018, the FASB issued ASU 2018-13, Disclosure Framework—Changes to the Disclosure Requirements for Fair Value Measurement (Topic 820)(“</w:t>
      </w:r>
      <w:r>
        <w:rPr>
          <w:rFonts w:ascii="Arial" w:cs="Arial" w:eastAsia="Arial" w:hAnsi="Arial"/>
          <w:sz w:val="18"/>
          <w:szCs w:val="18"/>
          <w:b w:val="1"/>
          <w:bCs w:val="1"/>
          <w:color w:val="auto"/>
        </w:rPr>
        <w:t>ASU 2018-13</w:t>
      </w:r>
      <w:r>
        <w:rPr>
          <w:rFonts w:ascii="Arial" w:cs="Arial" w:eastAsia="Arial" w:hAnsi="Arial"/>
          <w:sz w:val="18"/>
          <w:szCs w:val="18"/>
          <w:color w:val="auto"/>
        </w:rPr>
        <w:t>”). ASU 2018-13 adds, modifies, and removes certain fair value measurement disclosure requirements. ASU 2018-13 is effective for annual and interim periods beginning after December 15, 2019. The Company adopted the new standard in the first quarter of 2020. The adoption of the standard did not have a material impact on the Company’s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and Revised Standards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right="120" w:hanging="439"/>
        <w:spacing w:after="0" w:line="275" w:lineRule="auto"/>
        <w:tabs>
          <w:tab w:leader="none" w:pos="1540" w:val="left"/>
        </w:tabs>
        <w:numPr>
          <w:ilvl w:val="2"/>
          <w:numId w:val="44"/>
        </w:numPr>
        <w:rPr>
          <w:rFonts w:ascii="Arial" w:cs="Arial" w:eastAsia="Arial" w:hAnsi="Arial"/>
          <w:sz w:val="17"/>
          <w:szCs w:val="17"/>
          <w:i w:val="1"/>
          <w:iCs w:val="1"/>
          <w:color w:val="auto"/>
        </w:rPr>
      </w:pPr>
      <w:r>
        <w:rPr>
          <w:rFonts w:ascii="Arial" w:cs="Arial" w:eastAsia="Arial" w:hAnsi="Arial"/>
          <w:sz w:val="17"/>
          <w:szCs w:val="17"/>
          <w:color w:val="auto"/>
        </w:rPr>
        <w:t>In December 2019, the FASB issued ASU 2019-12, Income Taxes (Topic 740)—Simplifying the Accounting for Income Taxes, which is intended to simplify various aspects related to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ASU 2019-12 removes certain exceptions to the general principles in Topic 740 and also clarifies and amends existing guidance to improve consistent application. ASU 2019-12 is effective for the Company beginning January 1, 2021. We do not expect the adoption of this guidance will have a material impact on the Company’s consolidated financial statements.</w:t>
      </w:r>
    </w:p>
    <w:p>
      <w:pPr>
        <w:spacing w:after="0" w:line="81" w:lineRule="exact"/>
        <w:rPr>
          <w:rFonts w:ascii="Arial" w:cs="Arial" w:eastAsia="Arial" w:hAnsi="Arial"/>
          <w:sz w:val="17"/>
          <w:szCs w:val="17"/>
          <w:i w:val="1"/>
          <w:iCs w:val="1"/>
          <w:color w:val="auto"/>
        </w:rPr>
      </w:pPr>
    </w:p>
    <w:p>
      <w:pPr>
        <w:ind w:left="1540" w:hanging="439"/>
        <w:spacing w:after="0" w:line="255" w:lineRule="auto"/>
        <w:tabs>
          <w:tab w:leader="none" w:pos="1540" w:val="left"/>
        </w:tabs>
        <w:numPr>
          <w:ilvl w:val="2"/>
          <w:numId w:val="44"/>
        </w:numPr>
        <w:rPr>
          <w:rFonts w:ascii="Arial" w:cs="Arial" w:eastAsia="Arial" w:hAnsi="Arial"/>
          <w:sz w:val="18"/>
          <w:szCs w:val="18"/>
          <w:i w:val="1"/>
          <w:iCs w:val="1"/>
          <w:color w:val="auto"/>
        </w:rPr>
      </w:pPr>
      <w:r>
        <w:rPr>
          <w:rFonts w:ascii="Arial" w:cs="Arial" w:eastAsia="Arial" w:hAnsi="Arial"/>
          <w:sz w:val="18"/>
          <w:szCs w:val="18"/>
          <w:color w:val="auto"/>
        </w:rPr>
        <w:t>In January 2020, the FASB issued ASU 2020-01, Investments—Equity Securities (Topic 321), Investments—Equity Method and Joint Ventures (Topic 323), and Derivatives and Hedging (Topic 815) (“</w:t>
      </w:r>
      <w:r>
        <w:rPr>
          <w:rFonts w:ascii="Arial" w:cs="Arial" w:eastAsia="Arial" w:hAnsi="Arial"/>
          <w:sz w:val="18"/>
          <w:szCs w:val="18"/>
          <w:b w:val="1"/>
          <w:bCs w:val="1"/>
          <w:color w:val="auto"/>
        </w:rPr>
        <w:t>ASU 2020-01</w:t>
      </w:r>
      <w:r>
        <w:rPr>
          <w:rFonts w:ascii="Arial" w:cs="Arial" w:eastAsia="Arial" w:hAnsi="Arial"/>
          <w:sz w:val="18"/>
          <w:szCs w:val="18"/>
          <w:color w:val="auto"/>
        </w:rPr>
        <w:t>”),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We do not expect the adoption of this guidance will have a material impact on the Company’s consolidated financial statements.</w:t>
      </w:r>
    </w:p>
    <w:p>
      <w:pPr>
        <w:spacing w:after="0" w:line="97" w:lineRule="exact"/>
        <w:rPr>
          <w:rFonts w:ascii="Arial" w:cs="Arial" w:eastAsia="Arial" w:hAnsi="Arial"/>
          <w:sz w:val="18"/>
          <w:szCs w:val="18"/>
          <w:i w:val="1"/>
          <w:iCs w:val="1"/>
          <w:color w:val="auto"/>
        </w:rPr>
      </w:pPr>
    </w:p>
    <w:p>
      <w:pPr>
        <w:ind w:left="1540" w:right="280" w:hanging="439"/>
        <w:spacing w:after="0" w:line="273" w:lineRule="auto"/>
        <w:tabs>
          <w:tab w:leader="none" w:pos="1540" w:val="left"/>
        </w:tabs>
        <w:numPr>
          <w:ilvl w:val="2"/>
          <w:numId w:val="44"/>
        </w:numPr>
        <w:rPr>
          <w:rFonts w:ascii="Arial" w:cs="Arial" w:eastAsia="Arial" w:hAnsi="Arial"/>
          <w:sz w:val="17"/>
          <w:szCs w:val="17"/>
          <w:i w:val="1"/>
          <w:iCs w:val="1"/>
          <w:color w:val="auto"/>
        </w:rPr>
      </w:pPr>
      <w:r>
        <w:rPr>
          <w:rFonts w:ascii="Arial" w:cs="Arial" w:eastAsia="Arial" w:hAnsi="Arial"/>
          <w:sz w:val="17"/>
          <w:szCs w:val="17"/>
          <w:color w:val="auto"/>
        </w:rPr>
        <w:t>On August 5, 2020, the FASB issued ASU No.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We do not expect the adoption of this guidance will have a material impact on the Company’s consolidated financial statements.</w:t>
      </w:r>
    </w:p>
    <w:p>
      <w:pPr>
        <w:spacing w:after="0" w:line="79" w:lineRule="exact"/>
        <w:rPr>
          <w:rFonts w:ascii="Arial" w:cs="Arial" w:eastAsia="Arial" w:hAnsi="Arial"/>
          <w:sz w:val="17"/>
          <w:szCs w:val="17"/>
          <w:i w:val="1"/>
          <w:iCs w:val="1"/>
          <w:color w:val="auto"/>
        </w:rPr>
      </w:pPr>
    </w:p>
    <w:p>
      <w:pPr>
        <w:ind w:left="1080" w:hanging="532"/>
        <w:spacing w:after="0"/>
        <w:tabs>
          <w:tab w:leader="none" w:pos="1080"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Coronavirus Pandemic</w:t>
      </w:r>
    </w:p>
    <w:p>
      <w:pPr>
        <w:spacing w:after="0" w:line="117" w:lineRule="exact"/>
        <w:rPr>
          <w:rFonts w:ascii="Arial" w:cs="Arial" w:eastAsia="Arial" w:hAnsi="Arial"/>
          <w:sz w:val="18"/>
          <w:szCs w:val="18"/>
          <w:b w:val="1"/>
          <w:bCs w:val="1"/>
          <w:color w:val="auto"/>
        </w:rPr>
      </w:pPr>
    </w:p>
    <w:p>
      <w:pPr>
        <w:ind w:left="1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March 2020, the World Health Organization categorized coronavirus disease 2019 (“</w:t>
      </w:r>
      <w:r>
        <w:rPr>
          <w:rFonts w:ascii="Arial" w:cs="Arial" w:eastAsia="Arial" w:hAnsi="Arial"/>
          <w:sz w:val="18"/>
          <w:szCs w:val="18"/>
          <w:b w:val="1"/>
          <w:bCs w:val="1"/>
          <w:color w:val="auto"/>
        </w:rPr>
        <w:t>COVID-19</w:t>
      </w:r>
      <w:r>
        <w:rPr>
          <w:rFonts w:ascii="Arial" w:cs="Arial" w:eastAsia="Arial" w:hAnsi="Arial"/>
          <w:sz w:val="18"/>
          <w:szCs w:val="18"/>
          <w:color w:val="auto"/>
        </w:rPr>
        <w:t>”)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75" w:lineRule="exact"/>
        <w:rPr>
          <w:rFonts w:ascii="Arial" w:cs="Arial" w:eastAsia="Arial" w:hAnsi="Arial"/>
          <w:sz w:val="18"/>
          <w:szCs w:val="18"/>
          <w:b w:val="1"/>
          <w:bCs w:val="1"/>
          <w:color w:val="auto"/>
        </w:rPr>
      </w:pPr>
    </w:p>
    <w:p>
      <w:pPr>
        <w:ind w:left="110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Company’s consolidated financial statements presented herein reflect estimates and assumptions made by management that affect the reported amounts of assets and liabilities and disclosure of contingent assets and liabilities at the date of the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2020, the uncertain nature of the spread of COVID-19 and its variants and the uncertainty of the impact of nationwide vaccine programs may impact the Company’s business operations for reasons including the potential quarantine of the Company’s employees or those of its supply chain partners, and the Company’s continued designation as an “essential” business in states where the Company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-5104130</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Coronavirus Pandemic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business that currently or in the future impose restrictions on business operations. The estimates and assumptions used in the consolidated financial statements for the year ended December 31, 2020 include, but are not limited to certain judgmental reserves requiring management to make estimates based on current information. The carrying value of the Company’s goodwill and other long-lived assets, may change in future periods as the expected impacts from COVID-19 are revised, resulting in further potential impacts to the Company’s financial statements.</w:t>
      </w:r>
    </w:p>
    <w:p>
      <w:pPr>
        <w:spacing w:after="0" w:line="332" w:lineRule="exact"/>
        <w:rPr>
          <w:rFonts w:ascii="Arial" w:cs="Arial" w:eastAsia="Arial" w:hAnsi="Arial"/>
          <w:sz w:val="18"/>
          <w:szCs w:val="18"/>
          <w:b w:val="1"/>
          <w:bCs w:val="1"/>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-1362075</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 Additionally, the Company issued 285,000 options to consultants with a strike prices of C$7.75 per option. The value of the options was approximately $900,000 under the Black-Scholes option pricing model.</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4"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Company,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connection with the Transaction completed on June 12, 2018, the Company changed its name from “Bayswater Uranium Corporation” to “Green Thumb Industries Inc.” and consolidated its existing common shares on the basis of one Subordinate Voting Share for each 368 existing common shares of the Company. Such share consolidation has been reflected retrospectively in these consolidated financial statements.</w:t>
      </w:r>
    </w:p>
    <w:p>
      <w:pPr>
        <w:spacing w:after="0" w:line="16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Company, Subco and GTI Finco were parties to a three-cornered amalgamation (“Amalgamation”) whereby GTI Finco shareholders received Subordinate Voting Shares of the Company on a one-for-one basis and members of VCP contributed their membership interests to GTI23 for shares of GTI23 and then contributed their shares of GTI23 to GTI in exchange for Super Voting Shares and Multiple Voting Shares of Green Thumb.</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 Thumb was the acquirer for accounting purposes and the net assets of Bayswater acquired were nil.</w:t>
      </w:r>
    </w:p>
    <w:p>
      <w:pPr>
        <w:spacing w:after="0" w:line="225"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 reflect that of the legal acquirer.</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December 31, 2020 and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December 31,</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6,372,659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6,375,032</w:t>
            </w: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8,592,153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4,887,970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25,488,806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20,162,723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30,821,392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16,640,629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7"/>
              </w:rPr>
              <w:t>(1,732,057)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(2,031,873)</w:t>
            </w: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69,542,953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46,034,481</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October 16, 2018, the Company executed a promissory note to an unrelated third party. The value of the note was secured by warrants of the third party which expire in January 2021. The maturity date of the note was tied directly to the expiration date of the warrants, both being January 2021. The initial fair value upon execution of the note was $11,630,867. The fair value as of December 31, 2020, 2019 and 2018 was $0, $815,937, and $7,424,727 respectively. For the years ended December 31, 2020, 2019 and 2018, the Company recorded adjustments to the fair value of the note of ($815,937), ($6,608,790), and $(4,206,141), respectively, in other income (expense) on the consolidated statement of operations.</w:t>
      </w:r>
    </w:p>
    <w:p>
      <w:pPr>
        <w:spacing w:after="0" w:line="16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note receivable was categorized as a financial instrument measured at fair value. As the note was determined to have no value as of December 31, 2020, due to the significant decline in the value of the underlying warrants, it was written off and thus no valuation was performed. For the year ended December 31, 2019, the Company used the Black Scholes option pricing model to estimate the fair value of the note receivable. The following represents the significant assumptions used in that valuation:</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$1.998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Volatility</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71.50%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r>
    </w:tbl>
    <w:p>
      <w:pPr>
        <w:spacing w:after="0" w:line="20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At each reporting date, the Company applies its judgment to evaluate the collectability of the note receivable and makes a provision based on the assessed amount of expected credit loss. This judgment is based on parameters such as interest rates, specific country risk factors, and creditworthiness of the creditor.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property and equipment consisted of the following: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Equipment,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Computers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240" w:type="dxa"/>
            <w:vAlign w:val="bottom"/>
            <w:gridSpan w:val="3"/>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12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8"/>
              </w:rPr>
              <w:t>Capitalized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Land</w:t>
            </w:r>
          </w:p>
        </w:tc>
        <w:tc>
          <w:tcPr>
            <w:tcW w:w="11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80" w:type="dxa"/>
            <w:vAlign w:val="bottom"/>
          </w:tcPr>
          <w:p>
            <w:pPr>
              <w:spacing w:after="0"/>
              <w:rPr>
                <w:sz w:val="15"/>
                <w:szCs w:val="15"/>
                <w:color w:val="auto"/>
              </w:rPr>
            </w:pPr>
          </w:p>
        </w:tc>
        <w:tc>
          <w:tcPr>
            <w:tcW w:w="86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2"/>
              </w:rPr>
              <w:t>Furniture</w:t>
            </w:r>
          </w:p>
        </w:tc>
        <w:tc>
          <w:tcPr>
            <w:tcW w:w="160" w:type="dxa"/>
            <w:vAlign w:val="bottom"/>
          </w:tcPr>
          <w:p>
            <w:pPr>
              <w:spacing w:after="0"/>
              <w:rPr>
                <w:sz w:val="15"/>
                <w:szCs w:val="15"/>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w w:val="98"/>
              </w:rPr>
              <w:t>Interest</w:t>
            </w:r>
          </w:p>
        </w:tc>
        <w:tc>
          <w:tcPr>
            <w:tcW w:w="120" w:type="dxa"/>
            <w:vAlign w:val="bottom"/>
          </w:tcPr>
          <w:p>
            <w:pPr>
              <w:spacing w:after="0"/>
              <w:rPr>
                <w:sz w:val="15"/>
                <w:szCs w:val="15"/>
                <w:color w:val="auto"/>
              </w:rPr>
            </w:pPr>
          </w:p>
        </w:tc>
        <w:tc>
          <w:tcPr>
            <w:tcW w:w="110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50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5"/>
                <w:szCs w:val="15"/>
                <w:color w:val="auto"/>
              </w:rPr>
              <w:t>As at January 1, 2020</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3,272,439</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5"/>
              </w:rPr>
              <w:t>33,377,471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0"/>
              </w:rPr>
              <w:t>35,509,871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8"/>
              </w:rPr>
              <w:t>68,681,497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89"/>
              </w:rPr>
              <w:t>2,500,000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0"/>
              </w:rPr>
              <w:t>21,372,116</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1"/>
              </w:rPr>
              <w:t>164,713,394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gridSpan w:val="4"/>
          </w:tcPr>
          <w:p>
            <w:pPr>
              <w:spacing w:after="0" w:line="162" w:lineRule="exact"/>
              <w:rPr>
                <w:sz w:val="20"/>
                <w:szCs w:val="20"/>
                <w:color w:val="auto"/>
              </w:rPr>
            </w:pPr>
            <w:r>
              <w:rPr>
                <w:rFonts w:ascii="Arial" w:cs="Arial" w:eastAsia="Arial" w:hAnsi="Arial"/>
                <w:sz w:val="15"/>
                <w:szCs w:val="15"/>
                <w:color w:val="auto"/>
              </w:rPr>
              <w:t>Additions</w:t>
            </w:r>
          </w:p>
        </w:tc>
        <w:tc>
          <w:tcPr>
            <w:tcW w:w="120" w:type="dxa"/>
            <w:vAlign w:val="bottom"/>
          </w:tcPr>
          <w:p>
            <w:pPr>
              <w:spacing w:after="0"/>
              <w:rPr>
                <w:sz w:val="14"/>
                <w:szCs w:val="14"/>
                <w:color w:val="auto"/>
              </w:rPr>
            </w:pPr>
          </w:p>
        </w:tc>
        <w:tc>
          <w:tcPr>
            <w:tcW w:w="9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586,867</w:t>
            </w:r>
          </w:p>
        </w:tc>
        <w:tc>
          <w:tcPr>
            <w:tcW w:w="120" w:type="dxa"/>
            <w:vAlign w:val="bottom"/>
          </w:tcPr>
          <w:p>
            <w:pPr>
              <w:spacing w:after="0"/>
              <w:rPr>
                <w:sz w:val="14"/>
                <w:szCs w:val="14"/>
                <w:color w:val="auto"/>
              </w:rPr>
            </w:pPr>
          </w:p>
        </w:tc>
        <w:tc>
          <w:tcPr>
            <w:tcW w:w="104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w w:val="95"/>
              </w:rPr>
              <w:t>22,687,020</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3"/>
              </w:rPr>
              <w:t>13,587,238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8"/>
              </w:rPr>
              <w:t>19,925,755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488,681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4,595,227</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61,870,788</w:t>
            </w: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Disposals</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(979,930)</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9"/>
              </w:rPr>
              <w:t>(4,507,086)</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w w:val="96"/>
              </w:rPr>
              <w:t>(6,978,389)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6"/>
              </w:rPr>
              <w:t>(12,465,405)</w:t>
            </w:r>
          </w:p>
        </w:tc>
        <w:tc>
          <w:tcPr>
            <w:tcW w:w="0" w:type="dxa"/>
            <w:vAlign w:val="bottom"/>
          </w:tcPr>
          <w:p>
            <w:pPr>
              <w:spacing w:after="0"/>
              <w:rPr>
                <w:sz w:val="1"/>
                <w:szCs w:val="1"/>
                <w:color w:val="auto"/>
              </w:rPr>
            </w:pPr>
          </w:p>
        </w:tc>
      </w:tr>
      <w:tr>
        <w:trPr>
          <w:trHeight w:val="20"/>
        </w:trPr>
        <w:tc>
          <w:tcPr>
            <w:tcW w:w="3500" w:type="dxa"/>
            <w:vAlign w:val="bottom"/>
            <w:gridSpan w:val="4"/>
            <w:vMerge w:val="restart"/>
          </w:tcPr>
          <w:p>
            <w:pPr>
              <w:spacing w:after="0"/>
              <w:rPr>
                <w:sz w:val="20"/>
                <w:szCs w:val="20"/>
                <w:color w:val="auto"/>
              </w:rPr>
            </w:pPr>
            <w:r>
              <w:rPr>
                <w:rFonts w:ascii="Arial" w:cs="Arial" w:eastAsia="Arial" w:hAnsi="Arial"/>
                <w:sz w:val="15"/>
                <w:szCs w:val="15"/>
                <w:color w:val="auto"/>
              </w:rPr>
              <w:t>As at December 31, 2020</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gridSpan w:val="4"/>
            <w:vMerge w:val="continue"/>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2,879,376</w:t>
            </w:r>
          </w:p>
        </w:tc>
        <w:tc>
          <w:tcPr>
            <w:tcW w:w="300" w:type="dxa"/>
            <w:vAlign w:val="bottom"/>
          </w:tcPr>
          <w:p>
            <w:pPr>
              <w:spacing w:after="0"/>
              <w:rPr>
                <w:sz w:val="14"/>
                <w:szCs w:val="14"/>
                <w:color w:val="auto"/>
              </w:rPr>
            </w:pP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w w:val="95"/>
              </w:rPr>
              <w:t>51,557,405</w:t>
            </w:r>
          </w:p>
        </w:tc>
        <w:tc>
          <w:tcPr>
            <w:tcW w:w="30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3"/>
              </w:rPr>
              <w:t>49,097,109</w:t>
            </w:r>
          </w:p>
        </w:tc>
        <w:tc>
          <w:tcPr>
            <w:tcW w:w="26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8"/>
              </w:rPr>
              <w:t>88,607,252</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89"/>
              </w:rPr>
              <w:t>2,988,681</w:t>
            </w:r>
          </w:p>
        </w:tc>
        <w:tc>
          <w:tcPr>
            <w:tcW w:w="20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102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w w:val="90"/>
              </w:rPr>
              <w:t>18,988,954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1"/>
              </w:rPr>
              <w:t>214,118,777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40" w:type="dxa"/>
            <w:vAlign w:val="bottom"/>
            <w:tcBorders>
              <w:bottom w:val="single" w:sz="8" w:color="auto"/>
            </w:tcBorders>
            <w:gridSpan w:val="3"/>
            <w:shd w:val="clear" w:color="auto" w:fill="CCEEFF"/>
          </w:tcPr>
          <w:p>
            <w:pPr>
              <w:spacing w:after="0" w:line="143" w:lineRule="exact"/>
              <w:rPr>
                <w:sz w:val="20"/>
                <w:szCs w:val="20"/>
                <w:color w:val="auto"/>
              </w:rPr>
            </w:pPr>
            <w:r>
              <w:rPr>
                <w:rFonts w:ascii="Arial" w:cs="Arial" w:eastAsia="Arial" w:hAnsi="Arial"/>
                <w:sz w:val="15"/>
                <w:szCs w:val="15"/>
                <w:color w:val="auto"/>
                <w:w w:val="92"/>
              </w:rPr>
              <w:t>Accumulated Depreciation</w:t>
            </w:r>
          </w:p>
        </w:tc>
        <w:tc>
          <w:tcPr>
            <w:tcW w:w="18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line="156" w:lineRule="exact"/>
              <w:rPr>
                <w:sz w:val="20"/>
                <w:szCs w:val="20"/>
                <w:color w:val="auto"/>
              </w:rPr>
            </w:pPr>
            <w:r>
              <w:rPr>
                <w:rFonts w:ascii="Arial" w:cs="Arial" w:eastAsia="Arial" w:hAnsi="Arial"/>
                <w:sz w:val="15"/>
                <w:szCs w:val="15"/>
                <w:color w:val="auto"/>
              </w:rPr>
              <w:t>As at January 1, 2020</w:t>
            </w: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line="156"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300"/>
              <w:spacing w:after="0" w:line="156" w:lineRule="exact"/>
              <w:rPr>
                <w:sz w:val="20"/>
                <w:szCs w:val="20"/>
                <w:color w:val="auto"/>
              </w:rPr>
            </w:pPr>
            <w:r>
              <w:rPr>
                <w:rFonts w:ascii="Arial" w:cs="Arial" w:eastAsia="Arial" w:hAnsi="Arial"/>
                <w:sz w:val="15"/>
                <w:szCs w:val="15"/>
                <w:color w:val="auto"/>
              </w:rPr>
              <w:t>2,236,254</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3,882,178</w:t>
            </w:r>
          </w:p>
        </w:tc>
        <w:tc>
          <w:tcPr>
            <w:tcW w:w="260" w:type="dxa"/>
            <w:vAlign w:val="bottom"/>
            <w:gridSpan w:val="2"/>
          </w:tcPr>
          <w:p>
            <w:pPr>
              <w:ind w:left="160"/>
              <w:spacing w:after="0" w:line="156" w:lineRule="exact"/>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2,998,287</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00"/>
              <w:spacing w:after="0" w:line="156"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9,116,719</w:t>
            </w: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As at December 31, 2020</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3,357,360</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3"/>
              </w:rPr>
              <w:t>10,344,829</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8"/>
              </w:rPr>
              <w:t>10,264,683</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226,028</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24,192,900</w:t>
            </w:r>
          </w:p>
        </w:tc>
        <w:tc>
          <w:tcPr>
            <w:tcW w:w="0" w:type="dxa"/>
            <w:vAlign w:val="bottom"/>
          </w:tcPr>
          <w:p>
            <w:pPr>
              <w:spacing w:after="0"/>
              <w:rPr>
                <w:sz w:val="1"/>
                <w:szCs w:val="1"/>
                <w:color w:val="auto"/>
              </w:rPr>
            </w:pPr>
          </w:p>
        </w:tc>
      </w:tr>
      <w:tr>
        <w:trPr>
          <w:trHeight w:val="148"/>
        </w:trPr>
        <w:tc>
          <w:tcPr>
            <w:tcW w:w="9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5"/>
                <w:szCs w:val="15"/>
                <w:color w:val="auto"/>
                <w:w w:val="91"/>
              </w:rPr>
              <w:t>Net book value</w:t>
            </w:r>
          </w:p>
        </w:tc>
        <w:tc>
          <w:tcPr>
            <w:tcW w:w="25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00" w:type="dxa"/>
            <w:vAlign w:val="bottom"/>
            <w:gridSpan w:val="4"/>
            <w:shd w:val="clear" w:color="auto" w:fill="CCEEFF"/>
          </w:tcPr>
          <w:p>
            <w:pPr>
              <w:spacing w:after="0" w:line="156" w:lineRule="exact"/>
              <w:rPr>
                <w:sz w:val="20"/>
                <w:szCs w:val="20"/>
                <w:color w:val="auto"/>
              </w:rPr>
            </w:pPr>
            <w:r>
              <w:rPr>
                <w:rFonts w:ascii="Arial" w:cs="Arial" w:eastAsia="Arial" w:hAnsi="Arial"/>
                <w:sz w:val="15"/>
                <w:szCs w:val="15"/>
                <w:color w:val="auto"/>
              </w:rPr>
              <w:t>As at January 1, 2020</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w w:val="95"/>
              </w:rPr>
              <w:t>3,272,439</w:t>
            </w:r>
          </w:p>
        </w:tc>
        <w:tc>
          <w:tcPr>
            <w:tcW w:w="1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w w:val="95"/>
              </w:rPr>
              <w:t>31,141,217</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w w:val="93"/>
              </w:rPr>
              <w:t>31,627,693</w:t>
            </w:r>
          </w:p>
        </w:tc>
        <w:tc>
          <w:tcPr>
            <w:tcW w:w="260" w:type="dxa"/>
            <w:vAlign w:val="bottom"/>
            <w:gridSpan w:val="2"/>
            <w:shd w:val="clear" w:color="auto" w:fill="CCEEFF"/>
          </w:tcPr>
          <w:p>
            <w:pPr>
              <w:ind w:left="160"/>
              <w:spacing w:after="0" w:line="156"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w w:val="98"/>
              </w:rPr>
              <w:t>65,683,210</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w w:val="89"/>
              </w:rPr>
              <w:t>2,500,000</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w w:val="90"/>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w w:val="91"/>
              </w:rPr>
              <w:t>155,596,675</w:t>
            </w:r>
          </w:p>
        </w:tc>
        <w:tc>
          <w:tcPr>
            <w:tcW w:w="0" w:type="dxa"/>
            <w:vAlign w:val="bottom"/>
          </w:tcPr>
          <w:p>
            <w:pPr>
              <w:spacing w:after="0"/>
              <w:rPr>
                <w:sz w:val="1"/>
                <w:szCs w:val="1"/>
                <w:color w:val="auto"/>
              </w:rPr>
            </w:pPr>
          </w:p>
        </w:tc>
      </w:tr>
      <w:tr>
        <w:trPr>
          <w:trHeight w:val="194"/>
        </w:trPr>
        <w:tc>
          <w:tcPr>
            <w:tcW w:w="3500" w:type="dxa"/>
            <w:vAlign w:val="bottom"/>
            <w:gridSpan w:val="4"/>
          </w:tcPr>
          <w:p>
            <w:pPr>
              <w:spacing w:after="0"/>
              <w:rPr>
                <w:sz w:val="20"/>
                <w:szCs w:val="20"/>
                <w:color w:val="auto"/>
              </w:rPr>
            </w:pPr>
            <w:r>
              <w:rPr>
                <w:rFonts w:ascii="Arial" w:cs="Arial" w:eastAsia="Arial" w:hAnsi="Arial"/>
                <w:sz w:val="15"/>
                <w:szCs w:val="15"/>
                <w:color w:val="auto"/>
              </w:rPr>
              <w:t>As at December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2,879,376</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48,200,045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38,752,280</w:t>
            </w:r>
          </w:p>
        </w:tc>
        <w:tc>
          <w:tcPr>
            <w:tcW w:w="260" w:type="dxa"/>
            <w:vAlign w:val="bottom"/>
            <w:gridSpan w:val="2"/>
          </w:tcPr>
          <w:p>
            <w:pPr>
              <w:ind w:left="160"/>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w w:val="98"/>
              </w:rPr>
              <w:t>78,342,569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2,762,653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5"/>
                <w:szCs w:val="15"/>
                <w:color w:val="auto"/>
                <w:w w:val="90"/>
              </w:rPr>
              <w:t>18,988,954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w w:val="91"/>
              </w:rPr>
              <w:t>189,925,877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property and equipment consisted of the following:</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color w:val="auto"/>
                <w:w w:val="95"/>
              </w:rPr>
              <w:t>Equipment,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Computers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vMerge w:val="restart"/>
          </w:tcPr>
          <w:p>
            <w:pPr>
              <w:spacing w:after="0"/>
              <w:rPr>
                <w:sz w:val="20"/>
                <w:szCs w:val="20"/>
                <w:color w:val="auto"/>
              </w:rPr>
            </w:pPr>
            <w:r>
              <w:rPr>
                <w:rFonts w:ascii="Arial" w:cs="Arial" w:eastAsia="Arial" w:hAnsi="Arial"/>
                <w:sz w:val="14"/>
                <w:szCs w:val="14"/>
                <w:color w:val="auto"/>
                <w:w w:val="83"/>
              </w:rPr>
              <w:t>Cost</w:t>
            </w:r>
          </w:p>
        </w:tc>
        <w:tc>
          <w:tcPr>
            <w:tcW w:w="324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Buildings and</w:t>
            </w: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Leasehold</w:t>
            </w:r>
          </w:p>
        </w:tc>
        <w:tc>
          <w:tcPr>
            <w:tcW w:w="12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Capitalized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vMerge w:val="continue"/>
          </w:tcPr>
          <w:p>
            <w:pPr>
              <w:spacing w:after="0"/>
              <w:rPr>
                <w:sz w:val="15"/>
                <w:szCs w:val="15"/>
                <w:color w:val="auto"/>
              </w:rPr>
            </w:pPr>
          </w:p>
        </w:tc>
        <w:tc>
          <w:tcPr>
            <w:tcW w:w="3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Land</w:t>
            </w:r>
          </w:p>
        </w:tc>
        <w:tc>
          <w:tcPr>
            <w:tcW w:w="116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80" w:type="dxa"/>
            <w:vAlign w:val="bottom"/>
          </w:tcPr>
          <w:p>
            <w:pPr>
              <w:spacing w:after="0"/>
              <w:rPr>
                <w:sz w:val="15"/>
                <w:szCs w:val="15"/>
                <w:color w:val="auto"/>
              </w:rPr>
            </w:pPr>
          </w:p>
        </w:tc>
        <w:tc>
          <w:tcPr>
            <w:tcW w:w="9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2"/>
              </w:rPr>
              <w:t>Furniture</w:t>
            </w:r>
          </w:p>
        </w:tc>
        <w:tc>
          <w:tcPr>
            <w:tcW w:w="120" w:type="dxa"/>
            <w:vAlign w:val="bottom"/>
          </w:tcPr>
          <w:p>
            <w:pPr>
              <w:spacing w:after="0"/>
              <w:rPr>
                <w:sz w:val="15"/>
                <w:szCs w:val="15"/>
                <w:color w:val="auto"/>
              </w:rPr>
            </w:pPr>
          </w:p>
        </w:tc>
        <w:tc>
          <w:tcPr>
            <w:tcW w:w="98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Improvements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5"/>
                <w:szCs w:val="15"/>
                <w:color w:val="auto"/>
              </w:rPr>
            </w:pPr>
          </w:p>
        </w:tc>
        <w:tc>
          <w:tcPr>
            <w:tcW w:w="1100" w:type="dxa"/>
            <w:vAlign w:val="bottom"/>
            <w:gridSpan w:val="3"/>
          </w:tcPr>
          <w:p>
            <w:pPr>
              <w:jc w:val="center"/>
              <w:ind w:right="320"/>
              <w:spacing w:after="0" w:line="154" w:lineRule="exact"/>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3500" w:type="dxa"/>
            <w:vAlign w:val="bottom"/>
            <w:tcBorders>
              <w:top w:val="single" w:sz="8" w:color="CCEEFF"/>
            </w:tcBorders>
            <w:gridSpan w:val="4"/>
            <w:shd w:val="clear" w:color="auto" w:fill="CCEEFF"/>
          </w:tcPr>
          <w:p>
            <w:pPr>
              <w:spacing w:after="0" w:line="149" w:lineRule="exact"/>
              <w:rPr>
                <w:sz w:val="20"/>
                <w:szCs w:val="20"/>
                <w:color w:val="auto"/>
              </w:rPr>
            </w:pPr>
            <w:r>
              <w:rPr>
                <w:rFonts w:ascii="Arial" w:cs="Arial" w:eastAsia="Arial" w:hAnsi="Arial"/>
                <w:sz w:val="15"/>
                <w:szCs w:val="15"/>
                <w:color w:val="auto"/>
              </w:rPr>
              <w:t>As at January 1, 2019</w:t>
            </w: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8"/>
              </w:rPr>
              <w:t>2,243,085</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8"/>
              </w:rPr>
              <w:t>20,861,988</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0"/>
              </w:rPr>
              <w:t>11,001,498</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8"/>
              </w:rPr>
              <w:t>18,435,893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400"/>
              <w:spacing w:after="0" w:line="149"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0"/>
              </w:rPr>
              <w:t>16,664,958</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69,207,422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gridSpan w:val="4"/>
          </w:tcPr>
          <w:p>
            <w:pPr>
              <w:spacing w:after="0" w:line="162" w:lineRule="exact"/>
              <w:rPr>
                <w:sz w:val="20"/>
                <w:szCs w:val="20"/>
                <w:color w:val="auto"/>
              </w:rPr>
            </w:pPr>
            <w:r>
              <w:rPr>
                <w:rFonts w:ascii="Arial" w:cs="Arial" w:eastAsia="Arial" w:hAnsi="Arial"/>
                <w:sz w:val="15"/>
                <w:szCs w:val="15"/>
                <w:color w:val="auto"/>
              </w:rPr>
              <w:t>Additions</w:t>
            </w:r>
          </w:p>
        </w:tc>
        <w:tc>
          <w:tcPr>
            <w:tcW w:w="10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w w:val="98"/>
              </w:rPr>
              <w:t>4,393,030</w:t>
            </w:r>
          </w:p>
        </w:tc>
        <w:tc>
          <w:tcPr>
            <w:tcW w:w="10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w w:val="98"/>
              </w:rPr>
              <w:t>28,217,500</w:t>
            </w:r>
          </w:p>
        </w:tc>
        <w:tc>
          <w:tcPr>
            <w:tcW w:w="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3"/>
              </w:rPr>
              <w:t>23,109,209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8"/>
              </w:rPr>
              <w:t>38,002,678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2,500,000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4,678,084</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1"/>
              </w:rPr>
              <w:t>100,900,501</w:t>
            </w: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Additions from acquisitions</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4,253,362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8"/>
              </w:rPr>
              <w:t>12,242,926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29,074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16,525,362</w:t>
            </w:r>
          </w:p>
        </w:tc>
        <w:tc>
          <w:tcPr>
            <w:tcW w:w="0" w:type="dxa"/>
            <w:vAlign w:val="bottom"/>
          </w:tcPr>
          <w:p>
            <w:pPr>
              <w:spacing w:after="0"/>
              <w:rPr>
                <w:sz w:val="1"/>
                <w:szCs w:val="1"/>
                <w:color w:val="auto"/>
              </w:rPr>
            </w:pPr>
          </w:p>
        </w:tc>
      </w:tr>
      <w:tr>
        <w:trPr>
          <w:trHeight w:val="162"/>
        </w:trPr>
        <w:tc>
          <w:tcPr>
            <w:tcW w:w="3500" w:type="dxa"/>
            <w:vAlign w:val="bottom"/>
            <w:gridSpan w:val="4"/>
          </w:tcPr>
          <w:p>
            <w:pPr>
              <w:spacing w:after="0" w:line="162" w:lineRule="exact"/>
              <w:rPr>
                <w:sz w:val="20"/>
                <w:szCs w:val="20"/>
                <w:color w:val="auto"/>
              </w:rPr>
            </w:pPr>
            <w:r>
              <w:rPr>
                <w:rFonts w:ascii="Arial" w:cs="Arial" w:eastAsia="Arial" w:hAnsi="Arial"/>
                <w:sz w:val="15"/>
                <w:szCs w:val="15"/>
                <w:color w:val="auto"/>
              </w:rPr>
              <w:t>Disposals</w:t>
            </w:r>
          </w:p>
        </w:tc>
        <w:tc>
          <w:tcPr>
            <w:tcW w:w="100" w:type="dxa"/>
            <w:vAlign w:val="bottom"/>
          </w:tcPr>
          <w:p>
            <w:pPr>
              <w:spacing w:after="0"/>
              <w:rPr>
                <w:sz w:val="14"/>
                <w:szCs w:val="14"/>
                <w:color w:val="auto"/>
              </w:rPr>
            </w:pPr>
          </w:p>
        </w:tc>
        <w:tc>
          <w:tcPr>
            <w:tcW w:w="9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1"/>
              </w:rPr>
              <w:t>(3,363,676)</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1"/>
              </w:rPr>
              <w:t>(15,702,017)</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w w:val="96"/>
              </w:rPr>
              <w:t>(2,854,198)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(21,919,891)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As at December 31, 2019</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8"/>
              </w:rPr>
              <w:t>3,272,439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8"/>
              </w:rPr>
              <w:t>33,377,471</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3"/>
              </w:rPr>
              <w:t>35,509,871</w:t>
            </w:r>
          </w:p>
        </w:tc>
        <w:tc>
          <w:tcPr>
            <w:tcW w:w="2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8"/>
              </w:rPr>
              <w:t>68,681,497</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2,500,000</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w w:val="90"/>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1"/>
              </w:rPr>
              <w:t>164,713,394</w:t>
            </w:r>
          </w:p>
        </w:tc>
        <w:tc>
          <w:tcPr>
            <w:tcW w:w="0" w:type="dxa"/>
            <w:vAlign w:val="bottom"/>
          </w:tcPr>
          <w:p>
            <w:pPr>
              <w:spacing w:after="0"/>
              <w:rPr>
                <w:sz w:val="1"/>
                <w:szCs w:val="1"/>
                <w:color w:val="auto"/>
              </w:rPr>
            </w:pPr>
          </w:p>
        </w:tc>
      </w:tr>
      <w:tr>
        <w:trPr>
          <w:trHeight w:val="20"/>
        </w:trPr>
        <w:tc>
          <w:tcPr>
            <w:tcW w:w="1640" w:type="dxa"/>
            <w:vAlign w:val="bottom"/>
            <w:gridSpan w:val="3"/>
            <w:vMerge w:val="restart"/>
          </w:tcPr>
          <w:p>
            <w:pPr>
              <w:spacing w:after="0"/>
              <w:rPr>
                <w:sz w:val="20"/>
                <w:szCs w:val="20"/>
                <w:color w:val="auto"/>
              </w:rPr>
            </w:pPr>
            <w:r>
              <w:rPr>
                <w:rFonts w:ascii="Arial" w:cs="Arial" w:eastAsia="Arial" w:hAnsi="Arial"/>
                <w:sz w:val="15"/>
                <w:szCs w:val="15"/>
                <w:color w:val="auto"/>
                <w:w w:val="92"/>
              </w:rPr>
              <w:t>Accumulated Depreciation</w:t>
            </w:r>
          </w:p>
        </w:tc>
        <w:tc>
          <w:tcPr>
            <w:tcW w:w="18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40" w:type="dxa"/>
            <w:vAlign w:val="bottom"/>
            <w:tcBorders>
              <w:bottom w:val="single" w:sz="8" w:color="auto"/>
            </w:tcBorders>
            <w:gridSpan w:val="3"/>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00" w:type="dxa"/>
            <w:vAlign w:val="bottom"/>
            <w:gridSpan w:val="4"/>
            <w:shd w:val="clear" w:color="auto" w:fill="CCEEFF"/>
          </w:tcPr>
          <w:p>
            <w:pPr>
              <w:spacing w:after="0" w:line="156" w:lineRule="exact"/>
              <w:rPr>
                <w:sz w:val="20"/>
                <w:szCs w:val="20"/>
                <w:color w:val="auto"/>
              </w:rPr>
            </w:pPr>
            <w:r>
              <w:rPr>
                <w:rFonts w:ascii="Arial" w:cs="Arial" w:eastAsia="Arial" w:hAnsi="Arial"/>
                <w:sz w:val="15"/>
                <w:szCs w:val="15"/>
                <w:color w:val="auto"/>
              </w:rPr>
              <w:t>As at January 1, 2019</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line="15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5"/>
                <w:szCs w:val="15"/>
                <w:color w:val="auto"/>
              </w:rPr>
              <w:t>1,351,230</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1,524,114</w:t>
            </w:r>
          </w:p>
        </w:tc>
        <w:tc>
          <w:tcPr>
            <w:tcW w:w="22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1,007,998</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5"/>
                <w:szCs w:val="15"/>
                <w:color w:val="auto"/>
              </w:rPr>
              <w:t>3,883,342</w:t>
            </w:r>
          </w:p>
        </w:tc>
        <w:tc>
          <w:tcPr>
            <w:tcW w:w="0" w:type="dxa"/>
            <w:vAlign w:val="bottom"/>
          </w:tcPr>
          <w:p>
            <w:pPr>
              <w:spacing w:after="0"/>
              <w:rPr>
                <w:sz w:val="1"/>
                <w:szCs w:val="1"/>
                <w:color w:val="auto"/>
              </w:rPr>
            </w:pPr>
          </w:p>
        </w:tc>
      </w:tr>
      <w:tr>
        <w:trPr>
          <w:trHeight w:val="162"/>
        </w:trPr>
        <w:tc>
          <w:tcPr>
            <w:tcW w:w="3500" w:type="dxa"/>
            <w:vAlign w:val="bottom"/>
            <w:gridSpan w:val="4"/>
          </w:tcPr>
          <w:p>
            <w:pPr>
              <w:spacing w:after="0" w:line="162" w:lineRule="exact"/>
              <w:rPr>
                <w:sz w:val="20"/>
                <w:szCs w:val="20"/>
                <w:color w:val="auto"/>
              </w:rPr>
            </w:pPr>
            <w:r>
              <w:rPr>
                <w:rFonts w:ascii="Arial" w:cs="Arial" w:eastAsia="Arial" w:hAnsi="Arial"/>
                <w:sz w:val="15"/>
                <w:szCs w:val="15"/>
                <w:color w:val="auto"/>
              </w:rPr>
              <w:t>As at December 31, 2019</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2,236,254</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3,882,178</w:t>
            </w:r>
          </w:p>
        </w:tc>
        <w:tc>
          <w:tcPr>
            <w:tcW w:w="220" w:type="dxa"/>
            <w:vAlign w:val="bottom"/>
            <w:gridSpan w:val="2"/>
          </w:tcPr>
          <w:p>
            <w:pPr>
              <w:ind w:left="120"/>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2,998,287</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9,116,719</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5"/>
                <w:szCs w:val="15"/>
                <w:color w:val="auto"/>
                <w:w w:val="91"/>
              </w:rPr>
              <w:t>Net book value</w:t>
            </w:r>
          </w:p>
        </w:tc>
        <w:tc>
          <w:tcPr>
            <w:tcW w:w="256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line="156" w:lineRule="exact"/>
              <w:rPr>
                <w:sz w:val="20"/>
                <w:szCs w:val="20"/>
                <w:color w:val="auto"/>
              </w:rPr>
            </w:pPr>
            <w:r>
              <w:rPr>
                <w:rFonts w:ascii="Arial" w:cs="Arial" w:eastAsia="Arial" w:hAnsi="Arial"/>
                <w:sz w:val="15"/>
                <w:szCs w:val="15"/>
                <w:color w:val="auto"/>
              </w:rPr>
              <w:t>As at January 1, 2019</w:t>
            </w: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line="156" w:lineRule="exact"/>
              <w:rPr>
                <w:sz w:val="20"/>
                <w:szCs w:val="20"/>
                <w:color w:val="auto"/>
              </w:rPr>
            </w:pPr>
            <w:r>
              <w:rPr>
                <w:rFonts w:ascii="Arial" w:cs="Arial" w:eastAsia="Arial" w:hAnsi="Arial"/>
                <w:sz w:val="15"/>
                <w:szCs w:val="15"/>
                <w:color w:val="auto"/>
                <w:w w:val="98"/>
              </w:rPr>
              <w:t>2,243,085</w:t>
            </w:r>
          </w:p>
        </w:tc>
        <w:tc>
          <w:tcPr>
            <w:tcW w:w="100" w:type="dxa"/>
            <w:vAlign w:val="bottom"/>
          </w:tcPr>
          <w:p>
            <w:pPr>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300"/>
              <w:spacing w:after="0" w:line="156" w:lineRule="exact"/>
              <w:rPr>
                <w:sz w:val="20"/>
                <w:szCs w:val="20"/>
                <w:color w:val="auto"/>
              </w:rPr>
            </w:pPr>
            <w:r>
              <w:rPr>
                <w:rFonts w:ascii="Arial" w:cs="Arial" w:eastAsia="Arial" w:hAnsi="Arial"/>
                <w:sz w:val="15"/>
                <w:szCs w:val="15"/>
                <w:color w:val="auto"/>
                <w:w w:val="98"/>
              </w:rPr>
              <w:t>19,510,758</w:t>
            </w:r>
          </w:p>
        </w:tc>
        <w:tc>
          <w:tcPr>
            <w:tcW w:w="8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9,477,384</w:t>
            </w:r>
          </w:p>
        </w:tc>
        <w:tc>
          <w:tcPr>
            <w:tcW w:w="220" w:type="dxa"/>
            <w:vAlign w:val="bottom"/>
            <w:gridSpan w:val="2"/>
          </w:tcPr>
          <w:p>
            <w:pPr>
              <w:ind w:left="120"/>
              <w:spacing w:after="0" w:line="156" w:lineRule="exact"/>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w w:val="98"/>
              </w:rPr>
              <w:t>17,427,895</w:t>
            </w:r>
          </w:p>
        </w:tc>
        <w:tc>
          <w:tcPr>
            <w:tcW w:w="2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gridSpan w:val="2"/>
          </w:tcPr>
          <w:p>
            <w:pPr>
              <w:ind w:left="400"/>
              <w:spacing w:after="0" w:line="156" w:lineRule="exact"/>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320"/>
              <w:spacing w:after="0" w:line="156" w:lineRule="exact"/>
              <w:rPr>
                <w:sz w:val="20"/>
                <w:szCs w:val="20"/>
                <w:color w:val="auto"/>
              </w:rPr>
            </w:pPr>
            <w:r>
              <w:rPr>
                <w:rFonts w:ascii="Arial" w:cs="Arial" w:eastAsia="Arial" w:hAnsi="Arial"/>
                <w:sz w:val="15"/>
                <w:szCs w:val="15"/>
                <w:color w:val="auto"/>
                <w:w w:val="90"/>
              </w:rPr>
              <w:t>16,664,958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65,324,080</w:t>
            </w:r>
          </w:p>
        </w:tc>
        <w:tc>
          <w:tcPr>
            <w:tcW w:w="0" w:type="dxa"/>
            <w:vAlign w:val="bottom"/>
          </w:tcPr>
          <w:p>
            <w:pPr>
              <w:spacing w:after="0"/>
              <w:rPr>
                <w:sz w:val="1"/>
                <w:szCs w:val="1"/>
                <w:color w:val="auto"/>
              </w:rPr>
            </w:pPr>
          </w:p>
        </w:tc>
      </w:tr>
      <w:tr>
        <w:trPr>
          <w:trHeight w:val="162"/>
        </w:trPr>
        <w:tc>
          <w:tcPr>
            <w:tcW w:w="350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color w:val="auto"/>
              </w:rPr>
              <w:t>As at December 31, 2019</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w w:val="98"/>
              </w:rPr>
              <w:t>3,272,439</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w w:val="98"/>
              </w:rPr>
              <w:t>31,141,217</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3"/>
              </w:rPr>
              <w:t>31,627,693</w:t>
            </w:r>
          </w:p>
        </w:tc>
        <w:tc>
          <w:tcPr>
            <w:tcW w:w="2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8"/>
              </w:rPr>
              <w:t>65,683,210</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2,500,000</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w w:val="90"/>
              </w:rPr>
              <w:t>21,372,116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1"/>
              </w:rPr>
              <w:t>155,596,675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Depreciation expense for the year ended December 31, 2020, 2019 and 2018 totaled $15,479,179, $6,827,711 and $2,687,025, respectively of which $8,283,206, $4,246,524 and $1,346,632, respectively, is included in cost of goods sold.</w:t>
      </w:r>
    </w:p>
    <w:p>
      <w:pPr>
        <w:spacing w:after="0" w:line="170"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On March 6, 2020, the Company closed a sale and lease back transaction to sell its Oglesby, Illinois cultivation and processing facility to Innovative Industrial Properties (“IIP”). Under the long-term agreement, the Company leased back the facility and continues to operate and manage it. As a result of the sale, the Company disposed of $774,930 of land, $4,507,086 of buildings and improvements and $3,813,636 of construction in progress. The Company recognized a gain on the sale of Oglesby facility of $239,096 which was recorded within other income (expense) within the consolidated statement of operations.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On January 31, 2020, the Company closed a sale and lease back transaction to sell its Toledo, Ohio processing facility to IIP. Under the long-term agreement, the Company leased back the facility and continues to operate and manage it. As a result of the sale, the Company disposed of $205,000 of land and $2,695,000 of construction in progress. There was no gain or loss on the sale.</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 November 12, 2019, the Company closed on a sale and lease back transaction to sell its Danville Pennsylvania cultivation and processing facility to IIP. Under the long-term agreement, the Company will lease back the facility and continue to operate and manage it. As a result of the sale, the Company disposed of $3,363,676 of land, $15,702,017 of buildings and improvements, and $2,854,198 in production and processing equipment. There was no gain or loss on the sale.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regarding these transactions, see Note 10—Leases.</w:t>
      </w:r>
    </w:p>
    <w:p>
      <w:pPr>
        <w:spacing w:after="0" w:line="370"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The Company has determined that the below acquisitions are business combinations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They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73"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2020 Business Acquisitions</w:t>
      </w:r>
    </w:p>
    <w:p>
      <w:pPr>
        <w:spacing w:after="0" w:line="13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Southern CT Wellness and Healing</w:t>
      </w:r>
    </w:p>
    <w:p>
      <w:pPr>
        <w:spacing w:after="0" w:line="121"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On December 18, 2020, the Company acquired 100% of the ownership interests of a Connecticut-based dispensary. The total consideration paid was approximately $14.4 million which included cash of approximately $9.0 million and 230,031 Subordinate Voting Shares valued at approximately $5.4 million based on the fair value of the securities on the date of issuance, which was the closing price of Green Thumb’s Subordinate Voting Shares as traded on the CSE on the date of the transaction.</w:t>
      </w:r>
    </w:p>
    <w:p>
      <w:pPr>
        <w:spacing w:after="0" w:line="79" w:lineRule="exact"/>
        <w:rPr>
          <w:sz w:val="20"/>
          <w:szCs w:val="20"/>
          <w:color w:val="auto"/>
        </w:rPr>
      </w:pPr>
    </w:p>
    <w:p>
      <w:pPr>
        <w:ind w:left="560" w:right="100"/>
        <w:spacing w:after="0" w:line="296" w:lineRule="auto"/>
        <w:rPr>
          <w:sz w:val="20"/>
          <w:szCs w:val="20"/>
          <w:color w:val="auto"/>
        </w:rPr>
      </w:pPr>
      <w:r>
        <w:rPr>
          <w:rFonts w:ascii="Arial" w:cs="Arial" w:eastAsia="Arial" w:hAnsi="Arial"/>
          <w:sz w:val="16"/>
          <w:szCs w:val="16"/>
          <w:color w:val="auto"/>
        </w:rPr>
        <w:t>The assets acquired and liabilities assumed as part of the acquisition were not material. The Company recorded $9,615,751 and $6,326,523 in Goodwill and Intangible assets, respectively as part of the preliminary purchase price allocation. The preliminary valuation was based on Management’s estimates and assumptions which are subject to change within the purchase price allocation period (generally one year from the acquisition date). The primary areas of the purchase price allocation that are not yet finalized relate to the valuation of the tangible and intangible assets acquired and the residual goodwill. Acquisition related costs associated with the transaction were not material.</w:t>
      </w:r>
    </w:p>
    <w:p>
      <w:pPr>
        <w:spacing w:after="0" w:line="63"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2019 Business Acquisitions</w:t>
      </w:r>
    </w:p>
    <w:p>
      <w:pPr>
        <w:spacing w:after="0" w:line="121" w:lineRule="exact"/>
        <w:rPr>
          <w:rFonts w:ascii="Arial" w:cs="Arial" w:eastAsia="Arial" w:hAnsi="Arial"/>
          <w:sz w:val="18"/>
          <w:szCs w:val="18"/>
          <w:b w:val="1"/>
          <w:bCs w:val="1"/>
          <w:color w:val="auto"/>
        </w:rPr>
      </w:pPr>
    </w:p>
    <w:p>
      <w:pPr>
        <w:ind w:left="5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prior year, the Company closed on a number of business acquisitions. As of December 31, 2019, the Company completed preliminary allocations of the purchase prices of the assets acquired and liabilities assumed with the assistance of an independent valuation firm. During 2020, the purchase price allocations were finalized and adjustments, primarily to Goodwill and Intangible assets, were recorded by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2019 Business Acquisitions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Company. The following table summarizes the final acquisition-date fair value of the consideration transferred for each acquisition: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jc w:val="right"/>
              <w:ind w:right="640"/>
              <w:spacing w:after="0"/>
              <w:rPr>
                <w:sz w:val="20"/>
                <w:szCs w:val="20"/>
                <w:color w:val="auto"/>
              </w:rPr>
            </w:pPr>
            <w:r>
              <w:rPr>
                <w:rFonts w:ascii="Arial" w:cs="Arial" w:eastAsia="Arial" w:hAnsi="Arial"/>
                <w:sz w:val="14"/>
                <w:szCs w:val="14"/>
                <w:color w:val="auto"/>
                <w:w w:val="96"/>
              </w:rPr>
              <w:t>Advanced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color w:val="auto"/>
                <w:w w:val="94"/>
              </w:rPr>
              <w:t>Integral</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spacing w:after="0" w:line="149" w:lineRule="exact"/>
              <w:rPr>
                <w:sz w:val="20"/>
                <w:szCs w:val="20"/>
                <w:color w:val="auto"/>
              </w:rPr>
            </w:pPr>
            <w:r>
              <w:rPr>
                <w:rFonts w:ascii="Arial" w:cs="Arial" w:eastAsia="Arial" w:hAnsi="Arial"/>
                <w:sz w:val="14"/>
                <w:szCs w:val="14"/>
                <w:color w:val="auto"/>
              </w:rPr>
              <w:t>Grow Labs,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9"/>
              </w:rPr>
              <w:t>Associates,</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78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15,481,967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44,147,694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79,959,170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273,146,014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142,607,973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Share Issuance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5,380,000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Conversion of Previous Notes Receivable</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27,121,559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Acquisition Liability</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791,068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7,831,000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39,985,000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8,926,000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108,652,137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366,729,582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234,011,024</w:t>
            </w:r>
          </w:p>
        </w:tc>
        <w:tc>
          <w:tcPr>
            <w:tcW w:w="0" w:type="dxa"/>
            <w:vAlign w:val="bottom"/>
          </w:tcPr>
          <w:p>
            <w:pPr>
              <w:spacing w:after="0"/>
              <w:rPr>
                <w:sz w:val="1"/>
                <w:szCs w:val="1"/>
                <w:color w:val="auto"/>
              </w:rPr>
            </w:pPr>
          </w:p>
        </w:tc>
      </w:tr>
      <w:tr>
        <w:trPr>
          <w:trHeight w:val="20"/>
        </w:trPr>
        <w:tc>
          <w:tcPr>
            <w:tcW w:w="586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the final accounting estimates for each acquisition: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color w:val="auto"/>
                <w:w w:val="93"/>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color w:val="auto"/>
                <w:w w:val="94"/>
              </w:rPr>
              <w:t>Integral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94"/>
              </w:rPr>
              <w:t>Grow Labs,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2"/>
              </w:rPr>
              <w:t>Associates,</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Acquisitions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Inventory</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1,906,828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10,107,303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420,649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1,477,535</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492,571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5,934,295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8,107,836</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Right-of-Use Asset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565,336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4,840,609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2,056,008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CAL Funding</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246,843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122,826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1,405,986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Licenses and Permits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28,920,000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175,845,000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Tradename</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57,425,000</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12,462,000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2,678,000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Non-competition Agreements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Liabilities Assumed</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(1,230,441)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(11,091,246)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(6,172,243)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9"/>
              </w:rPr>
              <w:t>(12,731,349)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(20,823,225)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Identifiable Net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48,830,538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250,750,259</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80,607,111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59,821,599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115,979,323</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153,403,913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108,652,137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366,729,582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234,011,024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Other Acquisitions consists of For Success Holding Company, Fiorello Pharmaceuticals, Inc., MC Brands, LLC as well as two dispensaries. The details of the transactions are discussed below. The Company also incurred approximately $812,000 of acquisition related costs which were expensed during the year ended December 31, 2019.</w:t>
      </w:r>
    </w:p>
    <w:p>
      <w:pPr>
        <w:spacing w:after="0" w:line="85" w:lineRule="exact"/>
        <w:rPr>
          <w:sz w:val="20"/>
          <w:szCs w:val="20"/>
          <w:color w:val="auto"/>
        </w:rPr>
      </w:pPr>
    </w:p>
    <w:p>
      <w:pPr>
        <w:ind w:left="1540" w:hanging="439"/>
        <w:spacing w:after="0"/>
        <w:tabs>
          <w:tab w:leader="none" w:pos="1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1100" w:right="540"/>
        <w:spacing w:after="0" w:line="277" w:lineRule="auto"/>
        <w:rPr>
          <w:sz w:val="20"/>
          <w:szCs w:val="20"/>
          <w:color w:val="auto"/>
        </w:rPr>
      </w:pPr>
      <w:r>
        <w:rPr>
          <w:rFonts w:ascii="Arial" w:cs="Arial" w:eastAsia="Arial" w:hAnsi="Arial"/>
          <w:sz w:val="18"/>
          <w:szCs w:val="18"/>
          <w:color w:val="auto"/>
        </w:rPr>
        <w:t>On February 12, 2019, the Company acquired 100% of the ownership interests of Connecticut-based Advanced Grow Labs, LLC (“AGL”). AGL is licensed in Connecticut to grow and process cannabis.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60"/>
          </w:cols>
          <w:pgMar w:left="320" w:top="459" w:right="6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2019 Business Acquisitions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Advanced Grow Labs, LLC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The acquisition included a manufacturing license and an ownership stake in a Connecticut-based dispensary. The transaction consideration included $15.5 million of cash and approximately 7.3 million Subordinate Voting Shares of Green Thumb which were valued at approximately $85.1 million, based on the fair value of the securities on their date of issuance, which was the closing price of Green Thumb’s Subordinate Voting Shares as traded on the CSE on the date of the transaction. The purchase agreement also included contingent consideration ranging from $0 to $15 million in shares of Green Thumb and was dependent upon the EBITDA results of AGL over the twelve-month period following the close of the transaction.</w:t>
      </w:r>
    </w:p>
    <w:p>
      <w:pPr>
        <w:spacing w:after="0" w:line="84" w:lineRule="exact"/>
        <w:rPr>
          <w:sz w:val="20"/>
          <w:szCs w:val="20"/>
          <w:color w:val="auto"/>
        </w:rPr>
      </w:pPr>
    </w:p>
    <w:p>
      <w:pPr>
        <w:ind w:left="1100" w:right="80"/>
        <w:spacing w:after="0" w:line="301" w:lineRule="auto"/>
        <w:rPr>
          <w:sz w:val="20"/>
          <w:szCs w:val="20"/>
          <w:color w:val="auto"/>
        </w:rPr>
      </w:pPr>
      <w:r>
        <w:rPr>
          <w:rFonts w:ascii="Arial" w:cs="Arial" w:eastAsia="Arial" w:hAnsi="Arial"/>
          <w:sz w:val="16"/>
          <w:szCs w:val="16"/>
          <w:color w:val="auto"/>
        </w:rPr>
        <w:t>During the year ended December 31, 2020, the Company issued 1,396,533 Subordinate Voting Shares of Green Thumb representing the full settlement of the contingent consideration. The shares had a fair value of $11,544,855 at the date of issuance. As of December 31, 2020 and 2019, the estimated fair value of the contingent consideration associated with the acquisition of AGL, which was valued using a probability weighting of the potential payouts, was $0 and $8,654,623, respectively on the consolidated balance sheets.</w:t>
      </w:r>
    </w:p>
    <w:p>
      <w:pPr>
        <w:spacing w:after="0" w:line="49" w:lineRule="exact"/>
        <w:rPr>
          <w:sz w:val="20"/>
          <w:szCs w:val="20"/>
          <w:color w:val="auto"/>
        </w:rPr>
      </w:pPr>
    </w:p>
    <w:p>
      <w:pPr>
        <w:ind w:left="1100" w:right="220"/>
        <w:spacing w:after="0" w:line="311" w:lineRule="auto"/>
        <w:rPr>
          <w:sz w:val="20"/>
          <w:szCs w:val="20"/>
          <w:color w:val="auto"/>
        </w:rPr>
      </w:pPr>
      <w:r>
        <w:rPr>
          <w:rFonts w:ascii="Arial" w:cs="Arial" w:eastAsia="Arial" w:hAnsi="Arial"/>
          <w:sz w:val="16"/>
          <w:szCs w:val="16"/>
          <w:color w:val="auto"/>
        </w:rPr>
        <w:t>In addition, on August 12, 2020, the Company issued 472,500 deferred shares to the former owners of AGL. The deferred shares had a value of $5,380,000 and were valued as of the date of the initial transaction. As of December 31, 2020 and 2019, the Company had deferred shares associated with the acquisition of AGL of $0 and $5,380,000, respectively, recorded on the consolidated balance sheets.</w:t>
      </w:r>
    </w:p>
    <w:p>
      <w:pPr>
        <w:spacing w:after="0" w:line="50" w:lineRule="exact"/>
        <w:rPr>
          <w:sz w:val="20"/>
          <w:szCs w:val="20"/>
          <w:color w:val="auto"/>
        </w:rPr>
      </w:pPr>
    </w:p>
    <w:p>
      <w:pPr>
        <w:ind w:left="1540" w:hanging="439"/>
        <w:spacing w:after="0"/>
        <w:tabs>
          <w:tab w:leader="none" w:pos="1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1100" w:right="20"/>
        <w:spacing w:after="0" w:line="290" w:lineRule="auto"/>
        <w:rPr>
          <w:sz w:val="20"/>
          <w:szCs w:val="20"/>
          <w:color w:val="auto"/>
        </w:rPr>
      </w:pPr>
      <w:r>
        <w:rPr>
          <w:rFonts w:ascii="Arial" w:cs="Arial" w:eastAsia="Arial" w:hAnsi="Arial"/>
          <w:sz w:val="16"/>
          <w:szCs w:val="16"/>
          <w:color w:val="auto"/>
        </w:rPr>
        <w:t>On June 5, 2019, the Company acquired 100% of the ownership interests of Integral Associates, LLC (“Integral Associates”). The acquisition included Integral Associate’s retail brand Essence, three retail locations, as well as two cultivation and processing facilities. The transaction consideration included $52.8 million paid in cash and approximately 20.8 million in Subordinate Voting Shares which were valued at $235.4 million, and an additional 3.3 million milestone shares with a fair value of $37.7 million, for a total value of $273.1 million in share issuances. The fair value of the securities was based upon the closing price of Green Thumb’s Subordinate Voting Shares as traded on the CSE on the date of the transaction. The purchase agreement included additional consideration of up to $57 million in shares of Green Thumb depending upon the EBITDA results of Integral Associates over the twelve-month period following the close of the transaction along with awarding of conditional and/or final dispensary operating licenses.</w:t>
      </w:r>
    </w:p>
    <w:p>
      <w:pPr>
        <w:spacing w:after="0" w:line="57" w:lineRule="exact"/>
        <w:rPr>
          <w:sz w:val="20"/>
          <w:szCs w:val="20"/>
          <w:color w:val="auto"/>
        </w:rPr>
      </w:pPr>
    </w:p>
    <w:p>
      <w:pPr>
        <w:ind w:left="1100" w:right="60"/>
        <w:spacing w:after="0" w:line="271" w:lineRule="auto"/>
        <w:rPr>
          <w:sz w:val="20"/>
          <w:szCs w:val="20"/>
          <w:color w:val="auto"/>
        </w:rPr>
      </w:pPr>
      <w:r>
        <w:rPr>
          <w:rFonts w:ascii="Arial" w:cs="Arial" w:eastAsia="Arial" w:hAnsi="Arial"/>
          <w:sz w:val="17"/>
          <w:szCs w:val="17"/>
          <w:color w:val="auto"/>
        </w:rPr>
        <w:t>During the year ended December 31, 2020, the Company issued 537,240 Subordinate Voting Shares to the former owners of Integral Associates in connection with the awarding of final operating licenses for two Nevada dispensaries. The shares had a fair value of $4,654,526 at the date of issuance. Additionally, the Company wrote off a portion of the contingent consideration in the amount of $7,582,001 associated with Integral Associates unsuccessful attainment of the EBTIDA targets over the first twelve months of operations, which was recorded through other income and expense on the consolidated statement of operations. As of December 31, 2020 and 2019, the estimated fair value of the contingent consideration associated with the acquisition of Integral Associates, which was valued using a probability weighting of the potential payouts, was $27,100,000 and $39,554,185, respectively of which $4,950,000 and $0, respectively, was recorded as a non-current liability.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2019 Business Acquisitions </w:t>
      </w:r>
      <w:r>
        <w:rPr>
          <w:rFonts w:ascii="Arial" w:cs="Arial" w:eastAsia="Arial" w:hAnsi="Arial"/>
          <w:sz w:val="18"/>
          <w:szCs w:val="18"/>
          <w:color w:val="auto"/>
        </w:rPr>
        <w:t>(Continued)</w:t>
      </w:r>
    </w:p>
    <w:p>
      <w:pPr>
        <w:spacing w:after="0" w:line="131"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Acquisition of For Success Holding Company</w:t>
      </w:r>
    </w:p>
    <w:p>
      <w:pPr>
        <w:spacing w:after="0" w:line="121" w:lineRule="exact"/>
        <w:rPr>
          <w:sz w:val="20"/>
          <w:szCs w:val="20"/>
          <w:color w:val="auto"/>
        </w:rPr>
      </w:pPr>
    </w:p>
    <w:p>
      <w:pPr>
        <w:jc w:val="both"/>
        <w:ind w:left="1100" w:right="100"/>
        <w:spacing w:after="0" w:line="286"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Colorado and Illinois and via home delivery across California. The acquisition was an all stock transaction whereby consideration was satisfied through the issuance 6,463,553 of Green Thumb’s Subordinate Voting Shares (including 793,448 deferred shares) which were valued at</w:t>
      </w:r>
    </w:p>
    <w:p>
      <w:pPr>
        <w:spacing w:after="0" w:line="1" w:lineRule="exact"/>
        <w:rPr>
          <w:sz w:val="20"/>
          <w:szCs w:val="20"/>
          <w:color w:val="auto"/>
        </w:rPr>
      </w:pPr>
    </w:p>
    <w:p>
      <w:pPr>
        <w:ind w:left="1100" w:right="160"/>
        <w:spacing w:after="0" w:line="253" w:lineRule="auto"/>
        <w:rPr>
          <w:sz w:val="20"/>
          <w:szCs w:val="20"/>
          <w:color w:val="auto"/>
        </w:rPr>
      </w:pPr>
      <w:r>
        <w:rPr>
          <w:rFonts w:ascii="Arial" w:cs="Arial" w:eastAsia="Arial" w:hAnsi="Arial"/>
          <w:sz w:val="18"/>
          <w:szCs w:val="18"/>
          <w:color w:val="auto"/>
        </w:rPr>
        <w:t>$94.5 million, based on the fair value of the securities on their date of issuance, which was the closing price of Green Thumb’s Subordinate Voting Shares as traded on the CSE on the date of the transaction. The purchase agreement also included additional consideration ranging from $0 to $15 million in cash or shares of Green Thumb subject to Beboe achieving the placement of its products in specified retailers during the twelve months post acquisition of which $6.9 million was earned and paid during 2019 in the form of 808,614 Subordinated Voting Shares.</w:t>
      </w:r>
    </w:p>
    <w:p>
      <w:pPr>
        <w:spacing w:after="0" w:line="83" w:lineRule="exact"/>
        <w:rPr>
          <w:sz w:val="20"/>
          <w:szCs w:val="20"/>
          <w:color w:val="auto"/>
        </w:rPr>
      </w:pPr>
    </w:p>
    <w:p>
      <w:pPr>
        <w:ind w:left="1100" w:right="80"/>
        <w:spacing w:after="0" w:line="308" w:lineRule="auto"/>
        <w:rPr>
          <w:sz w:val="20"/>
          <w:szCs w:val="20"/>
          <w:color w:val="auto"/>
        </w:rPr>
      </w:pPr>
      <w:r>
        <w:rPr>
          <w:rFonts w:ascii="Arial" w:cs="Arial" w:eastAsia="Arial" w:hAnsi="Arial"/>
          <w:sz w:val="17"/>
          <w:szCs w:val="17"/>
          <w:color w:val="auto"/>
        </w:rPr>
        <w:t>During the year ended December 31, 2020, the Company issued 779,690 Subordinate Voting Shares of Green Thumb representing the full settlement of the remaining contingent consideration. The shares had a fair value of $6,686,432 at the date of issuance.</w:t>
      </w:r>
    </w:p>
    <w:p>
      <w:pPr>
        <w:spacing w:after="0" w:line="38"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As of December 31, 2020 and 2019, the estimated fair value of the contingent consideration associated with the acquisition of For Success Holding Company, which was valued using a probability weighting of the potential payouts, was $0 and $2,432,373, respectively, on the consolidated balance sheets.</w:t>
      </w:r>
    </w:p>
    <w:p>
      <w:pPr>
        <w:spacing w:after="0" w:line="76"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In addition, on August 26, 2020, the Company issued 646,353 deferred shares to the former owners of For Success Holding Company. The deferred shares associated with the acquisition of For Success Holding Company had a value of $8,064,668 and were valued as of the date of the initial transaction. As of December 31, 2020 and 2019, the Company had deferred shares of $1,835,332 and $9,900,000, respectively, recorded on the consolidated balance sheets.</w:t>
      </w:r>
    </w:p>
    <w:p>
      <w:pPr>
        <w:spacing w:after="0" w:line="88"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Acquisition of Fiorello Pharmaceuticals, Inc</w:t>
      </w:r>
    </w:p>
    <w:p>
      <w:pPr>
        <w:spacing w:after="0" w:line="121" w:lineRule="exact"/>
        <w:rPr>
          <w:sz w:val="20"/>
          <w:szCs w:val="20"/>
          <w:color w:val="auto"/>
        </w:rPr>
      </w:pPr>
    </w:p>
    <w:p>
      <w:pPr>
        <w:ind w:left="1100" w:right="300"/>
        <w:spacing w:after="0" w:line="275" w:lineRule="auto"/>
        <w:rPr>
          <w:sz w:val="20"/>
          <w:szCs w:val="20"/>
          <w:color w:val="auto"/>
        </w:rPr>
      </w:pPr>
      <w:r>
        <w:rPr>
          <w:rFonts w:ascii="Arial" w:cs="Arial" w:eastAsia="Arial" w:hAnsi="Arial"/>
          <w:sz w:val="17"/>
          <w:szCs w:val="17"/>
          <w:color w:val="auto"/>
        </w:rPr>
        <w:t>On August 23, 2019, the Company acquired 100% of the ownership interests of New York-based Fiorello Pharmaceuticals, Inc. The acquisition consideration paid included $42.6 million of cash and 1.7 million of the Company’s Subordinate Voting Shares which were valued at $14.1 million, based on the fair value of the securities on the date of issuance, which was the closing price of Green Thumb’s Subordinate Voting Shares as traded on the CSE on the date of the transaction. The acquisition included the license and assets for one cultivation, one processing, and four retail facilities in New York.</w:t>
      </w:r>
    </w:p>
    <w:p>
      <w:pPr>
        <w:spacing w:after="0" w:line="78" w:lineRule="exact"/>
        <w:rPr>
          <w:sz w:val="20"/>
          <w:szCs w:val="20"/>
          <w:color w:val="auto"/>
        </w:rPr>
      </w:pPr>
    </w:p>
    <w:p>
      <w:pPr>
        <w:ind w:left="1540" w:hanging="439"/>
        <w:spacing w:after="0"/>
        <w:tabs>
          <w:tab w:leader="none" w:pos="1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MC Brands, LLC</w:t>
      </w:r>
    </w:p>
    <w:p>
      <w:pPr>
        <w:spacing w:after="0" w:line="121" w:lineRule="exact"/>
        <w:rPr>
          <w:sz w:val="20"/>
          <w:szCs w:val="20"/>
          <w:color w:val="auto"/>
        </w:rPr>
      </w:pPr>
    </w:p>
    <w:p>
      <w:pPr>
        <w:ind w:left="1100" w:right="20"/>
        <w:spacing w:after="0" w:line="308" w:lineRule="auto"/>
        <w:rPr>
          <w:sz w:val="20"/>
          <w:szCs w:val="20"/>
          <w:color w:val="auto"/>
        </w:rPr>
      </w:pPr>
      <w:r>
        <w:rPr>
          <w:rFonts w:ascii="Arial" w:cs="Arial" w:eastAsia="Arial" w:hAnsi="Arial"/>
          <w:sz w:val="17"/>
          <w:szCs w:val="17"/>
          <w:color w:val="auto"/>
        </w:rPr>
        <w:t>On June 12, 2019, the Company acquired the remaining 75% interest in MC Brands, LLC which is based in Colorado through the issuance of 1.7 million Subordinate Voting Shares valued at $19.4 million. The transaction was accounted for as an asset acquisition.</w:t>
      </w:r>
    </w:p>
    <w:p>
      <w:pPr>
        <w:spacing w:after="0" w:line="48"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Information—Significant 2019 Acquisitions</w:t>
      </w:r>
    </w:p>
    <w:p>
      <w:pPr>
        <w:spacing w:after="0" w:line="121" w:lineRule="exact"/>
        <w:rPr>
          <w:rFonts w:ascii="Arial" w:cs="Arial" w:eastAsia="Arial" w:hAnsi="Arial"/>
          <w:sz w:val="18"/>
          <w:szCs w:val="18"/>
          <w:b w:val="1"/>
          <w:bCs w:val="1"/>
          <w:color w:val="auto"/>
        </w:rPr>
      </w:pPr>
    </w:p>
    <w:p>
      <w:pPr>
        <w:ind w:left="5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unaudited financial information reflects the results of operations of AGL and Integral Associates from the transaction date (the date of acquisition for AGL of February 12, 2019 and for Integral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Information—Significant 2019 Acquisitions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5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Associates of June 5, 2019) through the year ended December 31, 2019 and the results of operations for AGL and Integral Associates for the year ended December 31, 2018:</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4"/>
          </w:tcPr>
          <w:p>
            <w:pPr>
              <w:jc w:val="right"/>
              <w:ind w:right="900"/>
              <w:spacing w:after="0"/>
              <w:rPr>
                <w:sz w:val="20"/>
                <w:szCs w:val="20"/>
                <w:color w:val="auto"/>
              </w:rPr>
            </w:pPr>
            <w:r>
              <w:rPr>
                <w:rFonts w:ascii="Arial" w:cs="Arial" w:eastAsia="Arial" w:hAnsi="Arial"/>
                <w:sz w:val="14"/>
                <w:szCs w:val="14"/>
                <w:color w:val="auto"/>
              </w:rPr>
              <w:t>Transaction Date through</w:t>
            </w:r>
          </w:p>
        </w:tc>
        <w:tc>
          <w:tcPr>
            <w:tcW w:w="2520" w:type="dxa"/>
            <w:vAlign w:val="bottom"/>
            <w:gridSpan w:val="5"/>
          </w:tcPr>
          <w:p>
            <w:pPr>
              <w:ind w:left="680"/>
              <w:spacing w:after="0"/>
              <w:rPr>
                <w:sz w:val="20"/>
                <w:szCs w:val="20"/>
                <w:color w:val="auto"/>
              </w:rPr>
            </w:pPr>
            <w:r>
              <w:rPr>
                <w:rFonts w:ascii="Arial" w:cs="Arial" w:eastAsia="Arial" w:hAnsi="Arial"/>
                <w:sz w:val="14"/>
                <w:szCs w:val="14"/>
                <w:color w:val="auto"/>
              </w:rPr>
              <w:t>For the Year Ended</w:t>
            </w:r>
          </w:p>
        </w:tc>
      </w:tr>
      <w:tr>
        <w:trPr>
          <w:trHeight w:val="167"/>
        </w:trPr>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4"/>
          </w:tcPr>
          <w:p>
            <w:pPr>
              <w:jc w:val="right"/>
              <w:ind w:right="1060"/>
              <w:spacing w:after="0"/>
              <w:rPr>
                <w:sz w:val="20"/>
                <w:szCs w:val="20"/>
                <w:color w:val="auto"/>
              </w:rPr>
            </w:pPr>
            <w:r>
              <w:rPr>
                <w:rFonts w:ascii="Arial" w:cs="Arial" w:eastAsia="Arial" w:hAnsi="Arial"/>
                <w:sz w:val="14"/>
                <w:szCs w:val="14"/>
                <w:color w:val="auto"/>
              </w:rPr>
              <w:t>December 31, 2019</w:t>
            </w:r>
          </w:p>
        </w:tc>
        <w:tc>
          <w:tcPr>
            <w:tcW w:w="2520" w:type="dxa"/>
            <w:vAlign w:val="bottom"/>
            <w:gridSpan w:val="5"/>
          </w:tcPr>
          <w:p>
            <w:pPr>
              <w:ind w:left="660"/>
              <w:spacing w:after="0"/>
              <w:rPr>
                <w:sz w:val="20"/>
                <w:szCs w:val="20"/>
                <w:color w:val="auto"/>
              </w:rPr>
            </w:pPr>
            <w:r>
              <w:rPr>
                <w:rFonts w:ascii="Arial" w:cs="Arial" w:eastAsia="Arial" w:hAnsi="Arial"/>
                <w:sz w:val="14"/>
                <w:szCs w:val="14"/>
                <w:color w:val="auto"/>
              </w:rPr>
              <w:t>December 31, 2018</w:t>
            </w:r>
          </w:p>
        </w:tc>
      </w:tr>
      <w:tr>
        <w:trPr>
          <w:trHeight w:val="123"/>
        </w:trPr>
        <w:tc>
          <w:tcPr>
            <w:tcW w:w="3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80" w:type="dxa"/>
            <w:vAlign w:val="bottom"/>
            <w:tcBorders>
              <w:top w:val="single" w:sz="8" w:color="auto"/>
            </w:tcBorders>
            <w:gridSpan w:val="2"/>
          </w:tcPr>
          <w:p>
            <w:pPr>
              <w:jc w:val="center"/>
              <w:ind w:right="360"/>
              <w:spacing w:after="0" w:line="123" w:lineRule="exact"/>
              <w:rPr>
                <w:sz w:val="20"/>
                <w:szCs w:val="20"/>
                <w:color w:val="auto"/>
              </w:rPr>
            </w:pPr>
            <w:r>
              <w:rPr>
                <w:rFonts w:ascii="Arial" w:cs="Arial" w:eastAsia="Arial" w:hAnsi="Arial"/>
                <w:sz w:val="14"/>
                <w:szCs w:val="14"/>
                <w:color w:val="auto"/>
                <w:w w:val="93"/>
              </w:rPr>
              <w:t>Advanced</w:t>
            </w: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93"/>
              </w:rPr>
              <w:t>Advanced</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Integral</w:t>
            </w:r>
          </w:p>
        </w:tc>
        <w:tc>
          <w:tcPr>
            <w:tcW w:w="60" w:type="dxa"/>
            <w:vAlign w:val="bottom"/>
          </w:tcPr>
          <w:p>
            <w:pPr>
              <w:spacing w:after="0"/>
              <w:rPr>
                <w:sz w:val="10"/>
                <w:szCs w:val="10"/>
                <w:color w:val="auto"/>
              </w:rPr>
            </w:pPr>
          </w:p>
        </w:tc>
      </w:tr>
      <w:tr>
        <w:trPr>
          <w:trHeight w:val="148"/>
        </w:trPr>
        <w:tc>
          <w:tcPr>
            <w:tcW w:w="3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Grow</w:t>
            </w: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Associates,</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Grow</w:t>
            </w:r>
          </w:p>
        </w:tc>
        <w:tc>
          <w:tcPr>
            <w:tcW w:w="18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Associates,</w:t>
            </w:r>
          </w:p>
        </w:tc>
      </w:tr>
      <w:tr>
        <w:trPr>
          <w:trHeight w:val="167"/>
        </w:trPr>
        <w:tc>
          <w:tcPr>
            <w:tcW w:w="3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Labs, LLC</w:t>
            </w: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color w:val="auto"/>
              </w:rPr>
              <w:t>LLC</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Labs, LLC</w:t>
            </w:r>
          </w:p>
        </w:tc>
        <w:tc>
          <w:tcPr>
            <w:tcW w:w="18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LLC</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16,377,199</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39,246,745</w:t>
            </w:r>
          </w:p>
        </w:tc>
        <w:tc>
          <w:tcPr>
            <w:tcW w:w="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17,016,743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60,261,432</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3"/>
          </w:tcPr>
          <w:p>
            <w:pPr>
              <w:jc w:val="right"/>
              <w:ind w:right="340"/>
              <w:spacing w:after="0"/>
              <w:rPr>
                <w:sz w:val="20"/>
                <w:szCs w:val="20"/>
                <w:color w:val="auto"/>
              </w:rPr>
            </w:pPr>
            <w:r>
              <w:rPr>
                <w:rFonts w:ascii="Arial" w:cs="Arial" w:eastAsia="Arial" w:hAnsi="Arial"/>
                <w:sz w:val="18"/>
                <w:szCs w:val="18"/>
                <w:color w:val="auto"/>
              </w:rPr>
              <w:t>3,612,455</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(6,375,800)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7,497,696</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13,218,159</w:t>
            </w:r>
          </w:p>
        </w:tc>
      </w:tr>
    </w:tbl>
    <w:p>
      <w:pPr>
        <w:spacing w:after="0" w:line="79" w:lineRule="exact"/>
        <w:rPr>
          <w:sz w:val="20"/>
          <w:szCs w:val="20"/>
          <w:color w:val="auto"/>
        </w:rPr>
      </w:pPr>
    </w:p>
    <w:p>
      <w:pPr>
        <w:ind w:left="560" w:right="380"/>
        <w:spacing w:after="0" w:line="342" w:lineRule="auto"/>
        <w:rPr>
          <w:sz w:val="20"/>
          <w:szCs w:val="20"/>
          <w:color w:val="auto"/>
        </w:rPr>
      </w:pPr>
      <w:r>
        <w:rPr>
          <w:rFonts w:ascii="Arial" w:cs="Arial" w:eastAsia="Arial" w:hAnsi="Arial"/>
          <w:sz w:val="16"/>
          <w:szCs w:val="16"/>
          <w:color w:val="auto"/>
        </w:rPr>
        <w:t>The following unaudited pro forma financial information reflects the combined results of operations of Green Thumb, AGL and Integral Associates for the period from January 1, 2019 through December 31, 2019 (presented as if the acquisitions had occurred at January 1, 2019):</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For the Year Ended December 31, 2019</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3"/>
              </w:rPr>
              <w:t>Advanced</w:t>
            </w:r>
          </w:p>
        </w:tc>
        <w:tc>
          <w:tcPr>
            <w:tcW w:w="140" w:type="dxa"/>
            <w:vAlign w:val="bottom"/>
          </w:tcPr>
          <w:p>
            <w:pPr>
              <w:spacing w:after="0"/>
              <w:rPr>
                <w:sz w:val="10"/>
                <w:szCs w:val="10"/>
                <w:color w:val="auto"/>
              </w:rPr>
            </w:pPr>
          </w:p>
        </w:tc>
        <w:tc>
          <w:tcPr>
            <w:tcW w:w="122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4"/>
              </w:rPr>
              <w:t>Integral</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416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Green Thumb</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Grow Labs,</w:t>
            </w: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Associates,</w:t>
            </w: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Pro Forma</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16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Industries Inc.</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rPr>
              <w:t>LLC</w:t>
            </w:r>
          </w:p>
        </w:tc>
        <w:tc>
          <w:tcPr>
            <w:tcW w:w="1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LLC</w:t>
            </w: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color w:val="auto"/>
                <w:w w:val="93"/>
              </w:rPr>
              <w:t>Adjustments</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$160,808,662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$18,516,074</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$79,146,937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$258,471,673</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(56,353,062)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4,586,122</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(1,110,610)</w:t>
            </w: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(8,394,854)</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(61,272,404)</w:t>
            </w:r>
          </w:p>
        </w:tc>
      </w:tr>
    </w:tbl>
    <w:p>
      <w:pPr>
        <w:spacing w:after="0" w:line="107" w:lineRule="exact"/>
        <w:rPr>
          <w:sz w:val="20"/>
          <w:szCs w:val="20"/>
          <w:color w:val="auto"/>
        </w:rPr>
      </w:pPr>
    </w:p>
    <w:p>
      <w:pPr>
        <w:ind w:left="540" w:right="480" w:hanging="424"/>
        <w:spacing w:after="0" w:line="29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estimated amortization expense on intangible assets acquired as part of the acquisition of AGL and Integral Associates of $327,302 representing one month of amortization expense and $6,639,127 representing five months of amortization expense, respectively.</w:t>
      </w:r>
    </w:p>
    <w:p>
      <w:pPr>
        <w:ind w:left="540" w:hanging="424"/>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estimated income tax expense of AGL of $164,780 and Integral Associates of $1,263,645 based on a 24% effective tax rate.</w:t>
      </w:r>
    </w:p>
    <w:p>
      <w:pPr>
        <w:spacing w:after="0" w:line="114" w:lineRule="exact"/>
        <w:rPr>
          <w:rFonts w:ascii="Arial" w:cs="Arial" w:eastAsia="Arial" w:hAnsi="Arial"/>
          <w:sz w:val="17"/>
          <w:szCs w:val="17"/>
          <w:color w:val="auto"/>
        </w:rPr>
      </w:pPr>
    </w:p>
    <w:p>
      <w:pPr>
        <w:ind w:left="560" w:right="380"/>
        <w:spacing w:after="0" w:line="342" w:lineRule="auto"/>
        <w:rPr>
          <w:rFonts w:ascii="Arial" w:cs="Arial" w:eastAsia="Arial" w:hAnsi="Arial"/>
          <w:sz w:val="17"/>
          <w:szCs w:val="17"/>
          <w:color w:val="auto"/>
        </w:rPr>
      </w:pPr>
      <w:r>
        <w:rPr>
          <w:rFonts w:ascii="Arial" w:cs="Arial" w:eastAsia="Arial" w:hAnsi="Arial"/>
          <w:sz w:val="16"/>
          <w:szCs w:val="16"/>
          <w:color w:val="auto"/>
        </w:rPr>
        <w:t>The following unaudited pro forma financial information reflects the combined results of operations of Green Thumb, AGL and Integral Associates for the period from January 1, 2018 through December 31, 2018 (presented as if the acquisitions had occurred at January 1, 2018):</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the Year Ended December 31, 2018</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4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4"/>
                <w:szCs w:val="14"/>
                <w:color w:val="auto"/>
                <w:w w:val="93"/>
              </w:rPr>
              <w:t>Advanced</w:t>
            </w:r>
          </w:p>
        </w:tc>
        <w:tc>
          <w:tcPr>
            <w:tcW w:w="280" w:type="dxa"/>
            <w:vAlign w:val="bottom"/>
          </w:tcPr>
          <w:p>
            <w:pPr>
              <w:spacing w:after="0"/>
              <w:rPr>
                <w:sz w:val="10"/>
                <w:szCs w:val="10"/>
                <w:color w:val="auto"/>
              </w:rPr>
            </w:pPr>
          </w:p>
        </w:tc>
        <w:tc>
          <w:tcPr>
            <w:tcW w:w="10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4"/>
              </w:rPr>
              <w:t>Integral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420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7"/>
              </w:rPr>
              <w:t>Green Thumb</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Grow Labs,</w:t>
            </w:r>
          </w:p>
        </w:tc>
        <w:tc>
          <w:tcPr>
            <w:tcW w:w="2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Associates,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Pro Forma</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Pro Forma</w:t>
            </w:r>
          </w:p>
        </w:tc>
      </w:tr>
      <w:tr>
        <w:trPr>
          <w:trHeight w:val="167"/>
        </w:trPr>
        <w:tc>
          <w:tcPr>
            <w:tcW w:w="42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Industries Inc.</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LLC</w:t>
            </w:r>
          </w:p>
        </w:tc>
        <w:tc>
          <w:tcPr>
            <w:tcW w:w="2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auto"/>
              </w:rPr>
              <w:t>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Adjustments</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Notes</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Combined</w:t>
            </w:r>
          </w:p>
        </w:tc>
      </w:tr>
      <w:tr>
        <w:trPr>
          <w:trHeight w:val="142"/>
        </w:trPr>
        <w:tc>
          <w:tcPr>
            <w:tcW w:w="4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2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3"/>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$62,493,680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$17,016,743</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$60,261,432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$139,771,855</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 Green Thumb</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Industries Inc.</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(5,243,917)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7,497,696</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13,218,159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(24,006,529)</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(a), (b)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(8,534,591)</w:t>
            </w:r>
          </w:p>
        </w:tc>
      </w:tr>
    </w:tbl>
    <w:p>
      <w:pPr>
        <w:spacing w:after="0" w:line="107" w:lineRule="exact"/>
        <w:rPr>
          <w:sz w:val="20"/>
          <w:szCs w:val="20"/>
          <w:color w:val="auto"/>
        </w:rPr>
      </w:pPr>
    </w:p>
    <w:p>
      <w:pPr>
        <w:ind w:left="540" w:right="40" w:hanging="424"/>
        <w:spacing w:after="0" w:line="25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estimated amortization expense on intangible assets acquired as part of the acquisition of AGL and Integral Associates of $3,927,619 and $15,933,905 each representing twelve months of amortization expense,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estimated income tax expense of AGL of $972,647 and Integral Associates of $3,172,358 based on a 24% effective tax rate.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Licenses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Customer</w:t>
            </w:r>
          </w:p>
        </w:tc>
        <w:tc>
          <w:tcPr>
            <w:tcW w:w="14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Permits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Relationships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336,954,213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97,455,590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25,258,000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2,585,480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462,253,283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Purchase Price Allocation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1,695,009</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6,326,523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6,326,523</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343,135,736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99,295,599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25,258,000</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2,585,480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470,274,815</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18,477,500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3,932,416</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474,669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27,006,385</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23,516,095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9,333,378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3,650,589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526,334</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37,026,396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41,993,595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13,455,178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7,583,005</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64,032,781</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Net book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318,476,713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21,325,584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301,142,141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85,840,421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17,674,995</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1,584,477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406,242,034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intangible assets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Licenses and</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Tradenames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Customer</w:t>
            </w: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Non-Competition</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Permits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Relationships</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Agreements</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89,705,213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820,000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20,480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90,905,693</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247,249,000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97,095,590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24,438,000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371,347,590</w:t>
            </w: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336,954,213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97,455,590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25,258,000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462,253,283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Accumulated Amortization</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2,322,715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2,540,015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16,154,785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4,121,800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3,727,916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461,869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24,466,370</w:t>
            </w: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18,477,500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4,121,800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3,932,416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474,669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27,006,385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As at January 1, 2019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87,382,498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7,680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88,365,678</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318,476,713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93,333,790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21,325,584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435,246,898</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F-29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 recorded amortization expense for the years ended December 31, 2020, 2019 and 2018 of $37,026,396, $24,466,370 and $2,496,955, respectively.</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During 2020, the Company recorded a measurement period adjustment in connection with its June 27, 2019 acquisition of MC Brands, LLC of $1,840,009 which increased intangible assets and share capital. The remainder of the adjustments to purchase price allocations were not significant and related to the finalization of several 2019 acquisitions. The Company also recorded an increase of $6,326,523 from the acquisition of a Connecticut-based dispensary during 2020 (see Note 7—Acquisitions for additional details).</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the Company reviewed the estimated useful lives of its intangible assets as part of the Company’s plans to rebrand one of its retail stores. Based on that review, the Company determined that certain intangible assets associated with the Company’s retail tradenames have a useful life shorter than initially estimated.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Beginning July 1, 2020, the Company adjusted the useful life of its retail tradename associated with the acquisition of Essence from 15 years to 7 years. The change in useful life was made as a prospective adjustment and resulted in an increase in amortization expense of $5,161,946 annually for years 2021 through 2025, and a net reduction in amortization expense of $25,809,730 thereafter.</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2020 and illustrates the effect of the change in useful life of the Essence tradename discussed above: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2"/>
              </w:rPr>
              <w:t>Estimated</w:t>
            </w:r>
          </w:p>
        </w:tc>
        <w:tc>
          <w:tcPr>
            <w:tcW w:w="180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Increase (Decrease)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474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Year Ending December 31,</w:t>
            </w:r>
          </w:p>
        </w:tc>
        <w:tc>
          <w:tcPr>
            <w:tcW w:w="212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(Prior to Change in</w:t>
            </w:r>
          </w:p>
        </w:tc>
        <w:tc>
          <w:tcPr>
            <w:tcW w:w="180" w:type="dxa"/>
            <w:vAlign w:val="bottom"/>
          </w:tcPr>
          <w:p>
            <w:pPr>
              <w:spacing w:after="0"/>
              <w:rPr>
                <w:sz w:val="12"/>
                <w:szCs w:val="12"/>
                <w:color w:val="auto"/>
              </w:rPr>
            </w:pPr>
          </w:p>
        </w:tc>
        <w:tc>
          <w:tcPr>
            <w:tcW w:w="162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from Change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(After Change in</w:t>
            </w:r>
          </w:p>
        </w:tc>
        <w:tc>
          <w:tcPr>
            <w:tcW w:w="0" w:type="dxa"/>
            <w:vAlign w:val="bottom"/>
          </w:tcPr>
          <w:p>
            <w:pPr>
              <w:spacing w:after="0"/>
              <w:rPr>
                <w:sz w:val="1"/>
                <w:szCs w:val="1"/>
                <w:color w:val="auto"/>
              </w:rPr>
            </w:pPr>
          </w:p>
        </w:tc>
      </w:tr>
      <w:tr>
        <w:trPr>
          <w:trHeight w:val="178"/>
        </w:trPr>
        <w:tc>
          <w:tcPr>
            <w:tcW w:w="47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center"/>
              <w:ind w:right="70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2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34,032,387</w:t>
            </w: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5,161,946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39,194,333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33,601,647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5,161,946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38,763,593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33,518,831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5,161,946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38,680,777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32,937,498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5,161,946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38,099,444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32,839,831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5,161,946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38,001,777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239,311,840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(25,809,730)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213,502,110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406,242,034</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$ 406,242,034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40" w:type="dxa"/>
            <w:vAlign w:val="bottom"/>
            <w:gridSpan w:val="3"/>
          </w:tcPr>
          <w:p>
            <w:pPr>
              <w:spacing w:after="0"/>
              <w:rPr>
                <w:sz w:val="20"/>
                <w:szCs w:val="20"/>
                <w:color w:val="auto"/>
              </w:rPr>
            </w:pPr>
            <w:r>
              <w:rPr>
                <w:rFonts w:ascii="Arial" w:cs="Arial" w:eastAsia="Arial" w:hAnsi="Arial"/>
                <w:sz w:val="18"/>
                <w:szCs w:val="18"/>
                <w:color w:val="auto"/>
              </w:rPr>
              <w:t>At December 31, 2020, Goodwill consisted of the following:</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Packaged Goods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at January 1, 2020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119,873,759</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255,211,232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375,084,991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9,615,751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9,615,751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Purchase Price Allocations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1,191,425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(3,194,700)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(2,003,275)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ind w:left="880"/>
              <w:spacing w:after="0"/>
              <w:rPr>
                <w:sz w:val="20"/>
                <w:szCs w:val="20"/>
                <w:color w:val="auto"/>
              </w:rPr>
            </w:pPr>
            <w:r>
              <w:rPr>
                <w:rFonts w:ascii="Arial" w:cs="Arial" w:eastAsia="Arial" w:hAnsi="Arial"/>
                <w:sz w:val="18"/>
                <w:szCs w:val="18"/>
                <w:b w:val="1"/>
                <w:bCs w:val="1"/>
                <w:color w:val="auto"/>
              </w:rPr>
              <w:t>As at December 31, 2020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130,680,935</w:t>
            </w:r>
          </w:p>
        </w:tc>
        <w:tc>
          <w:tcPr>
            <w:tcW w:w="4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252,016,532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382,697,467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47"/>
              <w:spacing w:after="0"/>
              <w:rPr>
                <w:sz w:val="20"/>
                <w:szCs w:val="20"/>
                <w:color w:val="auto"/>
              </w:rPr>
            </w:pPr>
            <w:r>
              <w:rPr>
                <w:rFonts w:ascii="Arial" w:cs="Arial" w:eastAsia="Arial" w:hAnsi="Arial"/>
                <w:sz w:val="18"/>
                <w:szCs w:val="18"/>
                <w:color w:val="auto"/>
              </w:rPr>
              <w:t>F-30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AND GOODWILL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Goodwill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Retail</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Packaged Goods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15,286,360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23,918,000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39,204,360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Acquisition of Advanced Grow Labs,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16,756,250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44,572,349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61,328,599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Integral Associates, LLC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46,655,753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69,323,570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115,979,323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Other Acquisitions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32,936,590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120,963,598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153,900,188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Purchase Price Allocations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8,238,806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(3,566,285)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As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119,873,759</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255,211,232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375,084,991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For the year ended December 31, 2020, the Company recorded measurement period adjustments resulting in a net decrease in goodwill of $2,003,275 associated with various acquisitions. In regard to the Consumer Packaged Goods segment, the Company recorded measurement period adjustments associated with its acquisition of For Success Holding Company and Advanced Grow Labs, LLC of $1,687,700 and $1,507,000, respectively, which represented a reduction in the value of goodwill and deferred tax liabilities.</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Regarding the Retail segment, the Company recorded an increase of $9,615,751 from the acquisition of a Connecticut-based dispensary during 2020. The Company also recorded measurement period adjustments associated with its 2019 acquisition of Fiorello Pharmaceuticals, Inc. of $1,000,000 which represented an increase in the value of goodwill and corresponding adjustment to current liabilities. The remainder of the adjustments to the Retail segment represent the finalization of purchase price allocations related to other 2019 acquisitions.</w:t>
      </w:r>
    </w:p>
    <w:p>
      <w:pPr>
        <w:spacing w:after="0" w:line="316"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As of December 31, 2020 and 2019, the Company held various equity interests in privately held cannabis companies, which had a fair value of $40,794,806 and $14,068,821 as of each period end, respectively. The Company measures its equity interests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2020:</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Convertible Notes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Receivable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7,533,000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6,535,821</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$14,068,821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Additions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525,000</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(169,818)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(169,818)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Conversion of notes receivable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(7,533,000)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7,533,000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26,370,803</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26,370,803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40,794,806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40,794,806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1720" w:type="dxa"/>
            <w:vAlign w:val="bottom"/>
            <w:gridSpan w:val="2"/>
          </w:tcPr>
          <w:p>
            <w:pPr>
              <w:ind w:left="1120"/>
              <w:spacing w:after="0"/>
              <w:rPr>
                <w:sz w:val="20"/>
                <w:szCs w:val="20"/>
                <w:color w:val="auto"/>
              </w:rPr>
            </w:pPr>
            <w:r>
              <w:rPr>
                <w:rFonts w:ascii="Arial" w:cs="Arial" w:eastAsia="Arial" w:hAnsi="Arial"/>
                <w:sz w:val="18"/>
                <w:szCs w:val="18"/>
                <w:color w:val="auto"/>
              </w:rPr>
              <w:t>F-31</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change in the Company’s investments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Receivable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(1,398,000)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(4,061,462)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(5,459,462)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(21,405,000)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6,535,821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14,068,821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During the year ended December 31, 2020, the Company recorded fair value adjustments on a privately held equity interests which resulted in the Company recording a gain of $32,349,189 in other income (expense) during the period then ended. In January 2021, the Company sold approximately half of its equity interest in a privately held entity for $18,112,500 in cash. As of December 31, 2020 and 2019, the fair value of the equity interest was $37,249,189 and $4,900,000, respectively.</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December 31, 2019, the Company held an investment in a convertible note which carried simple interest of 6.00% per annum. The fair value of this investment (which was considered a Level 3 investment) was $7,533,000, and was valued using the Binomial Lattice Model, which was based on a generalized binomial option pricing formula, using the following assumptions: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 – 2.46%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Equity Volatility *</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58% – 106%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 – 18%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70%</w:t>
            </w:r>
          </w:p>
        </w:tc>
      </w:tr>
    </w:tbl>
    <w:p>
      <w:pPr>
        <w:spacing w:after="0" w:line="93" w:lineRule="exact"/>
        <w:rPr>
          <w:sz w:val="20"/>
          <w:szCs w:val="20"/>
          <w:color w:val="auto"/>
        </w:rPr>
      </w:pPr>
    </w:p>
    <w:p>
      <w:pPr>
        <w:ind w:left="340" w:right="20" w:hanging="224"/>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Management estimated that market interest rates on similar borrowings without the conversion feature to be approximately 18% and used an implied volatility of 58% in measuring the fair value of the convertible note.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August 1, 2020, the note matured and was converted into 613,875 preferred units of the privately held Company. During the year ended</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December 31, 2020, and as a result of the conversion, the Company, with the assistance of an independent valuation firm, measured the fair value of the preferred shares which resulted in the Company recording a loss of ($6,503,711) in other income (expense). As of December 31, 2020, the fair value of the preferred shares (which are considered a Level 3 investment) was $1,029,289.</w:t>
      </w:r>
    </w:p>
    <w:p>
      <w:pPr>
        <w:spacing w:after="0" w:line="190"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For the years ended December 31, 2020, 2019 and 2018, the Company recorded fair value adjustments, net of $26,370,803, ($4,061,462) and $4,797,283, respectively, within other income (expense) on the consolidated statements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has operating leases for certain Rise, Essence and other retail dispensaries located throughout the US and processing and cultivation facilities in Connecticut, Florida, Illinois, Massachusetts, Maryland, Nevada, New York, New Jersey and Pennsylvania as well as corporate office space in Illinois and Nevada. Operating lease right-of-use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the years ended December 31, 2020, 2019 and 2018, the Company recorded $26,287,253, $7,291,154 and $1,901,000 respectively, in operating lease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operating leases as of and for the years ended December 31, 2020 and 2019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1"/>
              </w:rPr>
              <w:t>December 31, 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5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7.42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w w:val="93"/>
              </w:rPr>
              <w:t>12.0%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300" w:type="dxa"/>
            <w:vAlign w:val="bottom"/>
            <w:gridSpan w:val="9"/>
          </w:tcPr>
          <w:p>
            <w:pPr>
              <w:jc w:val="right"/>
              <w:ind w:right="720"/>
              <w:spacing w:after="0"/>
              <w:rPr>
                <w:sz w:val="20"/>
                <w:szCs w:val="20"/>
                <w:color w:val="auto"/>
              </w:rPr>
            </w:pPr>
            <w:r>
              <w:rPr>
                <w:rFonts w:ascii="Arial" w:cs="Arial" w:eastAsia="Arial" w:hAnsi="Arial"/>
                <w:sz w:val="18"/>
                <w:szCs w:val="18"/>
                <w:color w:val="auto"/>
                <w:w w:val="90"/>
              </w:rPr>
              <w:t>Maturities of lease liabilities for operating leases as of December 31, 2020 were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1"/>
        </w:trPr>
        <w:tc>
          <w:tcPr>
            <w:tcW w:w="5000" w:type="dxa"/>
            <w:vAlign w:val="bottom"/>
            <w:gridSpan w:val="4"/>
          </w:tcPr>
          <w:p>
            <w:pPr>
              <w:ind w:left="880"/>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Third Party</w:t>
            </w:r>
          </w:p>
        </w:tc>
        <w:tc>
          <w:tcPr>
            <w:tcW w:w="180" w:type="dxa"/>
            <w:vAlign w:val="bottom"/>
          </w:tcPr>
          <w:p>
            <w:pPr>
              <w:spacing w:after="0"/>
              <w:rPr>
                <w:sz w:val="24"/>
                <w:szCs w:val="24"/>
                <w:color w:val="auto"/>
              </w:rPr>
            </w:pPr>
          </w:p>
        </w:tc>
        <w:tc>
          <w:tcPr>
            <w:tcW w:w="122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6"/>
              </w:rPr>
              <w:t>Related Party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w:t>
            </w:r>
          </w:p>
        </w:tc>
      </w:tr>
      <w:tr>
        <w:trPr>
          <w:trHeight w:val="203"/>
        </w:trPr>
        <w:tc>
          <w:tcPr>
            <w:tcW w:w="88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1180" w:type="dxa"/>
            <w:vAlign w:val="bottom"/>
            <w:tcBorders>
              <w:top w:val="single" w:sz="8" w:color="auto"/>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24,009,579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1,307,183</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25,316,762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2022</w:t>
            </w:r>
          </w:p>
        </w:tc>
        <w:tc>
          <w:tcPr>
            <w:tcW w:w="1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25,487,123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1,337,130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26,824,253</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25,360,510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1,367,771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26,728,281</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2024</w:t>
            </w:r>
          </w:p>
        </w:tc>
        <w:tc>
          <w:tcPr>
            <w:tcW w:w="1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24,856,882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1,255,714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26,112,596</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22,834,433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1,182,489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24,016,922</w:t>
            </w:r>
          </w:p>
        </w:tc>
        <w:tc>
          <w:tcPr>
            <w:tcW w:w="12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2026 and Thereafter</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242,729,225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9,162,841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251,892,066</w:t>
            </w:r>
          </w:p>
        </w:tc>
        <w:tc>
          <w:tcPr>
            <w:tcW w:w="12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365,277,752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15,613,128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380,890,880</w:t>
            </w:r>
          </w:p>
        </w:tc>
        <w:tc>
          <w:tcPr>
            <w:tcW w:w="120" w:type="dxa"/>
            <w:vAlign w:val="bottom"/>
            <w:shd w:val="clear" w:color="auto" w:fill="CCEEFF"/>
          </w:tcPr>
          <w:p>
            <w:pPr>
              <w:spacing w:after="0"/>
              <w:rPr>
                <w:sz w:val="18"/>
                <w:szCs w:val="18"/>
                <w:color w:val="auto"/>
              </w:rPr>
            </w:pPr>
          </w:p>
        </w:tc>
      </w:tr>
      <w:tr>
        <w:trPr>
          <w:trHeight w:val="230"/>
        </w:trPr>
        <w:tc>
          <w:tcPr>
            <w:tcW w:w="5000" w:type="dxa"/>
            <w:vAlign w:val="bottom"/>
            <w:gridSpan w:val="4"/>
          </w:tcPr>
          <w:p>
            <w:pPr>
              <w:ind w:left="880"/>
              <w:spacing w:after="0"/>
              <w:rPr>
                <w:sz w:val="20"/>
                <w:szCs w:val="20"/>
                <w:color w:val="auto"/>
              </w:rPr>
            </w:pPr>
            <w:r>
              <w:rPr>
                <w:rFonts w:ascii="Arial" w:cs="Arial" w:eastAsia="Arial" w:hAnsi="Arial"/>
                <w:sz w:val="18"/>
                <w:szCs w:val="18"/>
                <w:color w:val="auto"/>
              </w:rPr>
              <w:t>Less: Interest</w:t>
            </w: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(223,015,394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(7,586,616</w:t>
            </w:r>
          </w:p>
        </w:tc>
        <w:tc>
          <w:tcPr>
            <w:tcW w:w="300" w:type="dxa"/>
            <w:vAlign w:val="bottom"/>
          </w:tcPr>
          <w:p>
            <w:pPr>
              <w:jc w:val="right"/>
              <w:ind w:right="221"/>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(230,602,010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142,262,358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8,026,512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150,288,870</w:t>
            </w:r>
          </w:p>
        </w:tc>
        <w:tc>
          <w:tcPr>
            <w:tcW w:w="12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Company entered into related party transactions with respect to its leasing arrangements for facilities in Florida, Illinois, Maryland, Massachusetts and Nevada.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Operating Leases </w:t>
      </w:r>
      <w:r>
        <w:rPr>
          <w:rFonts w:ascii="Arial" w:cs="Arial" w:eastAsia="Arial" w:hAnsi="Arial"/>
          <w:sz w:val="18"/>
          <w:szCs w:val="18"/>
          <w:color w:val="auto"/>
        </w:rPr>
        <w:t>(Continued)</w:t>
      </w:r>
    </w:p>
    <w:p>
      <w:pPr>
        <w:spacing w:after="0" w:line="13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Wendy Berger, a director of the Company, is a principal of WBS Equities, LLC, which is the Manager of Mosaic Real Estate, LLC, which owns the facilities leased by the Company. Additionally, Mosaic Real Estate, LLC is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 to 15 years. For the years ended December 31, 2020, 2019 and 2018, the Company recorded lease expense of $1,363,673, $1,230,350 and $515,064 respectively, associated with these leasing arrangements.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June 5, 2020, a wholly owned subsidiary of the Company purchased the building and building improvements of the Company’s dispensary located in Joliet, Illinois for $1,814,000 from Mosaic Real Estate Joliet, LLC. The transaction resulted in the termination of the Illinois related party leasing arrangement. For additional information see Note 11—Notes Payable.</w:t>
      </w:r>
    </w:p>
    <w:p>
      <w:pPr>
        <w:spacing w:after="0" w:line="184"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color w:val="auto"/>
        </w:rPr>
        <w:t>In connection with the Company’s acquisition of Integral Associates, the Company, through a subsidiary, leases property from Durango Teco Partners, LLC, which commenced on June 27, 2020 for an Essence retail</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store in Nevada. Durango Teco Partners, LLC is owned in part by Armenco Capital LLC, which is in turn owned in part by Alejandro Yemenidjian, a former director of the Company who resigned from the Board effective December 31, 2020. The lease commenced on June 27, 2020 and has a ten-year term. For year ended December 31, 2020, the Company recorded lease expense of $136,107 associated with this lease.</w:t>
      </w:r>
    </w:p>
    <w:p>
      <w:pPr>
        <w:spacing w:after="0" w:line="57"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Sales Lease Back Transactions</w:t>
      </w:r>
    </w:p>
    <w:p>
      <w:pPr>
        <w:spacing w:after="0" w:line="13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Toledo, Ohio Cultivation and Processing Facility</w:t>
      </w:r>
    </w:p>
    <w:p>
      <w:pPr>
        <w:spacing w:after="0" w:line="117" w:lineRule="exact"/>
        <w:rPr>
          <w:rFonts w:ascii="Arial" w:cs="Arial" w:eastAsia="Arial" w:hAnsi="Arial"/>
          <w:sz w:val="18"/>
          <w:szCs w:val="18"/>
          <w:i w:val="1"/>
          <w:iCs w:val="1"/>
          <w:color w:val="auto"/>
        </w:rPr>
      </w:pPr>
    </w:p>
    <w:p>
      <w:pPr>
        <w:ind w:left="1100" w:right="2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On January 31, 2020, the Company closed on a sale and lease back transaction to sell its Toledo, Ohio processing facility to IIP. Under a long-term agreement, the Company has leased back the facility and continues to operate and manage it. The purchase price for the property was $2,900,000, excluding transaction costs.</w:t>
      </w:r>
    </w:p>
    <w:p>
      <w:pPr>
        <w:spacing w:after="0" w:line="75" w:lineRule="exact"/>
        <w:rPr>
          <w:rFonts w:ascii="Arial" w:cs="Arial" w:eastAsia="Arial" w:hAnsi="Arial"/>
          <w:sz w:val="18"/>
          <w:szCs w:val="18"/>
          <w:i w:val="1"/>
          <w:iCs w:val="1"/>
          <w:color w:val="auto"/>
        </w:rPr>
      </w:pPr>
    </w:p>
    <w:p>
      <w:pPr>
        <w:ind w:left="1100" w:right="6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On October 1, 2020, the Company and IIP agreed to amend the lease on the Toledo, Ohio processing facility. Under the amendment, IIP will provide an additional $25,000,000 in funding to be used for the construction of a cannabis cultivation facility. Assuming full payment of the additional funding, IIP’s total investment in the property pursuant to the sale and leaseback transaction and related amendment will be $32,200,000. The amended lease has a term of 20 years and was recorded as an operating lease which resulted in a right of use asset and related lease liability of $28,134,327.</w:t>
      </w:r>
    </w:p>
    <w:p>
      <w:pPr>
        <w:spacing w:after="0" w:line="93" w:lineRule="exact"/>
        <w:rPr>
          <w:rFonts w:ascii="Arial" w:cs="Arial" w:eastAsia="Arial" w:hAnsi="Arial"/>
          <w:sz w:val="18"/>
          <w:szCs w:val="18"/>
          <w:i w:val="1"/>
          <w:iCs w:val="1"/>
          <w:color w:val="auto"/>
        </w:rPr>
      </w:pPr>
    </w:p>
    <w:p>
      <w:pPr>
        <w:ind w:left="1080" w:hanging="532"/>
        <w:spacing w:after="0"/>
        <w:tabs>
          <w:tab w:leader="none" w:pos="1080" w:val="left"/>
        </w:tabs>
        <w:numPr>
          <w:ilvl w:val="1"/>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Oglesby Cultivation and Processing Facility</w:t>
      </w:r>
    </w:p>
    <w:p>
      <w:pPr>
        <w:spacing w:after="0" w:line="117" w:lineRule="exact"/>
        <w:rPr>
          <w:rFonts w:ascii="Arial" w:cs="Arial" w:eastAsia="Arial" w:hAnsi="Arial"/>
          <w:sz w:val="18"/>
          <w:szCs w:val="18"/>
          <w:i w:val="1"/>
          <w:iCs w:val="1"/>
          <w:color w:val="auto"/>
        </w:rPr>
      </w:pPr>
    </w:p>
    <w:p>
      <w:pPr>
        <w:ind w:left="1100" w:right="6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On March 6, 2020, the Company closed on a sale and lease back transaction to sell its Oglesby, Illinois cultivation and processing facility to IIP. Under a long-term agreement, the Company has leased back the facility and continues to operate and manage it. The purchase price for the property was $9,000,000, excluding transaction costs. The Company is making certain improvements to the property that will significantly enhance production capacity, for which IIP has agreed to provide reimbursement of up to $41,000,000. Assuming full reimbursement for such improvements, IIP’s total investment in the property will be $50,000,000. The lease has a term of 16 years and was recorded as an operating lease which resulted in a right of use asset and related lease liability of $42,235,807.</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Lease Back Transactions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Danville Cultivation and Processing Facility</w:t>
      </w:r>
    </w:p>
    <w:p>
      <w:pPr>
        <w:spacing w:after="0" w:line="117" w:lineRule="exact"/>
        <w:rPr>
          <w:rFonts w:ascii="Arial" w:cs="Arial" w:eastAsia="Arial" w:hAnsi="Arial"/>
          <w:sz w:val="18"/>
          <w:szCs w:val="18"/>
          <w:i w:val="1"/>
          <w:iCs w:val="1"/>
          <w:color w:val="auto"/>
        </w:rPr>
      </w:pPr>
    </w:p>
    <w:p>
      <w:pPr>
        <w:ind w:left="110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On November 12, 2019, the Company closed on a sale and lease back transaction to sell its Danville, Pennsylvania cultivation and processing facility to IIP. Under a long-term agreement, the Company will lease back the facility and continue to operate and manage it. The purchase price for the property was $20,300,000, excluding transaction costs. The Company is also expected to make certain improvements to the property that will significantly enhance production capacity, for which IIP has agreed to provide reimbursement of up to $19,300,000. Assuming full reimbursement for such improvements, IIP’s total investment in the property will be $39,600,000. The lease was recorded as an operating lease and resulted in a right of use asset and related lease liability of $28,927,235.</w:t>
      </w:r>
    </w:p>
    <w:p>
      <w:pPr>
        <w:spacing w:after="0" w:line="32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and 2019, notes payable consisted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In connection with an acquisition completed in 2017, the Company is required to make quarterly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charitable contributions of $50,000 through October 2024. The net present value of these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required payments has been recorded as a liability with an interest rate of 2.17%.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717,430</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40" w:type="dxa"/>
            <w:vAlign w:val="bottom"/>
          </w:tcPr>
          <w:p>
            <w:pPr>
              <w:spacing w:after="0" w:line="201" w:lineRule="exact"/>
              <w:rPr>
                <w:sz w:val="20"/>
                <w:szCs w:val="20"/>
                <w:color w:val="auto"/>
              </w:rPr>
            </w:pPr>
            <w:r>
              <w:rPr>
                <w:rFonts w:ascii="Arial" w:cs="Arial" w:eastAsia="Arial" w:hAnsi="Arial"/>
                <w:sz w:val="18"/>
                <w:szCs w:val="18"/>
                <w:color w:val="auto"/>
                <w:w w:val="96"/>
              </w:rPr>
              <w:t>Private placement debt dated May 22, 2019, in the original amount of $105,466,429 with 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w w:val="96"/>
              </w:rPr>
              <w:t>interest rate of 12.00%, matures on May 22, 2023. The debt was issued at a discount,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w w:val="92"/>
              </w:rPr>
              <w:t>carrying value of which is $10,511,335 and $15,090,517 as of December 31, 2020 and 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94,955,094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90,375,912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Rise Joliet mortgage dated June 5, 2020, in the original amount of $1,814,000 with an interest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rate of 5.00%, matures on June 5, 2035. The debt was issued at a discount, the carrying value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which is $174,222, and is presented net of principal payments of $40,806 as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1,598,972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40" w:type="dxa"/>
            <w:vAlign w:val="bottom"/>
          </w:tcPr>
          <w:p>
            <w:pPr>
              <w:spacing w:after="0" w:line="201" w:lineRule="exact"/>
              <w:rPr>
                <w:sz w:val="20"/>
                <w:szCs w:val="20"/>
                <w:color w:val="auto"/>
              </w:rPr>
            </w:pPr>
            <w:r>
              <w:rPr>
                <w:rFonts w:ascii="Arial" w:cs="Arial" w:eastAsia="Arial" w:hAnsi="Arial"/>
                <w:sz w:val="18"/>
                <w:szCs w:val="18"/>
                <w:color w:val="auto"/>
                <w:w w:val="95"/>
              </w:rPr>
              <w:t>Rise Lakewood mortgage dated August 20, 2020, in the original amount of $833,000 with an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w w:val="90"/>
              </w:rPr>
              <w:t>interest rate of 7.25%, matures on August 20, 2025, and is presented net of principal payments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of $9,517 as of December 31, 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823,483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Rise Mundelein mortgage dated December 6, 2020, in the original amount of $960,000 with an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of 6.95%, matures on December 06, 2025.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99,054,979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91,346,869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(341,983)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(206,675)</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98,712,996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91,140,194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ind w:left="4460"/>
              <w:spacing w:after="0"/>
              <w:rPr>
                <w:sz w:val="20"/>
                <w:szCs w:val="20"/>
                <w:color w:val="auto"/>
              </w:rPr>
            </w:pPr>
            <w:r>
              <w:rPr>
                <w:rFonts w:ascii="Arial" w:cs="Arial" w:eastAsia="Arial" w:hAnsi="Arial"/>
                <w:sz w:val="18"/>
                <w:szCs w:val="18"/>
                <w:color w:val="auto"/>
              </w:rPr>
              <w:t>F-35</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Bridge Financing</w:t>
      </w:r>
    </w:p>
    <w:p>
      <w:pPr>
        <w:spacing w:after="0" w:line="121"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color w:val="auto"/>
        </w:rPr>
        <w:t>On April 12, 2019, the Company completed a private placement financing of $12,500,000 in six-month senior secured promissory notes (the “Bridge Notes”). As part of the transaction, the Company issued 218,964 warrants to the private lenders allowing the holder to purchase Subordinate Voting Shares at an exercise price of C$22.90. The warrants may be exercised anytime during the first 42 months after the closing of the transaction. On the date of issuance, the Company recorded a warrant liability, and debt discount of $2,291,189 which was measured at fair value using a Monte Carlo simulation. See Note 12—Warrants for details.</w:t>
      </w:r>
    </w:p>
    <w:p>
      <w:pPr>
        <w:spacing w:after="0" w:line="80"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color w:val="auto"/>
        </w:rPr>
        <w:t>On May 22, 2019, the Company repaid the full principal amount and accrued interest of $12,645,833 for the Bridge Notes. The Company recognized $2,291,189 in interest expense for accretion of the debt discount upon repayment of the April 12, 2019 Bridge Notes.</w:t>
      </w:r>
    </w:p>
    <w:p>
      <w:pPr>
        <w:spacing w:after="0" w:line="2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Financing</w:t>
      </w:r>
    </w:p>
    <w:p>
      <w:pPr>
        <w:spacing w:after="0" w:line="121" w:lineRule="exact"/>
        <w:rPr>
          <w:sz w:val="20"/>
          <w:szCs w:val="20"/>
          <w:color w:val="auto"/>
        </w:rPr>
      </w:pPr>
    </w:p>
    <w:p>
      <w:pPr>
        <w:ind w:left="560" w:right="140"/>
        <w:spacing w:after="0" w:line="254" w:lineRule="auto"/>
        <w:rPr>
          <w:sz w:val="20"/>
          <w:szCs w:val="20"/>
          <w:color w:val="auto"/>
        </w:rPr>
      </w:pPr>
      <w:r>
        <w:rPr>
          <w:rFonts w:ascii="Arial" w:cs="Arial" w:eastAsia="Arial" w:hAnsi="Arial"/>
          <w:sz w:val="18"/>
          <w:szCs w:val="18"/>
          <w:color w:val="auto"/>
        </w:rPr>
        <w:t>On May 22, 2019, the Company closed a $105,66,429 senior secured non-brokered private placement financing (the “Private Placement Financing”) through the issuance of three-year senior secured notes pursuant to the Note Purchase Agreement (the “Note Purchase Agreement”). The financing generated funds for general working capital purposes and various growth initiatives and to retire the Company’s existing debt, including the April 12, 2019 Bridge Notes. The notes initially accrued interest at an annual rate of 12.16%, and were subsequently amended on November 9, 2019 to 12.0%, (see additional discussion under the heading “Modification of Private Placement Financing” below). Interest on the note is payable on a quarterly basis with the principal due at the maturity date. The Note Purchase Agreement provided the Company the sole discretion to extend the financing an additional twelve months (see additional discussion under the heading “Extension of Private Placement Financing” below).</w:t>
      </w:r>
    </w:p>
    <w:p>
      <w:pPr>
        <w:spacing w:after="0" w:line="84"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As part of the transactions, the Company issued 1,822,771 warrants to the private lenders which allow the holder to purchase Subordinate Voting Shares at an exercise price of C$19.39. The warrants may be exercised at any time during the first 60 months after the closing of the transaction. Upon issuance, the Company recorded a warrant liability, and debt discount of $16,202,934 which was measured at fair value using a Monte Carlo simulation. See Note 12—Warrants for details.</w:t>
      </w:r>
    </w:p>
    <w:p>
      <w:pPr>
        <w:spacing w:after="0" w:line="79"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color w:val="auto"/>
        </w:rPr>
        <w:t>In addition to the value of warrants, the debt discount included $228,761 of professional fees, and transaction related fees of $430,704 and is being accreted to interest expense over the term of the debt which approximates the effective interest method. As of December 31, 2020, and 2019, the carrying value of the debt discount, net of amortization was $8,604,784 and $12,885,643, respectively.</w:t>
      </w:r>
    </w:p>
    <w:p>
      <w:pPr>
        <w:spacing w:after="0" w:line="57"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 notes contain certain covenants which require the Company to maintain (on a daily basis) unrestricted cash and cash equivalents in an amount greater than or equal to the amount of interest that is scheduled to become due in the next 365-days and to not permit the ratio of net debt to stockholders’ equity to exceed 0.6 to 1.0 as of the last day of any quarter. In addition, beginning June 30, 2020, an additional covenant became effective which requires the Company to maintain a debt to EBITDA ratio of 4.5 to 1.0 as of the last day of each quarter. As of December 31, 2020 and 2019, the Company was in compliance with all covenants.</w:t>
      </w:r>
    </w:p>
    <w:p>
      <w:pPr>
        <w:spacing w:after="0" w:line="8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Private Placement Financing</w:t>
      </w:r>
    </w:p>
    <w:p>
      <w:pPr>
        <w:spacing w:after="0" w:line="121"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On November 9, 2019, the Company amended the May 22, 2019 Private Placement Financing to allow for additional financing through sales lease back arrangements and to clarify certain aspects of the financing agreement with the private lenders. Specifically, the calculation of the effective interest rate on the note was clarified to refer to a 365-day calendar year rather than LIBOR-based 360-day year. The result of this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of Private Placement Financing </w:t>
      </w:r>
      <w:r>
        <w:rPr>
          <w:rFonts w:ascii="Arial" w:cs="Arial" w:eastAsia="Arial" w:hAnsi="Arial"/>
          <w:sz w:val="18"/>
          <w:szCs w:val="18"/>
          <w:color w:val="auto"/>
        </w:rPr>
        <w:t>(Continued)</w:t>
      </w:r>
    </w:p>
    <w:p>
      <w:pPr>
        <w:spacing w:after="0" w:line="135"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change was a reduction in the effective interest rate by approximately 16 basis points (from 12.16% to 12.0%). The Amendment also reduced the borrowing capacity from $150,000,000 to $130,000,000, which allows the Company to borrow an additional $24,533,571 over a period of 12 months from the closing date of the Note Purchase Agreement.</w:t>
      </w:r>
    </w:p>
    <w:p>
      <w:pPr>
        <w:spacing w:after="0" w:line="76" w:lineRule="exact"/>
        <w:rPr>
          <w:sz w:val="20"/>
          <w:szCs w:val="20"/>
          <w:color w:val="auto"/>
        </w:rPr>
      </w:pPr>
    </w:p>
    <w:p>
      <w:pPr>
        <w:ind w:left="560" w:right="20"/>
        <w:spacing w:after="0" w:line="279" w:lineRule="auto"/>
        <w:rPr>
          <w:sz w:val="20"/>
          <w:szCs w:val="20"/>
          <w:color w:val="auto"/>
        </w:rPr>
      </w:pPr>
      <w:r>
        <w:rPr>
          <w:rFonts w:ascii="Arial" w:cs="Arial" w:eastAsia="Arial" w:hAnsi="Arial"/>
          <w:sz w:val="17"/>
          <w:szCs w:val="17"/>
          <w:color w:val="auto"/>
        </w:rPr>
        <w:t>As part of the amendment, the Company issued 365,076 warrants to the private lenders allowing the holder to purchase Subordinate Voting Shares at an exercise price of C$12.04. The warrants may be exercised anytime during the first 60 months following the close of the transaction. The Company evaluated the terms of the November 9, 2019 amendment and concluded that the transaction resulted in a debt modification requiring the Company to recognize the value of the warrants as additional debt discount.</w:t>
      </w:r>
    </w:p>
    <w:p>
      <w:pPr>
        <w:spacing w:after="0" w:line="63"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Upon issuance, the Company recorded an additional amount to warrant liability, and debt discount of $2,304,874 which was measured at fair value using a Monte Carlo simulation. See Note 12 – Warrants for details. The Company did not incur any other fees related to the amendment. As of December 31, 2020 and 2019, the carrying value of the debt discount, net of amortization was $1,450,591 and $2,204,874, respectively.</w:t>
      </w:r>
    </w:p>
    <w:p>
      <w:pPr>
        <w:spacing w:after="0" w:line="50"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Private Placement Financing</w:t>
      </w:r>
    </w:p>
    <w:p>
      <w:pPr>
        <w:spacing w:after="0" w:line="121"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On May 21, 2020, the Company exercised its option to extend the maturity date of the Private Placement Financing pursuant to the Note Purchase Agreement, dated May 22, 2019, as amended for an additional year. Following this exercise, which was in the Company’s sole discretion under the Note Purchase Agreement, the new maturity date for the Notes is May 22, 2023. As part of the transaction, the Company issued an additional 84,924 warrants to the private lenders allowing the holder to purchase Subordinate Voting Shares at an exercise price of C$14.03. Upon issuance, the Company recorded a warrant liability, and debt discount of $572,386 which was measured at fair value using a Monte Carlo simulation. See Note 12—Warrants for details. As of December 31, 2020, the carrying value of the debt discount, net of amortization was $455,960.</w:t>
      </w:r>
    </w:p>
    <w:p>
      <w:pPr>
        <w:spacing w:after="0" w:line="66"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Joliet, Illinois Dispensary</w:t>
      </w:r>
    </w:p>
    <w:p>
      <w:pPr>
        <w:spacing w:after="0" w:line="121" w:lineRule="exact"/>
        <w:rPr>
          <w:sz w:val="20"/>
          <w:szCs w:val="20"/>
          <w:color w:val="auto"/>
        </w:rPr>
      </w:pPr>
    </w:p>
    <w:p>
      <w:pPr>
        <w:ind w:left="560" w:right="60"/>
        <w:spacing w:after="0" w:line="275" w:lineRule="auto"/>
        <w:rPr>
          <w:sz w:val="20"/>
          <w:szCs w:val="20"/>
          <w:color w:val="auto"/>
        </w:rPr>
      </w:pPr>
      <w:r>
        <w:rPr>
          <w:rFonts w:ascii="Arial" w:cs="Arial" w:eastAsia="Arial" w:hAnsi="Arial"/>
          <w:sz w:val="17"/>
          <w:szCs w:val="17"/>
          <w:color w:val="auto"/>
        </w:rPr>
        <w:t>On June 5, 2020, the Company closed on a secured promissory note (the “Joliet Mortgage”) of $1,814,000. The Joliet Mortgage bears interest of 5% per annum and matures on June 5, 2035. The Joliet Mortgage provided by the lender was used to purchase the building and building improvements of one of the Company’s dispensaries located in Joliet, Illinois that the Company previously leased from Mosaic Real Estate Joliet, LLC, a related party. As part of the transaction, the Company issued 35,000 warrants valued at $181,272 using a Black Scholes Option Pricing model which were accounted for as equity and recorded as a discount on the Mortgage.</w:t>
      </w:r>
    </w:p>
    <w:p>
      <w:pPr>
        <w:spacing w:after="0" w:line="78"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Lakewood, Ohio Dispensary</w:t>
      </w:r>
    </w:p>
    <w:p>
      <w:pPr>
        <w:spacing w:after="0" w:line="121" w:lineRule="exact"/>
        <w:rPr>
          <w:sz w:val="20"/>
          <w:szCs w:val="20"/>
          <w:color w:val="auto"/>
        </w:rPr>
      </w:pPr>
    </w:p>
    <w:p>
      <w:pPr>
        <w:ind w:left="560" w:right="40"/>
        <w:spacing w:after="0" w:line="311" w:lineRule="auto"/>
        <w:rPr>
          <w:sz w:val="20"/>
          <w:szCs w:val="20"/>
          <w:color w:val="auto"/>
        </w:rPr>
      </w:pPr>
      <w:r>
        <w:rPr>
          <w:rFonts w:ascii="Arial" w:cs="Arial" w:eastAsia="Arial" w:hAnsi="Arial"/>
          <w:sz w:val="16"/>
          <w:szCs w:val="16"/>
          <w:color w:val="auto"/>
        </w:rPr>
        <w:t>On August 20, 2020, the Company closed on a secured promissory note (the “Lakewood Mortgage”) of $833,000. The Lakewood Mortgage bears interest of 7.25% per annum and matures on August 20, 2025. The Lakewood Mortgage provided by the lender was used to purchase the land, building and building improvements of one of the Company’s dispensaries located in Lakewood, Ohio that the Company previously leased.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Mortgage on Mundelein, Illinois Property</w:t>
      </w:r>
    </w:p>
    <w:p>
      <w:pPr>
        <w:spacing w:after="0" w:line="121"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color w:val="auto"/>
        </w:rPr>
        <w:t>On December 6, 2020, the Company closed on a secured promissory note (the “Mundelein Mortgage”) of $960,000. The Mundelein Mortgage bears interest of 6.95% per annum and matures on December 6, 2025. The Mundelein Mortgage provided by the lender was used to acquire real estate located in Mundelein, Illinois adjacent to our existing retail dispensary. The Company anticipates using the additional space to expand current operations at the existing Mundelein dispensary.</w:t>
      </w:r>
    </w:p>
    <w:p>
      <w:pPr>
        <w:spacing w:after="0" w:line="88"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color w:val="auto"/>
        </w:rPr>
        <w:t>The private placement debt and related warrant liability are held by related parties of the Company as well as unrelated third parties at a percentage of approximately 1% and 99%. The related parties consist of Benjamin Kovler, the Chief Executive Officer and a director of the Corporation (through KP Capital, LLC); Andrew Grossman, the Executive Vice President of Capital Markets (through AG Funding Group, LLC) and Anthony Georgiadis, the Chief Financial Officer and a director of the Corporation (through Three One Four Holdings, LLC and ABG, LLC) all of whom participated in the private placement financing.</w:t>
      </w:r>
    </w:p>
    <w:p>
      <w:pPr>
        <w:spacing w:after="0" w:line="33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warrants outstanding as of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Weighted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Weighted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Weighted</w:t>
            </w:r>
          </w:p>
        </w:tc>
      </w:tr>
      <w:tr>
        <w:trPr>
          <w:trHeight w:val="148"/>
        </w:trPr>
        <w:tc>
          <w:tcPr>
            <w:tcW w:w="5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52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2"/>
                <w:szCs w:val="12"/>
                <w:color w:val="auto"/>
              </w:rPr>
            </w:pP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89"/>
              </w:rPr>
              <w:t>Exercise Price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2"/>
              </w:rPr>
              <w:t>Contractual</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1"/>
              </w:rPr>
              <w:t>Exercise 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r>
      <w:tr>
        <w:trPr>
          <w:trHeight w:val="167"/>
        </w:trPr>
        <w:tc>
          <w:tcPr>
            <w:tcW w:w="52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of Shares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(C$)</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rPr>
              <w:t>Life</w:t>
            </w:r>
          </w:p>
        </w:tc>
        <w:tc>
          <w:tcPr>
            <w:tcW w:w="660" w:type="dxa"/>
            <w:vAlign w:val="bottom"/>
            <w:gridSpan w:val="2"/>
          </w:tcPr>
          <w:p>
            <w:pPr>
              <w:spacing w:after="0"/>
              <w:rPr>
                <w:sz w:val="20"/>
                <w:szCs w:val="20"/>
                <w:color w:val="auto"/>
              </w:rPr>
            </w:pPr>
            <w:r>
              <w:rPr>
                <w:rFonts w:ascii="Arial" w:cs="Arial" w:eastAsia="Arial" w:hAnsi="Arial"/>
                <w:sz w:val="14"/>
                <w:szCs w:val="14"/>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(USD)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r>
      <w:tr>
        <w:trPr>
          <w:trHeight w:val="142"/>
        </w:trPr>
        <w:tc>
          <w:tcPr>
            <w:tcW w:w="5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Liability Classified</w:t>
            </w: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Equity Classified</w:t>
            </w: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January 1, 2020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2,406,811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C$</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Additional Modification Warrants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84,924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14.03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Dispensary Mortgage Warrants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Warrants Exercised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12.42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2,485,794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95"/>
              </w:rPr>
              <w:t>C</w:t>
            </w:r>
            <w:r>
              <w:rPr>
                <w:rFonts w:ascii="Arial" w:cs="Arial" w:eastAsia="Arial" w:hAnsi="Arial"/>
                <w:sz w:val="18"/>
                <w:szCs w:val="18"/>
                <w:color w:val="auto"/>
                <w:w w:val="95"/>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45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0"/>
        </w:trPr>
        <w:tc>
          <w:tcPr>
            <w:tcW w:w="5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of warrants outstanding as of 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color w:val="auto"/>
                <w:w w:val="94"/>
              </w:rPr>
              <w:t>Weighted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Weighted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Weighted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Weighted</w:t>
            </w:r>
          </w:p>
        </w:tc>
      </w:tr>
      <w:tr>
        <w:trPr>
          <w:trHeight w:val="148"/>
        </w:trPr>
        <w:tc>
          <w:tcPr>
            <w:tcW w:w="5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1"/>
              </w:rPr>
              <w:t>Average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Average</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50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Number</w:t>
            </w:r>
          </w:p>
        </w:tc>
        <w:tc>
          <w:tcPr>
            <w:tcW w:w="280" w:type="dxa"/>
            <w:vAlign w:val="bottom"/>
          </w:tcPr>
          <w:p>
            <w:pPr>
              <w:spacing w:after="0"/>
              <w:rPr>
                <w:sz w:val="12"/>
                <w:szCs w:val="12"/>
                <w:color w:val="auto"/>
              </w:rPr>
            </w:pPr>
          </w:p>
        </w:tc>
        <w:tc>
          <w:tcPr>
            <w:tcW w:w="11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9"/>
              </w:rPr>
              <w:t>Exercise Price</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2"/>
              </w:rPr>
              <w:t>Contractual</w:t>
            </w:r>
          </w:p>
        </w:tc>
        <w:tc>
          <w:tcPr>
            <w:tcW w:w="540" w:type="dxa"/>
            <w:vAlign w:val="bottom"/>
          </w:tcPr>
          <w:p>
            <w:pPr>
              <w:ind w:left="40"/>
              <w:spacing w:after="0" w:line="149" w:lineRule="exact"/>
              <w:rPr>
                <w:sz w:val="20"/>
                <w:szCs w:val="20"/>
                <w:color w:val="auto"/>
              </w:rPr>
            </w:pPr>
            <w:r>
              <w:rPr>
                <w:rFonts w:ascii="Arial" w:cs="Arial" w:eastAsia="Arial" w:hAnsi="Arial"/>
                <w:sz w:val="14"/>
                <w:szCs w:val="14"/>
                <w:color w:val="auto"/>
                <w:w w:val="96"/>
              </w:rPr>
              <w:t>Number</w:t>
            </w:r>
          </w:p>
        </w:tc>
        <w:tc>
          <w:tcPr>
            <w:tcW w:w="3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Exercise 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r>
      <w:tr>
        <w:trPr>
          <w:trHeight w:val="167"/>
        </w:trPr>
        <w:tc>
          <w:tcPr>
            <w:tcW w:w="500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of Shares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(C$)</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rPr>
              <w:t>Life</w:t>
            </w:r>
          </w:p>
        </w:tc>
        <w:tc>
          <w:tcPr>
            <w:tcW w:w="540" w:type="dxa"/>
            <w:vAlign w:val="bottom"/>
          </w:tcPr>
          <w:p>
            <w:pPr>
              <w:spacing w:after="0"/>
              <w:rPr>
                <w:sz w:val="20"/>
                <w:szCs w:val="20"/>
                <w:color w:val="auto"/>
              </w:rPr>
            </w:pPr>
            <w:r>
              <w:rPr>
                <w:rFonts w:ascii="Arial" w:cs="Arial" w:eastAsia="Arial" w:hAnsi="Arial"/>
                <w:sz w:val="14"/>
                <w:szCs w:val="14"/>
                <w:color w:val="auto"/>
                <w:w w:val="86"/>
              </w:rPr>
              <w:t>of 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rPr>
              <w:t>(USD)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r>
      <w:tr>
        <w:trPr>
          <w:trHeight w:val="142"/>
        </w:trPr>
        <w:tc>
          <w:tcPr>
            <w:tcW w:w="5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Liability Classified</w:t>
            </w:r>
          </w:p>
        </w:tc>
        <w:tc>
          <w:tcPr>
            <w:tcW w:w="68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Equity Classified</w:t>
            </w: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January 1, 2019</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5"/>
              </w:rPr>
              <w:t>C$</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Bridge Financing Warrants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218,964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22.90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Private Placement Financing Warrants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1,822,771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Modification Warrants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365,076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12.04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2,406,811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5"/>
              </w:rPr>
              <w:t>C</w:t>
            </w:r>
            <w:r>
              <w:rPr>
                <w:rFonts w:ascii="Arial" w:cs="Arial" w:eastAsia="Arial" w:hAnsi="Arial"/>
                <w:sz w:val="18"/>
                <w:szCs w:val="18"/>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5000" w:type="dxa"/>
            <w:vAlign w:val="bottom"/>
          </w:tcPr>
          <w:p>
            <w:pPr>
              <w:spacing w:after="0"/>
              <w:rPr>
                <w:sz w:val="24"/>
                <w:szCs w:val="24"/>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F-38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liability classified warrants at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Warrant Liability</w:t>
            </w:r>
          </w:p>
        </w:tc>
        <w:tc>
          <w:tcPr>
            <w:tcW w:w="1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Strike</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Warrants</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3"/>
                <w:szCs w:val="13"/>
                <w:color w:val="auto"/>
              </w:rPr>
            </w:pPr>
          </w:p>
        </w:tc>
        <w:tc>
          <w:tcPr>
            <w:tcW w:w="84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C$ 22.90</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2,544,500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1,385,400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36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C$ 19.39</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1,822,771</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28,756,500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12,189,169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Warrants</w:t>
            </w:r>
          </w:p>
        </w:tc>
        <w:tc>
          <w:tcPr>
            <w:tcW w:w="236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0"/>
              </w:rPr>
              <w:t>C$ 12.04</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360,256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Additional Modification Warrants</w:t>
            </w:r>
          </w:p>
        </w:tc>
        <w:tc>
          <w:tcPr>
            <w:tcW w:w="12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C</w:t>
            </w:r>
            <w:r>
              <w:rPr>
                <w:rFonts w:ascii="Arial" w:cs="Arial" w:eastAsia="Arial" w:hAnsi="Arial"/>
                <w:sz w:val="18"/>
                <w:szCs w:val="18"/>
                <w:color w:val="auto"/>
                <w:w w:val="90"/>
              </w:rPr>
              <w:t>$ 14.03</w:t>
            </w: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9"/>
              </w:rPr>
              <w:t>2,485,794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39,454,000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15,879,843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tabs>
          <w:tab w:leader="none" w:pos="1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Note Purchase Agreement Warrants</w:t>
      </w:r>
    </w:p>
    <w:p>
      <w:pPr>
        <w:spacing w:after="0" w:line="121" w:lineRule="exact"/>
        <w:rPr>
          <w:sz w:val="20"/>
          <w:szCs w:val="20"/>
          <w:color w:val="auto"/>
        </w:rPr>
      </w:pPr>
    </w:p>
    <w:p>
      <w:pPr>
        <w:ind w:left="1100"/>
        <w:spacing w:after="0" w:line="291" w:lineRule="auto"/>
        <w:rPr>
          <w:sz w:val="20"/>
          <w:szCs w:val="20"/>
          <w:color w:val="auto"/>
        </w:rPr>
      </w:pPr>
      <w:r>
        <w:rPr>
          <w:rFonts w:ascii="Arial" w:cs="Arial" w:eastAsia="Arial" w:hAnsi="Arial"/>
          <w:sz w:val="16"/>
          <w:szCs w:val="16"/>
          <w:color w:val="auto"/>
        </w:rPr>
        <w:t>During the years ended December 31, 2020 and 2019, the Company issued warrants associated with each closing and amendment of the Bridge Notes and related Private Placement Financing under the Note Purchase Agreement (as amended) for a total of 2,491,735 warrants (collectively the “Note Purchase Agreement Warrants”) of which 2,485,794 were outstanding as of December 31, 2020. The exercise price of these warrants is denominated in Canadian dollars whereas the Company’s functional currency is USD. As such, upon issuance and at each reporting date, the Company measures the fair value of the warrants using a Monte Carlo Simulation model. For the year ended December 31, 2020 and 2019, the Company recorded a loss of $23,001,771 and a gain of $4,159,687, respectively, on the change in the fair value of the warrant liability within other income (expense) on the consolidated statements of operations.</w:t>
      </w:r>
    </w:p>
    <w:p>
      <w:pPr>
        <w:spacing w:after="0" w:line="58"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2800" w:type="dxa"/>
            <w:vAlign w:val="bottom"/>
          </w:tcPr>
          <w:p>
            <w:pPr>
              <w:spacing w:after="0"/>
              <w:rPr>
                <w:sz w:val="14"/>
                <w:szCs w:val="14"/>
                <w:color w:val="auto"/>
              </w:rPr>
            </w:pPr>
          </w:p>
        </w:tc>
        <w:tc>
          <w:tcPr>
            <w:tcW w:w="21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4500" w:type="dxa"/>
            <w:vAlign w:val="bottom"/>
            <w:gridSpan w:val="2"/>
          </w:tcPr>
          <w:p>
            <w:pPr>
              <w:jc w:val="right"/>
              <w:ind w:right="615"/>
              <w:spacing w:after="0" w:line="158"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5"/>
                <w:szCs w:val="15"/>
                <w:color w:val="auto"/>
              </w:rPr>
            </w:pPr>
          </w:p>
        </w:tc>
        <w:tc>
          <w:tcPr>
            <w:tcW w:w="1920" w:type="dxa"/>
            <w:vAlign w:val="bottom"/>
          </w:tcPr>
          <w:p>
            <w:pPr>
              <w:ind w:left="820"/>
              <w:spacing w:after="0" w:line="158"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28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72.19% – 79.10%</w:t>
            </w:r>
          </w:p>
        </w:tc>
        <w:tc>
          <w:tcPr>
            <w:tcW w:w="4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88"/>
              </w:rPr>
              <w:t>117.43% – 123.64%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2800" w:type="dxa"/>
            <w:vAlign w:val="bottom"/>
          </w:tcPr>
          <w:p>
            <w:pPr>
              <w:spacing w:after="0"/>
              <w:rPr>
                <w:sz w:val="18"/>
                <w:szCs w:val="18"/>
                <w:color w:val="auto"/>
              </w:rPr>
            </w:pPr>
          </w:p>
        </w:tc>
        <w:tc>
          <w:tcPr>
            <w:tcW w:w="2100" w:type="dxa"/>
            <w:vAlign w:val="bottom"/>
            <w:gridSpan w:val="2"/>
          </w:tcPr>
          <w:p>
            <w:pPr>
              <w:jc w:val="right"/>
              <w:ind w:right="400"/>
              <w:spacing w:after="0"/>
              <w:rPr>
                <w:sz w:val="20"/>
                <w:szCs w:val="20"/>
                <w:color w:val="auto"/>
              </w:rPr>
            </w:pPr>
            <w:r>
              <w:rPr>
                <w:rFonts w:ascii="Arial" w:cs="Arial" w:eastAsia="Arial" w:hAnsi="Arial"/>
                <w:sz w:val="18"/>
                <w:szCs w:val="18"/>
                <w:color w:val="auto"/>
              </w:rPr>
              <w:t>1.78 – 4.39 years</w:t>
            </w:r>
          </w:p>
        </w:tc>
        <w:tc>
          <w:tcPr>
            <w:tcW w:w="2000" w:type="dxa"/>
            <w:vAlign w:val="bottom"/>
            <w:gridSpan w:val="2"/>
          </w:tcPr>
          <w:p>
            <w:pPr>
              <w:ind w:left="700"/>
              <w:spacing w:after="0"/>
              <w:rPr>
                <w:sz w:val="20"/>
                <w:szCs w:val="20"/>
                <w:color w:val="auto"/>
              </w:rPr>
            </w:pPr>
            <w:r>
              <w:rPr>
                <w:rFonts w:ascii="Arial" w:cs="Arial" w:eastAsia="Arial" w:hAnsi="Arial"/>
                <w:sz w:val="18"/>
                <w:szCs w:val="18"/>
                <w:color w:val="auto"/>
                <w:w w:val="91"/>
              </w:rPr>
              <w:t>2.78 – 4.86 years</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28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0.20% – 0.28%</w:t>
            </w:r>
          </w:p>
        </w:tc>
        <w:tc>
          <w:tcPr>
            <w:tcW w:w="2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4"/>
              </w:rPr>
              <w:t>1.68% – 1.69%</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fair value of the equity classified warrants at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Warrants Included in Contributed Surplus</w:t>
            </w:r>
          </w:p>
        </w:tc>
        <w:tc>
          <w:tcPr>
            <w:tcW w:w="2940" w:type="dxa"/>
            <w:vAlign w:val="bottom"/>
          </w:tcPr>
          <w:p>
            <w:pPr>
              <w:spacing w:after="0"/>
              <w:rPr>
                <w:sz w:val="14"/>
                <w:szCs w:val="14"/>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Strike</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Warrants</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vMerge w:val="continue"/>
          </w:tcPr>
          <w:p>
            <w:pPr>
              <w:spacing w:after="0"/>
              <w:rPr>
                <w:sz w:val="15"/>
                <w:szCs w:val="15"/>
                <w:color w:val="auto"/>
              </w:rPr>
            </w:pPr>
          </w:p>
        </w:tc>
        <w:tc>
          <w:tcPr>
            <w:tcW w:w="2940" w:type="dxa"/>
            <w:vAlign w:val="bottom"/>
          </w:tcPr>
          <w:p>
            <w:pPr>
              <w:spacing w:after="0"/>
              <w:rPr>
                <w:sz w:val="15"/>
                <w:szCs w:val="15"/>
                <w:color w:val="auto"/>
              </w:rPr>
            </w:pPr>
          </w:p>
        </w:tc>
        <w:tc>
          <w:tcPr>
            <w:tcW w:w="10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840" w:type="dxa"/>
            <w:vAlign w:val="bottom"/>
          </w:tcPr>
          <w:p>
            <w:pPr>
              <w:jc w:val="right"/>
              <w:ind w:right="202"/>
              <w:spacing w:after="0" w:line="158"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29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181,272</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540" w:hanging="439"/>
        <w:spacing w:after="0"/>
        <w:tabs>
          <w:tab w:leader="none" w:pos="1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Dispensary Mortgage Warrants</w:t>
      </w:r>
    </w:p>
    <w:p>
      <w:pPr>
        <w:spacing w:after="0" w:line="121" w:lineRule="exact"/>
        <w:rPr>
          <w:sz w:val="20"/>
          <w:szCs w:val="20"/>
          <w:color w:val="auto"/>
        </w:rPr>
      </w:pPr>
    </w:p>
    <w:p>
      <w:pPr>
        <w:ind w:left="1100" w:right="280"/>
        <w:spacing w:after="0" w:line="263" w:lineRule="auto"/>
        <w:rPr>
          <w:sz w:val="20"/>
          <w:szCs w:val="20"/>
          <w:color w:val="auto"/>
        </w:rPr>
      </w:pPr>
      <w:r>
        <w:rPr>
          <w:rFonts w:ascii="Arial" w:cs="Arial" w:eastAsia="Arial" w:hAnsi="Arial"/>
          <w:sz w:val="18"/>
          <w:szCs w:val="18"/>
          <w:color w:val="auto"/>
        </w:rPr>
        <w:t>On June 5, 2020, as part of the $1,814,000 promissory note, the Company issued warrants that allow the promissory noteholder to purchase 35,000 Subordinate Voting Shares. These warrants are denominated in USD, which is the Company’s functional currency. As such, upon issuance,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Classified Warrants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Dispensary Mortgage Warrants </w:t>
      </w:r>
      <w:r>
        <w:rPr>
          <w:rFonts w:ascii="Arial" w:cs="Arial" w:eastAsia="Arial" w:hAnsi="Arial"/>
          <w:sz w:val="18"/>
          <w:szCs w:val="18"/>
          <w:color w:val="auto"/>
        </w:rPr>
        <w:t>(Continued)</w:t>
      </w:r>
    </w:p>
    <w:p>
      <w:pPr>
        <w:spacing w:after="0" w:line="135" w:lineRule="exact"/>
        <w:rPr>
          <w:sz w:val="20"/>
          <w:szCs w:val="20"/>
          <w:color w:val="auto"/>
        </w:rPr>
      </w:pPr>
    </w:p>
    <w:p>
      <w:pPr>
        <w:ind w:left="1100" w:right="460"/>
        <w:spacing w:after="0" w:line="277" w:lineRule="auto"/>
        <w:rPr>
          <w:sz w:val="20"/>
          <w:szCs w:val="20"/>
          <w:color w:val="auto"/>
        </w:rPr>
      </w:pPr>
      <w:r>
        <w:rPr>
          <w:rFonts w:ascii="Arial" w:cs="Arial" w:eastAsia="Arial" w:hAnsi="Arial"/>
          <w:sz w:val="18"/>
          <w:szCs w:val="18"/>
          <w:color w:val="auto"/>
        </w:rPr>
        <w:t>Company recorded a debt discount of $181,272 which was measured at fair value using a Black Scholes Options Pricing model. The Company did not incur any other material fees related to the promissory note.</w:t>
      </w:r>
    </w:p>
    <w:p>
      <w:pPr>
        <w:spacing w:after="0" w:line="62"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equity classified warrants as of each reporting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4200" w:type="dxa"/>
            <w:vAlign w:val="bottom"/>
          </w:tcPr>
          <w:p>
            <w:pPr>
              <w:spacing w:after="0"/>
              <w:rPr>
                <w:sz w:val="14"/>
                <w:szCs w:val="14"/>
                <w:color w:val="auto"/>
              </w:rPr>
            </w:pPr>
          </w:p>
        </w:tc>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3"/>
        </w:trPr>
        <w:tc>
          <w:tcPr>
            <w:tcW w:w="1460" w:type="dxa"/>
            <w:vAlign w:val="bottom"/>
            <w:tcBorders>
              <w:bottom w:val="single" w:sz="8" w:color="auto"/>
            </w:tcBorders>
            <w:vMerge w:val="continue"/>
          </w:tcPr>
          <w:p>
            <w:pPr>
              <w:spacing w:after="0"/>
              <w:rPr>
                <w:sz w:val="13"/>
                <w:szCs w:val="13"/>
                <w:color w:val="auto"/>
              </w:rPr>
            </w:pPr>
          </w:p>
        </w:tc>
        <w:tc>
          <w:tcPr>
            <w:tcW w:w="5040" w:type="dxa"/>
            <w:vAlign w:val="bottom"/>
            <w:gridSpan w:val="2"/>
          </w:tcPr>
          <w:p>
            <w:pPr>
              <w:jc w:val="right"/>
              <w:ind w:right="196"/>
              <w:spacing w:after="0" w:line="158" w:lineRule="exact"/>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3"/>
                <w:szCs w:val="13"/>
                <w:color w:val="auto"/>
              </w:rPr>
            </w:pPr>
          </w:p>
        </w:tc>
        <w:tc>
          <w:tcPr>
            <w:tcW w:w="8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4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vMerge w:val="continue"/>
            <w:shd w:val="clear" w:color="auto" w:fill="CCEEFF"/>
          </w:tcPr>
          <w:p>
            <w:pPr>
              <w:spacing w:after="0"/>
              <w:rPr>
                <w:sz w:val="17"/>
                <w:szCs w:val="17"/>
                <w:color w:val="auto"/>
              </w:rPr>
            </w:pPr>
          </w:p>
        </w:tc>
        <w:tc>
          <w:tcPr>
            <w:tcW w:w="4200" w:type="dxa"/>
            <w:vAlign w:val="bottom"/>
            <w:vMerge w:val="continue"/>
            <w:shd w:val="clear" w:color="auto" w:fill="CCEEFF"/>
          </w:tcPr>
          <w:p>
            <w:pPr>
              <w:spacing w:after="0"/>
              <w:rPr>
                <w:sz w:val="17"/>
                <w:szCs w:val="17"/>
                <w:color w:val="auto"/>
              </w:rPr>
            </w:pPr>
          </w:p>
        </w:tc>
        <w:tc>
          <w:tcPr>
            <w:tcW w:w="182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80%</w:t>
            </w:r>
          </w:p>
        </w:tc>
        <w:tc>
          <w:tcPr>
            <w:tcW w:w="880" w:type="dxa"/>
            <w:vAlign w:val="bottom"/>
            <w:tcBorders>
              <w:right w:val="single" w:sz="8" w:color="CCEEFF"/>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4200" w:type="dxa"/>
            <w:vAlign w:val="bottom"/>
          </w:tcPr>
          <w:p>
            <w:pPr>
              <w:spacing w:after="0"/>
              <w:rPr>
                <w:sz w:val="18"/>
                <w:szCs w:val="18"/>
                <w:color w:val="auto"/>
              </w:rPr>
            </w:pP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5 years</w:t>
            </w:r>
          </w:p>
        </w:tc>
        <w:tc>
          <w:tcPr>
            <w:tcW w:w="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60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0.37%</w:t>
            </w:r>
          </w:p>
        </w:tc>
        <w:tc>
          <w:tcPr>
            <w:tcW w:w="8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ASC 740, Income Taxes.</w:t>
      </w:r>
    </w:p>
    <w:p>
      <w:pPr>
        <w:spacing w:after="0" w:line="73"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1" w:lineRule="exact"/>
        <w:rPr>
          <w:sz w:val="20"/>
          <w:szCs w:val="20"/>
          <w:color w:val="auto"/>
        </w:rPr>
      </w:pPr>
    </w:p>
    <w:p>
      <w:pPr>
        <w:ind w:left="1540" w:hanging="439"/>
        <w:spacing w:after="0"/>
        <w:tabs>
          <w:tab w:leader="none" w:pos="1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1100" w:right="60"/>
        <w:spacing w:after="0" w:line="275"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year ended December 31, 2020, the shareholders of the Company converted 333,061 Multiple Voting Shares into 33,306,100 Subordinate Voting Shares and 90,258 Super Voting Shares into 9,025,800 Subordinate Voting Shares.</w:t>
      </w:r>
    </w:p>
    <w:p>
      <w:pPr>
        <w:spacing w:after="0" w:line="78" w:lineRule="exact"/>
        <w:rPr>
          <w:sz w:val="20"/>
          <w:szCs w:val="20"/>
          <w:color w:val="auto"/>
        </w:rPr>
      </w:pPr>
    </w:p>
    <w:p>
      <w:pPr>
        <w:ind w:left="1540" w:hanging="439"/>
        <w:spacing w:after="0"/>
        <w:tabs>
          <w:tab w:leader="none" w:pos="1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December 31, 2020, the Company had 40,289 issued and outstanding Multiple Voting Shares, which convert into 4,028,900 Subordinate Voting Shares. The Company is authorized to issue an unlimited number of Multiple Voting shares. During the year ended December 31, 2020, the shareholders of the Company converted 333,061 Multiple Voting Shares into 33,306,100 Subordinate Voting Shares.</w:t>
      </w:r>
    </w:p>
    <w:p>
      <w:pPr>
        <w:spacing w:after="0" w:line="89"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5"/>
          <w:szCs w:val="15"/>
          <w:b w:val="1"/>
          <w:bCs w:val="1"/>
          <w:color w:val="auto"/>
        </w:rPr>
        <w:t>Super Voting Shares</w:t>
      </w:r>
    </w:p>
    <w:p>
      <w:pPr>
        <w:spacing w:after="0" w:line="121"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December 31, 2020, the Company had 312,031 issued and outstanding Super Voting Shares which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Super Voting Shares </w:t>
      </w:r>
      <w:r>
        <w:rPr>
          <w:rFonts w:ascii="Arial" w:cs="Arial" w:eastAsia="Arial" w:hAnsi="Arial"/>
          <w:sz w:val="18"/>
          <w:szCs w:val="18"/>
          <w:color w:val="auto"/>
        </w:rPr>
        <w:t>(Continued)</w:t>
      </w:r>
    </w:p>
    <w:p>
      <w:pPr>
        <w:spacing w:after="0" w:line="135" w:lineRule="exact"/>
        <w:rPr>
          <w:sz w:val="20"/>
          <w:szCs w:val="20"/>
          <w:color w:val="auto"/>
        </w:rPr>
      </w:pPr>
    </w:p>
    <w:p>
      <w:pPr>
        <w:ind w:left="1100" w:right="220"/>
        <w:spacing w:after="0" w:line="263" w:lineRule="auto"/>
        <w:rPr>
          <w:sz w:val="20"/>
          <w:szCs w:val="20"/>
          <w:color w:val="auto"/>
        </w:rPr>
      </w:pPr>
      <w:r>
        <w:rPr>
          <w:rFonts w:ascii="Arial" w:cs="Arial" w:eastAsia="Arial" w:hAnsi="Arial"/>
          <w:sz w:val="18"/>
          <w:szCs w:val="18"/>
          <w:color w:val="auto"/>
        </w:rPr>
        <w:t>convert into 31,203,100 Subordinate Voting Shares. The Company is authorized to issue an unlimited number of Super Voting Shares. During the year ended December 31, 2020, the shareholders of the Company converted 90,258 Super Voting Shares into 9,025,800 Subordinate Voting Shares.</w:t>
      </w:r>
    </w:p>
    <w:p>
      <w:pPr>
        <w:spacing w:after="0" w:line="85"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2"/>
              </w:rPr>
              <w:t>Issued and Outstanding</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jc w:val="right"/>
              <w:ind w:right="73"/>
              <w:spacing w:after="0" w:line="123" w:lineRule="exact"/>
              <w:rPr>
                <w:sz w:val="20"/>
                <w:szCs w:val="20"/>
                <w:color w:val="auto"/>
              </w:rPr>
            </w:pPr>
            <w:r>
              <w:rPr>
                <w:rFonts w:ascii="Arial" w:cs="Arial" w:eastAsia="Arial" w:hAnsi="Arial"/>
                <w:sz w:val="14"/>
                <w:szCs w:val="14"/>
                <w:color w:val="auto"/>
              </w:rPr>
              <w:t>Super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Subordinate Voting</w:t>
            </w:r>
          </w:p>
        </w:tc>
        <w:tc>
          <w:tcPr>
            <w:tcW w:w="20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Multiple Voting</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color w:val="auto"/>
              </w:rPr>
              <w:t>Shares</w:t>
            </w:r>
          </w:p>
        </w:tc>
        <w:tc>
          <w:tcPr>
            <w:tcW w:w="520" w:type="dxa"/>
            <w:vAlign w:val="bottom"/>
          </w:tcPr>
          <w:p>
            <w:pPr>
              <w:spacing w:after="0"/>
              <w:rPr>
                <w:sz w:val="14"/>
                <w:szCs w:val="14"/>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43,920,131</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677,230</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424,513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45,571,444</w:t>
            </w:r>
          </w:p>
        </w:tc>
        <w:tc>
          <w:tcPr>
            <w:tcW w:w="5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adjustment for change in ownership</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Issuance of shares for redemption of noncontrolling interest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2,498,404</w:t>
            </w:r>
          </w:p>
        </w:tc>
        <w:tc>
          <w:tcPr>
            <w:tcW w:w="5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upon vesting of RSUs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1,165,630</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broker options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114,080</w:t>
            </w:r>
          </w:p>
        </w:tc>
        <w:tc>
          <w:tcPr>
            <w:tcW w:w="5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for professional fees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35,710,400</w:t>
            </w:r>
          </w:p>
        </w:tc>
        <w:tc>
          <w:tcPr>
            <w:tcW w:w="52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(334,880)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128,999,964</w:t>
            </w: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373,350</w:t>
            </w: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402,289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at January 1, 2020</w:t>
            </w: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0" w:type="dxa"/>
            <w:vAlign w:val="bottom"/>
            <w:gridSpan w:val="2"/>
            <w:vMerge w:val="continue"/>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128,999,964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373,350</w:t>
            </w:r>
          </w:p>
        </w:tc>
        <w:tc>
          <w:tcPr>
            <w:tcW w:w="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402,289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shares under business combinations and investments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1,752,065</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Distribution of contingent consideration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2,713,463</w:t>
            </w:r>
          </w:p>
        </w:tc>
        <w:tc>
          <w:tcPr>
            <w:tcW w:w="5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deferred shares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1,220,548</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Issuance of shares upon exercise of options and warrants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171,813</w:t>
            </w:r>
          </w:p>
        </w:tc>
        <w:tc>
          <w:tcPr>
            <w:tcW w:w="52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923,468</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Exchange of shares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42,331,900</w:t>
            </w:r>
          </w:p>
        </w:tc>
        <w:tc>
          <w:tcPr>
            <w:tcW w:w="52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(333,061)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2020</w:t>
            </w: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178,113,221</w:t>
            </w: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40,289</w:t>
            </w: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312,031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tabs>
          <w:tab w:leader="none" w:pos="1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Under Business Combinations and Investments</w:t>
      </w:r>
    </w:p>
    <w:p>
      <w:pPr>
        <w:spacing w:after="0" w:line="121" w:lineRule="exact"/>
        <w:rPr>
          <w:rFonts w:ascii="Arial" w:cs="Arial" w:eastAsia="Arial" w:hAnsi="Arial"/>
          <w:sz w:val="18"/>
          <w:szCs w:val="18"/>
          <w:b w:val="1"/>
          <w:bCs w:val="1"/>
          <w:color w:val="auto"/>
        </w:rPr>
      </w:pPr>
    </w:p>
    <w:p>
      <w:pPr>
        <w:ind w:left="1800" w:hanging="252"/>
        <w:spacing w:after="0"/>
        <w:tabs>
          <w:tab w:leader="none" w:pos="1800"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Southern CT Wellness and Healing</w:t>
      </w:r>
    </w:p>
    <w:p>
      <w:pPr>
        <w:spacing w:after="0" w:line="117" w:lineRule="exact"/>
        <w:rPr>
          <w:sz w:val="20"/>
          <w:szCs w:val="20"/>
          <w:color w:val="auto"/>
        </w:rPr>
      </w:pPr>
    </w:p>
    <w:p>
      <w:pPr>
        <w:ind w:left="1540"/>
        <w:spacing w:after="0" w:line="311" w:lineRule="auto"/>
        <w:rPr>
          <w:sz w:val="20"/>
          <w:szCs w:val="20"/>
          <w:color w:val="auto"/>
        </w:rPr>
      </w:pPr>
      <w:r>
        <w:rPr>
          <w:rFonts w:ascii="Arial" w:cs="Arial" w:eastAsia="Arial" w:hAnsi="Arial"/>
          <w:sz w:val="16"/>
          <w:szCs w:val="16"/>
          <w:color w:val="auto"/>
        </w:rPr>
        <w:t>On December 18, 2020, the Company issued 197,826 Subordinate Voting Shares with a value of $4,619,237 in connection with the Company’s acquisition of Southern CT Wellness and Healing, a Connecticut-based dispensary. The shares issued resulted in an increase in share capital and a corresponding increase in the net assets acquired. See Note 7—Acquisitions for details.</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80"/>
          </w:cols>
          <w:pgMar w:left="320" w:top="459" w:right="5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Issuance of Shares Under Business Combinations and Investments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-445135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(2) MC Brands, LLC</w:t>
      </w:r>
    </w:p>
    <w:p>
      <w:pPr>
        <w:spacing w:after="0" w:line="117" w:lineRule="exact"/>
        <w:rPr>
          <w:sz w:val="20"/>
          <w:szCs w:val="20"/>
          <w:color w:val="auto"/>
        </w:rPr>
      </w:pPr>
    </w:p>
    <w:p>
      <w:pPr>
        <w:ind w:left="1540" w:right="160"/>
        <w:spacing w:after="0" w:line="311" w:lineRule="auto"/>
        <w:rPr>
          <w:sz w:val="20"/>
          <w:szCs w:val="20"/>
          <w:color w:val="auto"/>
        </w:rPr>
      </w:pPr>
      <w:r>
        <w:rPr>
          <w:rFonts w:ascii="Arial" w:cs="Arial" w:eastAsia="Arial" w:hAnsi="Arial"/>
          <w:sz w:val="16"/>
          <w:szCs w:val="16"/>
          <w:color w:val="auto"/>
        </w:rPr>
        <w:t>On June 29, 2020, the Company issued 190,000 Subordinate Voting Shares with a value of $1,840,009 in connection with the Company’s June 27, 2019 acquisition of MC Brands, LLC. Such shares were held back as part of the transaction and resulted in an increase in share capital and a corresponding increase to intangible assets on the Company’s consolidated balance sheets.</w:t>
      </w:r>
    </w:p>
    <w:p>
      <w:pPr>
        <w:spacing w:after="0" w:line="4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also Note 7—Acquisitions for details.</w:t>
      </w:r>
    </w:p>
    <w:p>
      <w:pPr>
        <w:spacing w:after="0" w:line="127" w:lineRule="exact"/>
        <w:rPr>
          <w:sz w:val="20"/>
          <w:szCs w:val="20"/>
          <w:color w:val="auto"/>
        </w:rPr>
      </w:pPr>
    </w:p>
    <w:p>
      <w:pPr>
        <w:ind w:left="1540" w:hanging="439"/>
        <w:spacing w:after="0"/>
        <w:tabs>
          <w:tab w:leader="none" w:pos="1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Contingent Consideration</w:t>
      </w:r>
    </w:p>
    <w:p>
      <w:pPr>
        <w:spacing w:after="0" w:line="121" w:lineRule="exact"/>
        <w:rPr>
          <w:rFonts w:ascii="Arial" w:cs="Arial" w:eastAsia="Arial" w:hAnsi="Arial"/>
          <w:sz w:val="18"/>
          <w:szCs w:val="18"/>
          <w:b w:val="1"/>
          <w:bCs w:val="1"/>
          <w:color w:val="auto"/>
        </w:rPr>
      </w:pPr>
    </w:p>
    <w:p>
      <w:pPr>
        <w:ind w:left="15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Company issued 2,713,463 Subordinate Voting Shares to the previous owners of several entities in connection with acquisitions completed during 2019. Upon issuance, the Company recorded a reduction to contingent consideration payable and an increase in share capital. The following table represents the contingent shares issued during the year ended December 31, 2020 in relation to each acquisition:</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82"/>
        </w:trPr>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Contingent Shares Issued</w:t>
            </w: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3700" w:type="dxa"/>
            <w:vAlign w:val="bottom"/>
            <w:vMerge w:val="restart"/>
          </w:tcPr>
          <w:p>
            <w:pPr>
              <w:spacing w:after="0"/>
              <w:rPr>
                <w:sz w:val="11"/>
                <w:szCs w:val="11"/>
                <w:color w:val="auto"/>
              </w:rPr>
            </w:pPr>
          </w:p>
        </w:tc>
        <w:tc>
          <w:tcPr>
            <w:tcW w:w="2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Date of Transaction</w:t>
            </w:r>
          </w:p>
        </w:tc>
        <w:tc>
          <w:tcPr>
            <w:tcW w:w="2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98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Units</w:t>
            </w: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Advanced Grow Labs, LLC</w:t>
            </w:r>
          </w:p>
        </w:tc>
        <w:tc>
          <w:tcPr>
            <w:tcW w:w="17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February 12, 2019</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1,396,533</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11,544,855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For Success Holding Company</w:t>
            </w:r>
          </w:p>
        </w:tc>
        <w:tc>
          <w:tcPr>
            <w:tcW w:w="2180" w:type="dxa"/>
            <w:vAlign w:val="bottom"/>
            <w:gridSpan w:val="2"/>
          </w:tcPr>
          <w:p>
            <w:pPr>
              <w:ind w:left="60"/>
              <w:spacing w:after="0"/>
              <w:rPr>
                <w:sz w:val="20"/>
                <w:szCs w:val="20"/>
                <w:color w:val="auto"/>
              </w:rPr>
            </w:pPr>
            <w:r>
              <w:rPr>
                <w:rFonts w:ascii="Arial" w:cs="Arial" w:eastAsia="Arial" w:hAnsi="Arial"/>
                <w:sz w:val="18"/>
                <w:szCs w:val="18"/>
                <w:color w:val="auto"/>
              </w:rPr>
              <w:t>February 21, 2019</w:t>
            </w:r>
          </w:p>
        </w:tc>
        <w:tc>
          <w:tcPr>
            <w:tcW w:w="980" w:type="dxa"/>
            <w:vAlign w:val="bottom"/>
          </w:tcPr>
          <w:p>
            <w:pPr>
              <w:jc w:val="right"/>
              <w:spacing w:after="0"/>
              <w:rPr>
                <w:sz w:val="20"/>
                <w:szCs w:val="20"/>
                <w:color w:val="auto"/>
              </w:rPr>
            </w:pPr>
            <w:r>
              <w:rPr>
                <w:rFonts w:ascii="Arial" w:cs="Arial" w:eastAsia="Arial" w:hAnsi="Arial"/>
                <w:sz w:val="18"/>
                <w:szCs w:val="18"/>
                <w:color w:val="auto"/>
              </w:rPr>
              <w:t>779,690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LLC</w:t>
            </w: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June 5,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537,240</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2,713,463</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22,885,813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tabs>
          <w:tab w:leader="none" w:pos="1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Shares—Issuances and Distributions</w:t>
      </w:r>
    </w:p>
    <w:p>
      <w:pPr>
        <w:spacing w:after="0" w:line="121" w:lineRule="exact"/>
        <w:rPr>
          <w:rFonts w:ascii="Arial" w:cs="Arial" w:eastAsia="Arial" w:hAnsi="Arial"/>
          <w:sz w:val="18"/>
          <w:szCs w:val="18"/>
          <w:b w:val="1"/>
          <w:bCs w:val="1"/>
          <w:color w:val="auto"/>
        </w:rPr>
      </w:pPr>
    </w:p>
    <w:p>
      <w:pPr>
        <w:ind w:left="154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part of the consideration exchanged in the Company’s acquisitions, Subordinate Voting Shares are held back or deferred until a specific date post acquisition. The deferred shares are issued to the former owners of the acquired entity upon the passage of twelve to twenty-four months from the close of each transaction as defined within each respective acquisition agreement. The following table summarizes the deferred shares held by the Company as of December 31, 2020 and 2019:</w:t>
      </w:r>
    </w:p>
    <w:p>
      <w:pPr>
        <w:spacing w:after="0" w:line="194" w:lineRule="exact"/>
        <w:rPr>
          <w:sz w:val="20"/>
          <w:szCs w:val="20"/>
          <w:color w:val="auto"/>
        </w:rPr>
      </w:pPr>
    </w:p>
    <w:tbl>
      <w:tblPr>
        <w:tblLayout w:type="fixed"/>
        <w:tblInd w:w="900" w:type="dxa"/>
        <w:tblCellMar>
          <w:top w:w="0" w:type="dxa"/>
          <w:left w:w="0" w:type="dxa"/>
          <w:bottom w:w="0" w:type="dxa"/>
          <w:right w:w="0" w:type="dxa"/>
        </w:tblCellMar>
      </w:tblPr>
      <w:tr>
        <w:trPr>
          <w:trHeight w:val="182"/>
        </w:trPr>
        <w:tc>
          <w:tcPr>
            <w:tcW w:w="4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Deferred Shares Outstanding</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5"/>
                <w:szCs w:val="15"/>
                <w:color w:val="auto"/>
              </w:rPr>
            </w:pPr>
          </w:p>
        </w:tc>
        <w:tc>
          <w:tcPr>
            <w:tcW w:w="188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0"/>
              </w:rPr>
              <w:t>Transaction</w:t>
            </w:r>
          </w:p>
        </w:tc>
        <w:tc>
          <w:tcPr>
            <w:tcW w:w="3420" w:type="dxa"/>
            <w:vAlign w:val="bottom"/>
            <w:vMerge w:val="restart"/>
          </w:tcPr>
          <w:p>
            <w:pPr>
              <w:spacing w:after="0"/>
              <w:rPr>
                <w:sz w:val="11"/>
                <w:szCs w:val="11"/>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Date of Transaction</w:t>
            </w:r>
          </w:p>
        </w:tc>
        <w:tc>
          <w:tcPr>
            <w:tcW w:w="15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Units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Units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8"/>
              <w:spacing w:after="0" w:line="129" w:lineRule="exact"/>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Advanced Grow Labs, LLC</w:t>
            </w:r>
          </w:p>
        </w:tc>
        <w:tc>
          <w:tcPr>
            <w:tcW w:w="1380" w:type="dxa"/>
            <w:vAlign w:val="bottom"/>
            <w:tcBorders>
              <w:top w:val="single" w:sz="8" w:color="auto"/>
            </w:tcBorders>
            <w:shd w:val="clear" w:color="auto" w:fill="CCEEFF"/>
          </w:tcPr>
          <w:p>
            <w:pPr>
              <w:ind w:left="40"/>
              <w:spacing w:after="0" w:line="135" w:lineRule="exact"/>
              <w:rPr>
                <w:sz w:val="20"/>
                <w:szCs w:val="20"/>
                <w:color w:val="auto"/>
              </w:rPr>
            </w:pPr>
            <w:r>
              <w:rPr>
                <w:rFonts w:ascii="Arial" w:cs="Arial" w:eastAsia="Arial" w:hAnsi="Arial"/>
                <w:sz w:val="14"/>
                <w:szCs w:val="14"/>
                <w:color w:val="auto"/>
              </w:rPr>
              <w:t>February 12, 2019</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472,500</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5,380,000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For Success Holding Company</w:t>
            </w:r>
          </w:p>
        </w:tc>
        <w:tc>
          <w:tcPr>
            <w:tcW w:w="1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February 21, 2019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147,095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1,835,330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793,448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Rise Canton</w:t>
            </w:r>
          </w:p>
        </w:tc>
        <w:tc>
          <w:tcPr>
            <w:tcW w:w="1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May 15, 2019</w:t>
            </w:r>
          </w:p>
        </w:tc>
        <w:tc>
          <w:tcPr>
            <w:tcW w:w="5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101,695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1,307,798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Southern CT Wellness and Healing</w:t>
            </w:r>
          </w:p>
        </w:tc>
        <w:tc>
          <w:tcPr>
            <w:tcW w:w="1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December 18, 2020</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32,205</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751,987</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shd w:val="clear" w:color="auto" w:fill="CCEEFF"/>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179,300</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2,587,317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1,367,643</w:t>
            </w:r>
          </w:p>
        </w:tc>
        <w:tc>
          <w:tcPr>
            <w:tcW w:w="3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16,587,798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540"/>
        <w:spacing w:after="0" w:line="311" w:lineRule="auto"/>
        <w:rPr>
          <w:sz w:val="20"/>
          <w:szCs w:val="20"/>
          <w:color w:val="auto"/>
        </w:rPr>
      </w:pPr>
      <w:r>
        <w:rPr>
          <w:rFonts w:ascii="Arial" w:cs="Arial" w:eastAsia="Arial" w:hAnsi="Arial"/>
          <w:sz w:val="16"/>
          <w:szCs w:val="16"/>
          <w:color w:val="auto"/>
        </w:rPr>
        <w:t>On December 18, 2020, the Company issued 32,205 Subordinate Voting Shares with a value of $751,987 in connection with the Company’s acquisition of Southern CT Wellness and Healing. The issuance resulted in an increase in deferred share issuances on the Company’s consolidated statement of changes in shareholders’ equity and a corresponding increase in the net assets acquired.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Deferred Shares—Issuances and Distributions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54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May 15, 2020, Green Thumb distributed 101,695 Subordinate Voting Shares with a value of $1,307,798 in connection with the Company’s May 15, 2019 acquisition of Rise Canton. On August 12, 2020, the Company distributed 472,500 Subordinate Voting Shares with a value of $5,380,00 in connection with the Company’s February 12, 2019 acquisition of Advanced Grow Labs, LLC. Additionally, on August 26, 2020, the Company distributed 646,353 Subordinate Voting Shares with a value of $8,064,668 in connection with the Company’s February 21, 2019 acquisition of For Success Holding Company. The three distributions discussed above resulted in a reduction to deferred share issuances and a corresponding increase to share capital on the Company’s consolidated statement of changes in shareholders’ equity.</w:t>
      </w:r>
    </w:p>
    <w:p>
      <w:pPr>
        <w:spacing w:after="0" w:line="6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See also Note 7—Acquisitions for details.</w:t>
      </w:r>
    </w:p>
    <w:p>
      <w:pPr>
        <w:spacing w:after="0" w:line="126"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21"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 Acquisition of Noncontrolling Interest in KW Ventures Holdings, LLC</w:t>
      </w:r>
    </w:p>
    <w:p>
      <w:pPr>
        <w:spacing w:after="0" w:line="117" w:lineRule="exact"/>
        <w:rPr>
          <w:rFonts w:ascii="Arial" w:cs="Arial" w:eastAsia="Arial" w:hAnsi="Arial"/>
          <w:sz w:val="18"/>
          <w:szCs w:val="18"/>
          <w:b w:val="1"/>
          <w:bCs w:val="1"/>
          <w:color w:val="auto"/>
        </w:rPr>
      </w:pPr>
    </w:p>
    <w:p>
      <w:pPr>
        <w:ind w:left="1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Prior to January 1, 2019, KW Ventures Holdings, LLC (“Firefly”), which holds 100% of the equity interests in four Pennsylvania-based dispensaries, was owned by the noncontrolling interest members. However, Green Thumb controlled all the operating activities of the entity and was exposed to variable returns and losses through a management services agreement. As a result, the Company concluded that Firefly represented a variable interest entity and consolidated the entity in Green Thumb’s financial results.</w:t>
      </w:r>
    </w:p>
    <w:p>
      <w:pPr>
        <w:spacing w:after="0" w:line="49" w:lineRule="exact"/>
        <w:rPr>
          <w:rFonts w:ascii="Arial" w:cs="Arial" w:eastAsia="Arial" w:hAnsi="Arial"/>
          <w:sz w:val="18"/>
          <w:szCs w:val="18"/>
          <w:b w:val="1"/>
          <w:bCs w:val="1"/>
          <w:color w:val="auto"/>
        </w:rPr>
      </w:pPr>
    </w:p>
    <w:p>
      <w:pPr>
        <w:ind w:left="1540" w:right="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On January 1, 2019, the Company acquired the noncontrolling interest members equity in Firefly through an all-stock transaction whereby consideration was satisfied through the issuance of 542,416 Subordinate Voting Shares at a fair value of $4,355,078. In addition to the shares issued on January 1, 2019; 48,450 Subordinate Voting Shares were held back as part of the closing agreement. On February 10, 2020, the remaining shares were issued at a fair value of $400,413. As control over the entity existed prior to the acquisition date, no gain or loss was recognized nor was there any excess purchase price recorded as a result of the transaction.</w:t>
      </w:r>
    </w:p>
    <w:p>
      <w:pPr>
        <w:spacing w:after="0" w:line="53" w:lineRule="exact"/>
        <w:rPr>
          <w:rFonts w:ascii="Arial" w:cs="Arial" w:eastAsia="Arial" w:hAnsi="Arial"/>
          <w:sz w:val="18"/>
          <w:szCs w:val="18"/>
          <w:b w:val="1"/>
          <w:bCs w:val="1"/>
          <w:color w:val="auto"/>
        </w:rPr>
      </w:pPr>
    </w:p>
    <w:p>
      <w:pPr>
        <w:ind w:left="15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the transaction resulted in an increase in share capital and a corresponding reduction in accrued liabilities of $400,413.</w:t>
      </w:r>
    </w:p>
    <w:p>
      <w:pPr>
        <w:spacing w:after="0" w:line="62"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 Acquisition of Noncontrolling Interest in Ohio Investors 2017, LLC</w:t>
      </w:r>
    </w:p>
    <w:p>
      <w:pPr>
        <w:spacing w:after="0" w:line="117" w:lineRule="exact"/>
        <w:rPr>
          <w:rFonts w:ascii="Arial" w:cs="Arial" w:eastAsia="Arial" w:hAnsi="Arial"/>
          <w:sz w:val="18"/>
          <w:szCs w:val="18"/>
          <w:b w:val="1"/>
          <w:bCs w:val="1"/>
          <w:color w:val="auto"/>
        </w:rPr>
      </w:pPr>
    </w:p>
    <w:p>
      <w:pPr>
        <w:ind w:left="154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April 19, 2019, GTI Core, LLC, a wholly owned subsidiary of the Company entered into a membership interest purchase agreement with George Management Ltd. (George Management) to acquire 59% of the 60% interest that George Management held in the Retail and Processing License. On June 7, 2019, Green Thumb consummated the acquisitions through the issuance of 1,233,014 Subordinate Voting shares with a fair value of $13,854,550 as well as a $5,150,000 in cash of which $1,650,000 was contributed by George Management during 2019 as part of a capital call.</w:t>
      </w:r>
    </w:p>
    <w:p>
      <w:pPr>
        <w:spacing w:after="0" w:line="79" w:lineRule="exact"/>
        <w:rPr>
          <w:rFonts w:ascii="Arial" w:cs="Arial" w:eastAsia="Arial" w:hAnsi="Arial"/>
          <w:sz w:val="18"/>
          <w:szCs w:val="18"/>
          <w:b w:val="1"/>
          <w:bCs w:val="1"/>
          <w:color w:val="auto"/>
        </w:rPr>
      </w:pPr>
    </w:p>
    <w:p>
      <w:pPr>
        <w:ind w:left="15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part of the purchase agreement, and in consideration of the cultivation license for which Green Thumb held a 40% interest as of the date of the purchase agreement, the Company and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-5162550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 Acquisition of Noncontrolling Interest in Ohio Investors 2017, LLC (Continued)</w:t>
      </w:r>
    </w:p>
    <w:p>
      <w:pPr>
        <w:spacing w:after="0" w:line="117" w:lineRule="exact"/>
        <w:rPr>
          <w:rFonts w:ascii="Arial" w:cs="Arial" w:eastAsia="Arial" w:hAnsi="Arial"/>
          <w:sz w:val="18"/>
          <w:szCs w:val="18"/>
          <w:b w:val="1"/>
          <w:bCs w:val="1"/>
          <w:color w:val="auto"/>
        </w:rPr>
      </w:pPr>
    </w:p>
    <w:p>
      <w:pPr>
        <w:ind w:left="1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Management entered into a reciprocal purchase agreement that would allow Green Thumb to purchase the remaining 59% interest through a call option or, alternatively, allow George Management to put the 59% interest to Green Thumb. The exercise of the option was contingent upon the Ohio Department of Commerce’s approval of Green Thumb’s cultivation license application.</w:t>
      </w:r>
    </w:p>
    <w:p>
      <w:pPr>
        <w:spacing w:after="0" w:line="40" w:lineRule="exact"/>
        <w:rPr>
          <w:rFonts w:ascii="Arial" w:cs="Arial" w:eastAsia="Arial" w:hAnsi="Arial"/>
          <w:sz w:val="18"/>
          <w:szCs w:val="18"/>
          <w:b w:val="1"/>
          <w:bCs w:val="1"/>
          <w:color w:val="auto"/>
        </w:rPr>
      </w:pPr>
    </w:p>
    <w:p>
      <w:pPr>
        <w:ind w:left="154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Green Thumb evaluated the reciprocal purchase option and determined that it represented a derivative liability that required remeasurement on a periodic basis with changes in value recorded through the statement of operations. As of the transaction date, the Company recorded a derivative liability of $4,526,401 using a Black Scholes option pricing model. During 2019, the Company recognized nominal gains as a result of changes in the fair value of the liability.</w:t>
      </w:r>
    </w:p>
    <w:p>
      <w:pPr>
        <w:spacing w:after="0" w:line="78" w:lineRule="exact"/>
        <w:rPr>
          <w:rFonts w:ascii="Arial" w:cs="Arial" w:eastAsia="Arial" w:hAnsi="Arial"/>
          <w:sz w:val="18"/>
          <w:szCs w:val="18"/>
          <w:b w:val="1"/>
          <w:bCs w:val="1"/>
          <w:color w:val="auto"/>
        </w:rPr>
      </w:pPr>
    </w:p>
    <w:p>
      <w:pPr>
        <w:ind w:left="1540" w:right="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December 29, 2019, subsequent to the Ohio Department of Commerce’s approval of Green Thumb’s license application, George Management exercised their put option allowing Green Thumb to purchase 59% of the remaining 60% interest in the cultivation license. As of December 31, 2019, the Company and George Management were unable to agree upon the value of the Ohio cultivation license. The Company derecognized the derivative liability and recorded a current liability of $5,500,000 representing management’s estimate of the expected value to be paid to George Management as of December 31, 2019.</w:t>
      </w:r>
    </w:p>
    <w:p>
      <w:pPr>
        <w:spacing w:after="0" w:line="68" w:lineRule="exact"/>
        <w:rPr>
          <w:rFonts w:ascii="Arial" w:cs="Arial" w:eastAsia="Arial" w:hAnsi="Arial"/>
          <w:sz w:val="18"/>
          <w:szCs w:val="18"/>
          <w:b w:val="1"/>
          <w:bCs w:val="1"/>
          <w:color w:val="auto"/>
        </w:rPr>
      </w:pPr>
    </w:p>
    <w:p>
      <w:pPr>
        <w:ind w:left="154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the transactions resulted in an increase to share capital and a reduction to noncontrolling interest of $4,198,173.</w:t>
      </w:r>
    </w:p>
    <w:p>
      <w:pPr>
        <w:spacing w:after="0" w:line="62" w:lineRule="exact"/>
        <w:rPr>
          <w:rFonts w:ascii="Arial" w:cs="Arial" w:eastAsia="Arial" w:hAnsi="Arial"/>
          <w:sz w:val="18"/>
          <w:szCs w:val="18"/>
          <w:b w:val="1"/>
          <w:bCs w:val="1"/>
          <w:color w:val="auto"/>
        </w:rPr>
      </w:pPr>
    </w:p>
    <w:p>
      <w:pPr>
        <w:ind w:left="154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August 8, 2020, the Company and George Management reached an agreement allowing Green Thumb to purchase the remaining noncontrolling interest in Ohio Investors 2017, LLC. As a result, on August 31, 2020, the Company issued 1,315,789 Subordinate Voting Shares with a value of $20,078,940 in consideration for the noncontrolling partner’s interest in Ohio Investors 2017, LLC. Upon the closing of the transaction, the Company recorded a reduction to the current liability established for the purchase of the noncontrolling interest of $11,200,000, an increase in share capital for the fair value of the noncontrolling partners interest of $20,078,940 and a reduction to contributed capital of $8,878,940.</w:t>
      </w:r>
    </w:p>
    <w:p>
      <w:pPr>
        <w:spacing w:after="0" w:line="6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(3.) Acquisition of Noncontrolling Interest in GTI New Jersey, LLC</w:t>
      </w:r>
    </w:p>
    <w:p>
      <w:pPr>
        <w:spacing w:after="0" w:line="117" w:lineRule="exact"/>
        <w:rPr>
          <w:rFonts w:ascii="Arial" w:cs="Arial" w:eastAsia="Arial" w:hAnsi="Arial"/>
          <w:sz w:val="18"/>
          <w:szCs w:val="18"/>
          <w:b w:val="1"/>
          <w:bCs w:val="1"/>
          <w:color w:val="auto"/>
        </w:rPr>
      </w:pPr>
    </w:p>
    <w:p>
      <w:pPr>
        <w:ind w:left="1540" w:right="2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April 23, 2019, the Company closed on its acquisition of GTI New Jersey, LLC to acquire the remaining 33% interest held by unrelated third parties. The acquisition was an all stock transaction whereby consideration was satisfied through the issuance of 671,317 Subordinate Voting Shares at a fair value of $5,766,613. Prior to April 23, 2019, 33% of GTI-NJ was owned by the noncontrolling interest members. However, Green Thumb considered GTI-NJ to be a variable interest entity and accordingly, consolidated GTI-NJ within Green Thumb’s consolidated financial statements as Green Thumb was determined to be the primary beneficiary of the operations of GTI-NJ and Green Thumb possessed the power to direct the activities of GTI-NJ through a management services agreement. Consequently, when Green Thumb acquired the noncontrolling interest, there was no change in control, and as a result, no gain or loss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-5149215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color w:val="auto"/>
        </w:rPr>
        <w:t>(Continued)</w:t>
      </w:r>
    </w:p>
    <w:p>
      <w:pPr>
        <w:spacing w:after="0" w:line="130" w:lineRule="exact"/>
        <w:rPr>
          <w:rFonts w:ascii="Arial" w:cs="Arial" w:eastAsia="Arial" w:hAnsi="Arial"/>
          <w:sz w:val="18"/>
          <w:szCs w:val="18"/>
          <w:b w:val="1"/>
          <w:bCs w:val="1"/>
          <w:color w:val="auto"/>
        </w:rPr>
      </w:pPr>
    </w:p>
    <w:p>
      <w:pPr>
        <w:ind w:left="1540" w:hanging="439"/>
        <w:spacing w:after="0"/>
        <w:tabs>
          <w:tab w:leader="none" w:pos="1540" w:val="left"/>
        </w:tabs>
        <w:numPr>
          <w:ilvl w:val="2"/>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(3.) Acquisition of Noncontrolling Interest in GTI New Jersey, LLC (Continued)</w:t>
      </w:r>
    </w:p>
    <w:p>
      <w:pPr>
        <w:spacing w:after="0" w:line="117" w:lineRule="exact"/>
        <w:rPr>
          <w:rFonts w:ascii="Arial" w:cs="Arial" w:eastAsia="Arial" w:hAnsi="Arial"/>
          <w:sz w:val="18"/>
          <w:szCs w:val="18"/>
          <w:b w:val="1"/>
          <w:bCs w:val="1"/>
          <w:color w:val="auto"/>
        </w:rPr>
      </w:pPr>
    </w:p>
    <w:p>
      <w:pPr>
        <w:ind w:left="15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recognized nor was there any excess purchase price recorded as a result of the transaction. The transaction resulted in an increase to share capital and a reduction to noncontrolling interest of $570,078.</w:t>
      </w:r>
    </w:p>
    <w:p>
      <w:pPr>
        <w:spacing w:after="0" w:line="62" w:lineRule="exact"/>
        <w:rPr>
          <w:rFonts w:ascii="Arial" w:cs="Arial" w:eastAsia="Arial" w:hAnsi="Arial"/>
          <w:sz w:val="18"/>
          <w:szCs w:val="18"/>
          <w:b w:val="1"/>
          <w:bCs w:val="1"/>
          <w:color w:val="auto"/>
        </w:rPr>
      </w:pPr>
    </w:p>
    <w:p>
      <w:pPr>
        <w:ind w:left="1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part of the acquisition of GTI New Jersey, LLC, the Company agreed to award the previous owners of the entity $1,000,000 in Subordinate Voting Shares for each additional dispensary successfully opened, up to a $3,000,000 cap. On May 7, 2020, the Company received approval from the New Jersey Department of Health to begin buildout of an additional retail dispensary. As a result, the Company recorded a current obligation and corresponding reduction to contributed surplus of $2,000,000 representing the maximum value of the shares to be issuable to the former minority shareholders of GTI New Jersey, LLC.</w:t>
      </w:r>
    </w:p>
    <w:p>
      <w:pPr>
        <w:spacing w:after="0" w:line="77"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ind w:left="110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payments plans are ultimately recognized as an expense in profit or loss with a corresponding credit to reserve for stock-based payments, in equity.</w:t>
      </w:r>
    </w:p>
    <w:p>
      <w:pPr>
        <w:spacing w:after="0" w:line="69" w:lineRule="exact"/>
        <w:rPr>
          <w:rFonts w:ascii="Arial" w:cs="Arial" w:eastAsia="Arial" w:hAnsi="Arial"/>
          <w:sz w:val="18"/>
          <w:szCs w:val="18"/>
          <w:b w:val="1"/>
          <w:bCs w:val="1"/>
          <w:color w:val="auto"/>
        </w:rPr>
      </w:pPr>
    </w:p>
    <w:p>
      <w:pPr>
        <w:ind w:left="110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“Plan”). The maximum number of RSUs and options issued under the Plan shall not exceed 10% of the Company’s issued and outstanding shares on an as-converted basis.</w:t>
      </w:r>
    </w:p>
    <w:p>
      <w:pPr>
        <w:spacing w:after="0" w:line="75" w:lineRule="exact"/>
        <w:rPr>
          <w:rFonts w:ascii="Arial" w:cs="Arial" w:eastAsia="Arial" w:hAnsi="Arial"/>
          <w:sz w:val="18"/>
          <w:szCs w:val="18"/>
          <w:b w:val="1"/>
          <w:bCs w:val="1"/>
          <w:color w:val="auto"/>
        </w:rPr>
      </w:pPr>
    </w:p>
    <w:p>
      <w:pPr>
        <w:ind w:left="110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9" w:lineRule="exact"/>
        <w:rPr>
          <w:rFonts w:ascii="Arial" w:cs="Arial" w:eastAsia="Arial" w:hAnsi="Arial"/>
          <w:sz w:val="18"/>
          <w:szCs w:val="18"/>
          <w:b w:val="1"/>
          <w:bCs w:val="1"/>
          <w:color w:val="auto"/>
        </w:rPr>
      </w:pPr>
    </w:p>
    <w:p>
      <w:pPr>
        <w:ind w:left="11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-4742815</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00" w:right="6620" w:hanging="552"/>
        <w:spacing w:after="0" w:line="505" w:lineRule="auto"/>
        <w:tabs>
          <w:tab w:leader="none" w:pos="1081" w:val="left"/>
        </w:tabs>
        <w:numPr>
          <w:ilvl w:val="1"/>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Weighted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Average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Weighted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Remaining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Contractual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84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Number</w:t>
            </w: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1"/>
              </w:rPr>
              <w:t>Exercise Price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Life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Aggregate</w:t>
            </w:r>
          </w:p>
        </w:tc>
      </w:tr>
      <w:tr>
        <w:trPr>
          <w:trHeight w:val="167"/>
        </w:trPr>
        <w:tc>
          <w:tcPr>
            <w:tcW w:w="484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color w:val="auto"/>
              </w:rPr>
              <w:t>of Shares</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color w:val="auto"/>
                <w:w w:val="95"/>
              </w:rPr>
              <w:t>(C$)</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(Years)</w:t>
            </w:r>
          </w:p>
        </w:tc>
        <w:tc>
          <w:tcPr>
            <w:tcW w:w="32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color w:val="auto"/>
                <w:w w:val="95"/>
              </w:rPr>
              <w:t>Intrinsic Value</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3,839,017</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2,604,511</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10.36</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(165,872)</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12.72</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(613,250)</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13.27</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5,664,406</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85,408,034</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1,749,365</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13.37</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1,532,282</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21,590,351</w:t>
            </w:r>
          </w:p>
        </w:tc>
      </w:tr>
    </w:tbl>
    <w:p>
      <w:pPr>
        <w:spacing w:after="0" w:line="94"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2020 and December 31, 2019, respectively, and the exercise price, multiplied by the number of in-the-money options) that would have been received by the option holders had all option holders exercised their in-the-money options on December 31, 2020 and December 31, 2019. This amount will change in future periods based on the fair market value of the Company’s stock and the number of options outstanding.</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summarizes the weighted average grant date fair value and intrinsic value of options exercised for the years ended</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31, 2020, 2019 and 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stock option units granted (C$)</w:t>
            </w:r>
          </w:p>
        </w:tc>
        <w:tc>
          <w:tcPr>
            <w:tcW w:w="7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Intrinsic value of stock option units exercised, using market price at exercise date (USD)</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  1,184,089</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  88,010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31,604</w:t>
            </w:r>
          </w:p>
        </w:tc>
      </w:tr>
    </w:tbl>
    <w:p>
      <w:pPr>
        <w:spacing w:after="0" w:line="79"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dates during the years ended December 31, 2020 and 2019 using the following ranges of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0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 1.37%</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 1.84%</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 – 100%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Expected option life</w:t>
            </w:r>
          </w:p>
        </w:tc>
        <w:tc>
          <w:tcPr>
            <w:tcW w:w="1820" w:type="dxa"/>
            <w:vAlign w:val="bottom"/>
            <w:gridSpan w:val="2"/>
          </w:tcPr>
          <w:p>
            <w:pPr>
              <w:ind w:left="660"/>
              <w:spacing w:after="0"/>
              <w:rPr>
                <w:sz w:val="20"/>
                <w:szCs w:val="20"/>
                <w:color w:val="auto"/>
              </w:rPr>
            </w:pPr>
            <w:r>
              <w:rPr>
                <w:rFonts w:ascii="Arial" w:cs="Arial" w:eastAsia="Arial" w:hAnsi="Arial"/>
                <w:sz w:val="18"/>
                <w:szCs w:val="18"/>
                <w:color w:val="auto"/>
              </w:rPr>
              <w:t>3 – 5 years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 – 5 years</w:t>
            </w:r>
          </w:p>
        </w:tc>
      </w:tr>
    </w:tbl>
    <w:p>
      <w:pPr>
        <w:spacing w:after="0" w:line="7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 As permitted under ASC 718, the Company has made an accounting policy choice to account for forfeitures when they occur.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1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number of nonvested RSU awards as of December 31, 2020 and 2019 and the changes during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-619125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Weighted</w:t>
            </w:r>
          </w:p>
        </w:tc>
      </w:tr>
      <w:tr>
        <w:trPr>
          <w:trHeight w:val="148"/>
        </w:trPr>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r>
      <w:tr>
        <w:trPr>
          <w:trHeight w:val="148"/>
        </w:trPr>
        <w:tc>
          <w:tcPr>
            <w:tcW w:w="6040" w:type="dxa"/>
            <w:vAlign w:val="bottom"/>
          </w:tcPr>
          <w:p>
            <w:pPr>
              <w:spacing w:after="0"/>
              <w:rPr>
                <w:sz w:val="12"/>
                <w:szCs w:val="12"/>
                <w:color w:val="auto"/>
              </w:rPr>
            </w:pPr>
          </w:p>
        </w:tc>
        <w:tc>
          <w:tcPr>
            <w:tcW w:w="13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Number</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Date Fair Value</w:t>
            </w:r>
          </w:p>
        </w:tc>
      </w:tr>
      <w:tr>
        <w:trPr>
          <w:trHeight w:val="167"/>
        </w:trPr>
        <w:tc>
          <w:tcPr>
            <w:tcW w:w="604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color w:val="auto"/>
              </w:rPr>
              <w:t>of Shares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(C$)</w:t>
            </w: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1,399,762</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286,880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(73,834)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(923,468)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r>
      <w:tr>
        <w:trPr>
          <w:trHeight w:val="27"/>
        </w:trPr>
        <w:tc>
          <w:tcPr>
            <w:tcW w:w="6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December 31, 2020</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689,340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following table summarizes the weighted average grant date fair value and total fair value of RSUs vested for the years ended</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31, 2020, 2019 and 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7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RSUs granted (C$)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Total fair value of RSUs vested, using market price at vest date (USD)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  9,076,673</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  13,522,284</w:t>
            </w:r>
          </w:p>
        </w:tc>
        <w:tc>
          <w:tcPr>
            <w:tcW w:w="680" w:type="dxa"/>
            <w:vAlign w:val="bottom"/>
            <w:gridSpan w:val="2"/>
          </w:tcPr>
          <w:p>
            <w:pPr>
              <w:spacing w:after="0"/>
              <w:rPr>
                <w:sz w:val="20"/>
                <w:szCs w:val="20"/>
                <w:color w:val="auto"/>
              </w:rPr>
            </w:pPr>
            <w:r>
              <w:rPr>
                <w:rFonts w:ascii="Arial" w:cs="Arial" w:eastAsia="Arial" w:hAnsi="Arial"/>
                <w:sz w:val="18"/>
                <w:szCs w:val="18"/>
                <w:color w:val="auto"/>
              </w:rPr>
              <w:t>$   —</w:t>
            </w:r>
          </w:p>
        </w:tc>
      </w:tr>
    </w:tbl>
    <w:p>
      <w:pPr>
        <w:spacing w:after="0" w:line="3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stock-based compensation expense for the years ended December 31, 2020, 2019 and 2018 was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10,937,768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1,876,627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RSU Expense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8,398,950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11,892,100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4,748,444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19,336,718</w:t>
            </w: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18,285,377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6,625,071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740—Income Taxes,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subsidiaries from this date forward. Effective with the Company’s reverse takeover transaction on June 12, 2018, all subsidiaries have elected to be taxed as “C” corporations.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Green Thumb Industries Inc. is organized in Canada but maintains all of its operations in the United States. Due to this inverted entity structure, the Company is subject to both US and Canadian taxation, however the Company has no operations in Canada and thus files a nil return with the Canadian tax authorities.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2020, 2019 and 2018, income taxes expense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1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$ 65,118,212</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18,095,946</w:t>
            </w:r>
          </w:p>
        </w:tc>
        <w:tc>
          <w:tcPr>
            <w:tcW w:w="3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2,842,696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16,640,086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Foreign</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81,758,298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22,760,946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3,122,595</w:t>
            </w:r>
          </w:p>
        </w:tc>
        <w:tc>
          <w:tcPr>
            <w:tcW w:w="80" w:type="dxa"/>
            <w:vAlign w:val="bottom"/>
            <w:shd w:val="clear" w:color="auto" w:fill="CCEEFF"/>
          </w:tcPr>
          <w:p>
            <w:pPr>
              <w:spacing w:after="0"/>
              <w:rPr>
                <w:sz w:val="18"/>
                <w:szCs w:val="18"/>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1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3,520,293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(12,535,000)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State</w:t>
            </w:r>
          </w:p>
        </w:tc>
        <w:tc>
          <w:tcPr>
            <w:tcW w:w="3040" w:type="dxa"/>
            <w:vAlign w:val="bottom"/>
            <w:gridSpan w:val="3"/>
          </w:tcPr>
          <w:p>
            <w:pPr>
              <w:jc w:val="right"/>
              <w:ind w:right="60"/>
              <w:spacing w:after="0"/>
              <w:rPr>
                <w:sz w:val="20"/>
                <w:szCs w:val="20"/>
                <w:color w:val="auto"/>
              </w:rPr>
            </w:pPr>
            <w:r>
              <w:rPr>
                <w:rFonts w:ascii="Arial" w:cs="Arial" w:eastAsia="Arial" w:hAnsi="Arial"/>
                <w:sz w:val="18"/>
                <w:szCs w:val="18"/>
                <w:color w:val="auto"/>
              </w:rPr>
              <w:t>(1,425,789)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(881,913)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9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19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2,094,504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(13,416,913)</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4,061,000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$ 83,852,802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7,183,595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difference between the income tax expense for the years ended December 31, 2020, 2019 and 2018 and the expected income taxes based on the statutory tax rate applied to pre-tax earnings (loss) arises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102,930,722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(50,202,837)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Statutory Tax Rates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Expense/(Recovery) based on Statutory Rates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21,615,452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(10,542,596)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(1,062,111)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14,836,807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(1,536,694)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Provision to Return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5,299,091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(1,209,592)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Stock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(1,952,083)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27,570,364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14,166,223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2,263,978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 Reconciliation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(2,535,415)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7,705,790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7,604,098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9,918,112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2,113,263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Differences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(346,267)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138,873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83,852,802</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7,183,595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Income taxes paid for the years ended December 31, 2020, 2019 and 2018 were $72,574,675, $18,510,094 and $2,879,010, respectively.</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00"/>
          </w:cols>
          <w:pgMar w:left="320" w:top="459" w:right="5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and December 31, 2019, the components of deferred tax assets and liabilities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2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33,641,132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10,483,126</w:t>
            </w: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Operating Losses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13,236,414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12,997,199</w:t>
            </w: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163(j) Interest Limitation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5,481,144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 Fair Value Derivative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5,251,087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7,096,512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4,592,242</w:t>
            </w: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3,453,748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519,437</w:t>
            </w: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Valuation Allowance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(17,033,118)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(7,604,098)</w:t>
            </w:r>
          </w:p>
        </w:tc>
      </w:tr>
      <w:tr>
        <w:trPr>
          <w:trHeight w:val="27"/>
        </w:trPr>
        <w:tc>
          <w:tcPr>
            <w:tcW w:w="4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51,126,919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20,987,906</w:t>
            </w: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Right of Use Assets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(31,211,307)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(10,176,807)</w:t>
            </w: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Fair Value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(7,734,744)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(1,080,760)</w:t>
            </w: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Intangibles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(37,398,110)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(43,896,437)</w:t>
            </w:r>
          </w:p>
        </w:tc>
      </w:tr>
      <w:tr>
        <w:trPr>
          <w:trHeight w:val="230"/>
        </w:trPr>
        <w:tc>
          <w:tcPr>
            <w:tcW w:w="426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(76,344,161)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(55,154,005)</w:t>
            </w:r>
          </w:p>
        </w:tc>
        <w:tc>
          <w:tcPr>
            <w:tcW w:w="12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(25,217,242)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(34,166,099)</w:t>
            </w:r>
          </w:p>
        </w:tc>
      </w:tr>
      <w:tr>
        <w:trPr>
          <w:trHeight w:val="20"/>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Deferred tax assets are reduced by a valuation allowance when, in the opinion of management, it is more likely than not that some portion or all of the deferred tax assets will not be realized. We assess the positive and negative evidence to determine if sufficient future taxable income will be generated to use the existing deferred tax assets. A valuation allowance in the amount of $17 million is maintained as of December 31, 2020.</w:t>
      </w:r>
    </w:p>
    <w:p>
      <w:pPr>
        <w:spacing w:after="0" w:line="16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As of December 31, 2020, we had $57 million of gross federal net operating loss carryforwards which will not expire. Additionally, the Company had $18 million of gross state net operating loss carryforwards, if not claimed, begin to expire in 2031. Our evaluation of evidence resulted in management concluding that the majority of our net operating losses will not be realized.</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Section 382 and 383 of the Internal Revenue Code of 1986, as amended, utilization of our net operating losses and credits may be subject to annual limitations in the event of any significant future changes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its ownership structure. These annual limitations may result in the expiration of net operating losses and credits prior to utilization.</w:t>
      </w:r>
    </w:p>
    <w:p>
      <w:pPr>
        <w:spacing w:after="0" w:line="225"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The Company operates in a number of tax jurisdictions and are subject to examination of its income tax returns by tax authorities in those jurisdictions who may challenge any item on these returns. Because the tax</w:t>
      </w:r>
    </w:p>
    <w:p>
      <w:pPr>
        <w:spacing w:after="0" w:line="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matters challenged by tax authorities are typically complex, the ultimate outcome of these challenges is uncertain. In accordance with ASC 740— Income Taxes, the Company recognizes the benefits of uncertain tax positions in our consolidated financial statements only after determining that it is more likely than not that the uncertain tax positions will be sustained.</w:t>
      </w:r>
    </w:p>
    <w:p>
      <w:pPr>
        <w:sectPr>
          <w:pgSz w:w="11900" w:h="16838" w:orient="portrait"/>
          <w:cols w:equalWidth="0" w:num="1">
            <w:col w:w="11080"/>
          </w:cols>
          <w:pgMar w:left="320" w:top="459" w:right="499" w:bottom="1440" w:gutter="0" w:footer="0" w:header="0"/>
        </w:sectPr>
      </w:pP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27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Additions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Additions for prior year</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Subtractions for current year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Additions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Additions for prior year</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Subtractions for current year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3" w:hanging="683"/>
        <w:spacing w:after="0"/>
        <w:tabs>
          <w:tab w:leader="none" w:pos="68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23"/>
        <w:spacing w:after="0"/>
        <w:rPr>
          <w:rFonts w:ascii="Arial" w:cs="Arial" w:eastAsia="Arial" w:hAnsi="Arial"/>
          <w:sz w:val="18"/>
          <w:szCs w:val="18"/>
          <w:color w:val="auto"/>
        </w:rPr>
      </w:pPr>
      <w:r>
        <w:rPr>
          <w:rFonts w:ascii="Arial" w:cs="Arial" w:eastAsia="Arial" w:hAnsi="Arial"/>
          <w:sz w:val="17"/>
          <w:szCs w:val="17"/>
          <w:color w:val="auto"/>
        </w:rPr>
        <w:t>1,720,865</w:t>
      </w:r>
    </w:p>
    <w:p>
      <w:pPr>
        <w:spacing w:after="0" w:line="2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7"/>
          <w:szCs w:val="17"/>
          <w:color w:val="auto"/>
        </w:rPr>
        <w:t>392,398</w:t>
      </w:r>
    </w:p>
    <w:p>
      <w:pPr>
        <w:spacing w:after="0" w:line="20" w:lineRule="exact"/>
        <w:rPr>
          <w:rFonts w:ascii="Arial" w:cs="Arial" w:eastAsia="Arial" w:hAnsi="Arial"/>
          <w:sz w:val="18"/>
          <w:szCs w:val="18"/>
          <w:color w:val="auto"/>
        </w:rPr>
      </w:pPr>
    </w:p>
    <w:p>
      <w:pPr>
        <w:ind w:left="68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000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243" w:hanging="243"/>
        <w:spacing w:after="0"/>
        <w:tabs>
          <w:tab w:leader="none" w:pos="243"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2,113,263</w:t>
      </w:r>
    </w:p>
    <w:p>
      <w:pPr>
        <w:spacing w:after="0" w:line="38" w:lineRule="exact"/>
        <w:rPr>
          <w:rFonts w:ascii="Arial" w:cs="Arial" w:eastAsia="Arial" w:hAnsi="Arial"/>
          <w:sz w:val="17"/>
          <w:szCs w:val="17"/>
          <w:b w:val="1"/>
          <w:bCs w:val="1"/>
          <w:color w:val="auto"/>
        </w:rPr>
      </w:pPr>
    </w:p>
    <w:p>
      <w:pPr>
        <w:ind w:left="223"/>
        <w:spacing w:after="0"/>
        <w:rPr>
          <w:rFonts w:ascii="Arial" w:cs="Arial" w:eastAsia="Arial" w:hAnsi="Arial"/>
          <w:sz w:val="17"/>
          <w:szCs w:val="17"/>
          <w:b w:val="1"/>
          <w:bCs w:val="1"/>
          <w:color w:val="auto"/>
        </w:rPr>
      </w:pPr>
      <w:r>
        <w:rPr>
          <w:rFonts w:ascii="Arial" w:cs="Arial" w:eastAsia="Arial" w:hAnsi="Arial"/>
          <w:sz w:val="17"/>
          <w:szCs w:val="17"/>
          <w:color w:val="auto"/>
        </w:rPr>
        <w:t>7,536,097</w:t>
      </w:r>
    </w:p>
    <w:p>
      <w:pPr>
        <w:spacing w:after="0" w:line="20" w:lineRule="exact"/>
        <w:rPr>
          <w:rFonts w:ascii="Arial" w:cs="Arial" w:eastAsia="Arial" w:hAnsi="Arial"/>
          <w:sz w:val="17"/>
          <w:szCs w:val="17"/>
          <w:b w:val="1"/>
          <w:bCs w:val="1"/>
          <w:color w:val="auto"/>
        </w:rPr>
      </w:pPr>
    </w:p>
    <w:p>
      <w:pPr>
        <w:ind w:left="223"/>
        <w:spacing w:after="0"/>
        <w:rPr>
          <w:rFonts w:ascii="Arial" w:cs="Arial" w:eastAsia="Arial" w:hAnsi="Arial"/>
          <w:sz w:val="17"/>
          <w:szCs w:val="17"/>
          <w:b w:val="1"/>
          <w:bCs w:val="1"/>
          <w:color w:val="auto"/>
        </w:rPr>
      </w:pPr>
      <w:r>
        <w:rPr>
          <w:rFonts w:ascii="Arial" w:cs="Arial" w:eastAsia="Arial" w:hAnsi="Arial"/>
          <w:sz w:val="17"/>
          <w:szCs w:val="17"/>
          <w:color w:val="auto"/>
        </w:rPr>
        <w:t>2,382,014</w:t>
      </w:r>
    </w:p>
    <w:p>
      <w:pPr>
        <w:spacing w:after="0" w:line="21" w:lineRule="exact"/>
        <w:rPr>
          <w:sz w:val="20"/>
          <w:szCs w:val="20"/>
          <w:color w:val="auto"/>
        </w:rPr>
      </w:pPr>
    </w:p>
    <w:p>
      <w:pPr>
        <w:ind w:left="163"/>
        <w:spacing w:after="0"/>
        <w:rPr>
          <w:sz w:val="20"/>
          <w:szCs w:val="20"/>
          <w:color w:val="auto"/>
        </w:rPr>
      </w:pPr>
      <w:r>
        <w:rPr>
          <w:rFonts w:ascii="Arial" w:cs="Arial" w:eastAsia="Arial" w:hAnsi="Arial"/>
          <w:sz w:val="16"/>
          <w:szCs w:val="16"/>
          <w:color w:val="auto"/>
        </w:rPr>
        <w:t>(1,690,986)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000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 w:lineRule="exact"/>
        <w:rPr>
          <w:sz w:val="20"/>
          <w:szCs w:val="20"/>
          <w:color w:val="auto"/>
        </w:rPr>
      </w:pPr>
    </w:p>
    <w:p>
      <w:pPr>
        <w:ind w:left="3"/>
        <w:spacing w:after="0"/>
        <w:rPr>
          <w:sz w:val="20"/>
          <w:szCs w:val="20"/>
          <w:color w:val="auto"/>
        </w:rPr>
      </w:pPr>
      <w:r>
        <w:rPr>
          <w:rFonts w:ascii="Arial" w:cs="Arial" w:eastAsia="Arial" w:hAnsi="Arial"/>
          <w:sz w:val="17"/>
          <w:szCs w:val="17"/>
          <w:b w:val="1"/>
          <w:bCs w:val="1"/>
          <w:u w:val="single" w:color="auto"/>
          <w:color w:val="auto"/>
        </w:rPr>
        <w:t>$ 10,340,388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000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577" w:space="720"/>
            <w:col w:w="2783"/>
          </w:cols>
          <w:pgMar w:left="320" w:top="459" w:right="499" w:bottom="1440" w:gutter="0" w:footer="0" w:header="0"/>
          <w:type w:val="continuous"/>
        </w:sectPr>
      </w:pPr>
    </w:p>
    <w:p>
      <w:pPr>
        <w:spacing w:after="0" w:line="8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recognizes accrued interest and penalties related to unrecognized tax benefits in the provision for income taxes. As of December 31, 2020 and 2019, we recognized $554,000 and an immaterial amount of interest and penalties, respectively. There are no positions for which it is reasonably possible that the uncertain tax benefit will significantly increase or decrease within twelve months. We file income tax returns in the United States, various state jurisdictions, and Canada, which jurisdictions have varying statutes of limitations. The U.S. federal statute of limitation remains open for the 2016 tax year to the present. The state income tax returns generally remain open for the 2016 tax year through the present. Net operating loss arising prior to these years are also open to examination if and when utilized.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9" w:right="49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2020, 2019 and 2018 other income (expense) was comprised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10"/>
          </w:tcPr>
          <w:p>
            <w:pPr>
              <w:ind w:left="6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26,370,803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(3,530,969)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(1,771,420)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13,586,000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adjustments on warrants received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37,765,718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(815,937)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(6,608,790)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(4,206,141)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w w:val="94"/>
              </w:rPr>
              <w:t>Fair value adjustment on convertible note payable in connection with</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RTO</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1,981,358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warrants issued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(23,001,771)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9,877,013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(3,686,921)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joint ventures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626,675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(376,139)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15,376,746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(10,318,936)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56,417,421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25"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2020, cannabis regulations continue to evolve and are subject to differing interpretations. As a result, the Company may be subject to regulatory fines, penalties, or restrictions in the future.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2020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8"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2020, the Company held approximately $520,252 of open commitments to contractors on work being performed.</w:t>
      </w:r>
    </w:p>
    <w:p>
      <w:pPr>
        <w:spacing w:after="0" w:line="381" w:lineRule="exact"/>
        <w:rPr>
          <w:rFonts w:ascii="Arial" w:cs="Arial" w:eastAsia="Arial" w:hAnsi="Arial"/>
          <w:sz w:val="18"/>
          <w:szCs w:val="18"/>
          <w:b w:val="1"/>
          <w:bCs w:val="1"/>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8" w:lineRule="exact"/>
        <w:rPr>
          <w:rFonts w:ascii="Arial" w:cs="Arial" w:eastAsia="Arial" w:hAnsi="Arial"/>
          <w:sz w:val="18"/>
          <w:szCs w:val="18"/>
          <w:b w:val="1"/>
          <w:bCs w:val="1"/>
          <w:color w:val="auto"/>
        </w:rPr>
      </w:pPr>
    </w:p>
    <w:p>
      <w:pPr>
        <w:ind w:left="56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84" w:lineRule="exact"/>
        <w:rPr>
          <w:rFonts w:ascii="Arial" w:cs="Arial" w:eastAsia="Arial" w:hAnsi="Arial"/>
          <w:sz w:val="18"/>
          <w:szCs w:val="18"/>
          <w:b w:val="1"/>
          <w:bCs w:val="1"/>
          <w:color w:val="auto"/>
        </w:rPr>
      </w:pPr>
    </w:p>
    <w:p>
      <w:pPr>
        <w:ind w:left="560"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-2980690</wp:posOffset>
            </wp:positionV>
            <wp:extent cx="6995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-1292225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17"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summarizes the Company’s financial instruments which are measured at fair value as of December 31, 2020:</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8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9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$ 83,757,785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83,757,785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2860" w:type="dxa"/>
            <w:vAlign w:val="bottom"/>
            <w:gridSpan w:val="3"/>
          </w:tcPr>
          <w:p>
            <w:pPr>
              <w:jc w:val="right"/>
              <w:ind w:right="440"/>
              <w:spacing w:after="0"/>
              <w:rPr>
                <w:sz w:val="20"/>
                <w:szCs w:val="20"/>
                <w:color w:val="auto"/>
              </w:rPr>
            </w:pPr>
            <w:r>
              <w:rPr>
                <w:rFonts w:ascii="Arial" w:cs="Arial" w:eastAsia="Arial" w:hAnsi="Arial"/>
                <w:sz w:val="18"/>
                <w:szCs w:val="18"/>
                <w:color w:val="auto"/>
              </w:rPr>
              <w:t>923,581</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39,871,225</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40,794,806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(27,100,000)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(27,100,000)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Warrant Liability</w:t>
            </w:r>
          </w:p>
        </w:tc>
        <w:tc>
          <w:tcPr>
            <w:tcW w:w="1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(39,454,000)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(39,454,000)</w:t>
            </w:r>
          </w:p>
        </w:tc>
      </w:tr>
      <w:tr>
        <w:trPr>
          <w:trHeight w:val="27"/>
        </w:trPr>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$ 84,681,366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0"/>
              </w:rPr>
              <w:t>(26,682,775)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57,998,591</w:t>
            </w:r>
          </w:p>
        </w:tc>
      </w:tr>
      <w:tr>
        <w:trPr>
          <w:trHeight w:val="20"/>
        </w:trPr>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860" w:type="dxa"/>
            <w:vAlign w:val="bottom"/>
            <w:gridSpan w:val="3"/>
          </w:tcPr>
          <w:p>
            <w:pPr>
              <w:jc w:val="right"/>
              <w:ind w:right="1300"/>
              <w:spacing w:after="0"/>
              <w:rPr>
                <w:sz w:val="20"/>
                <w:szCs w:val="20"/>
                <w:color w:val="auto"/>
              </w:rPr>
            </w:pPr>
            <w:r>
              <w:rPr>
                <w:rFonts w:ascii="Arial" w:cs="Arial" w:eastAsia="Arial" w:hAnsi="Arial"/>
                <w:sz w:val="18"/>
                <w:szCs w:val="18"/>
                <w:color w:val="auto"/>
              </w:rPr>
              <w:t>F-52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i w:val="1"/>
          <w:iCs w:val="1"/>
          <w:color w:val="auto"/>
        </w:rPr>
        <w:t>(Continued)</w:t>
      </w:r>
    </w:p>
    <w:p>
      <w:pPr>
        <w:spacing w:after="0" w:line="24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summarizes the Company’s financial instruments which are measured at fair value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December 31, 2019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14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$ 46,667,334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46,667,334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Notes Receivable</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815,937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815,937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14,068,821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14,068,821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Liability of Redemption of Noncontrolling Interest</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(5,500,000)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(58,936,739)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(58,936,739)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Warrant Liability</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(15,879,843)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(15,879,843)</w:t>
            </w:r>
          </w:p>
        </w:tc>
      </w:tr>
      <w:tr>
        <w:trPr>
          <w:trHeight w:val="27"/>
        </w:trPr>
        <w:tc>
          <w:tcPr>
            <w:tcW w:w="50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$ 46,667,334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(65,431,824)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(18,764,490)</w:t>
            </w:r>
          </w:p>
        </w:tc>
      </w:tr>
      <w:tr>
        <w:trPr>
          <w:trHeight w:val="20"/>
        </w:trPr>
        <w:tc>
          <w:tcPr>
            <w:tcW w:w="5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color w:val="auto"/>
        </w:rPr>
        <w:t>As of December 31, 2019, the Company held an equity investment in a privately held entity that was acquired by a publicly traded entity during 2020. As a result of the acquisition, the Company received shares of the acquiring entity in exchange for the shares in the privately held entity. Further, the transaction resulted in a transfer of the investment from Level 3 to Level 1. As of December 31, 2020, the value of the Level 1 investment was $923,581.</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fair value levels during the period ended December 31, 2019.</w:t>
      </w:r>
    </w:p>
    <w:p>
      <w:pPr>
        <w:spacing w:after="0" w:line="370"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right="460"/>
        <w:spacing w:after="0" w:line="289" w:lineRule="auto"/>
        <w:rPr>
          <w:sz w:val="20"/>
          <w:szCs w:val="20"/>
          <w:color w:val="auto"/>
        </w:rPr>
      </w:pPr>
      <w:r>
        <w:rPr>
          <w:rFonts w:ascii="Arial" w:cs="Arial" w:eastAsia="Arial" w:hAnsi="Arial"/>
          <w:sz w:val="17"/>
          <w:szCs w:val="17"/>
          <w:color w:val="auto"/>
        </w:rPr>
        <w:t>The following table presents the summarized financial information about the Company’s consolidated variable interest entities (“</w:t>
      </w:r>
      <w:r>
        <w:rPr>
          <w:rFonts w:ascii="Arial" w:cs="Arial" w:eastAsia="Arial" w:hAnsi="Arial"/>
          <w:sz w:val="17"/>
          <w:szCs w:val="17"/>
          <w:b w:val="1"/>
          <w:bCs w:val="1"/>
          <w:color w:val="auto"/>
        </w:rPr>
        <w:t>VIEs</w:t>
      </w:r>
      <w:r>
        <w:rPr>
          <w:rFonts w:ascii="Arial" w:cs="Arial" w:eastAsia="Arial" w:hAnsi="Arial"/>
          <w:sz w:val="17"/>
          <w:szCs w:val="17"/>
          <w:color w:val="auto"/>
        </w:rPr>
        <w:t>”) which are included in the consolidated balance sheets as of December 31, 2020 and 2019. All of these entities were determined to be VIEs as the Company possesses the power to direct activities through management services agreements (“</w:t>
      </w:r>
      <w:r>
        <w:rPr>
          <w:rFonts w:ascii="Arial" w:cs="Arial" w:eastAsia="Arial" w:hAnsi="Arial"/>
          <w:sz w:val="17"/>
          <w:szCs w:val="17"/>
          <w:b w:val="1"/>
          <w:bCs w:val="1"/>
          <w:color w:val="auto"/>
        </w:rPr>
        <w:t>MSAs</w:t>
      </w:r>
      <w:r>
        <w:rPr>
          <w:rFonts w:ascii="Arial" w:cs="Arial" w:eastAsia="Arial" w:hAnsi="Arial"/>
          <w:sz w:val="17"/>
          <w:szCs w:val="17"/>
          <w:color w:val="auto"/>
        </w:rPr>
        <w: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December 31, 2020</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December 31, 2019</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3"/>
        </w:trPr>
        <w:tc>
          <w:tcPr>
            <w:tcW w:w="3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86"/>
              </w:rPr>
              <w:t>Chesapeake</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280" w:type="dxa"/>
            <w:vAlign w:val="bottom"/>
          </w:tcPr>
          <w:p>
            <w:pPr>
              <w:spacing w:after="0"/>
              <w:rPr>
                <w:sz w:val="10"/>
                <w:szCs w:val="10"/>
                <w:color w:val="auto"/>
              </w:rPr>
            </w:pPr>
          </w:p>
        </w:tc>
        <w:tc>
          <w:tcPr>
            <w:tcW w:w="110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86"/>
              </w:rPr>
              <w:t>Chesapeake</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0"/>
                <w:szCs w:val="10"/>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Alternatives,</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IL Disp,</w:t>
            </w: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Non-material</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Alternatives,</w:t>
            </w:r>
          </w:p>
        </w:tc>
        <w:tc>
          <w:tcPr>
            <w:tcW w:w="2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IL Disp,</w:t>
            </w:r>
          </w:p>
        </w:tc>
        <w:tc>
          <w:tcPr>
            <w:tcW w:w="10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Non-material</w:t>
            </w:r>
          </w:p>
        </w:tc>
      </w:tr>
      <w:tr>
        <w:trPr>
          <w:trHeight w:val="167"/>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color w:val="auto"/>
              </w:rPr>
              <w:t>LLC</w:t>
            </w:r>
          </w:p>
        </w:tc>
        <w:tc>
          <w:tcPr>
            <w:tcW w:w="20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VIEs</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rPr>
              <w:t>LLC</w:t>
            </w:r>
          </w:p>
        </w:tc>
        <w:tc>
          <w:tcPr>
            <w:tcW w:w="2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color w:val="auto"/>
              </w:rPr>
              <w:t>LLC</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rPr>
              <w:t>VIEs</w:t>
            </w: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$ 32,307,718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$ 3,738,868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2,362,572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19,455,533</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1,381,716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1,352,935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Non-current assets</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3,367,360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3,657,392</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2,281,839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22,384,663</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3,083,659</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2,534,297</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23,362,255</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336,970</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1,563,224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14,219,204</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149,498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783,682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768,573</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461,926</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783,356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1,169,989</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137,736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855,440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3,173,683</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267,289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350,206</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2,089,071</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(22,488)</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6"/>
              </w:rPr>
              <w:t>Equity attributable to Green Thumb Industries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Inc.</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11,544,250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3,173,683</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2,030,542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6,645,263</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2,089,070</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2,270,598</w:t>
            </w:r>
          </w:p>
        </w:tc>
      </w:tr>
      <w:tr>
        <w:trPr>
          <w:trHeight w:val="365"/>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F-53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following table presents the summarized financial information about the Company’s consolidated VIEs which are included in the statements of operations for the years ended December 31, 2020, 2019 and 2018:</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8"/>
              </w:rPr>
              <w:t>For the Year Ended</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jc w:val="center"/>
              <w:ind w:left="633"/>
              <w:spacing w:after="0"/>
              <w:rPr>
                <w:sz w:val="20"/>
                <w:szCs w:val="20"/>
                <w:color w:val="auto"/>
              </w:rPr>
            </w:pPr>
            <w:r>
              <w:rPr>
                <w:rFonts w:ascii="Arial" w:cs="Arial" w:eastAsia="Arial" w:hAnsi="Arial"/>
                <w:sz w:val="13"/>
                <w:szCs w:val="13"/>
                <w:b w:val="1"/>
                <w:bCs w:val="1"/>
                <w:color w:val="auto"/>
                <w:w w:val="88"/>
              </w:rPr>
              <w:t>For the Year Ended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51"/>
              <w:spacing w:after="0"/>
              <w:rPr>
                <w:sz w:val="20"/>
                <w:szCs w:val="20"/>
                <w:color w:val="auto"/>
              </w:rPr>
            </w:pPr>
            <w:r>
              <w:rPr>
                <w:rFonts w:ascii="Arial" w:cs="Arial" w:eastAsia="Arial" w:hAnsi="Arial"/>
                <w:sz w:val="13"/>
                <w:szCs w:val="13"/>
                <w:b w:val="1"/>
                <w:bCs w:val="1"/>
                <w:color w:val="auto"/>
              </w:rPr>
              <w:t>For the Year Ended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7"/>
              </w:rPr>
              <w:t>December 31, 2020</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center"/>
              <w:ind w:left="633"/>
              <w:spacing w:after="0"/>
              <w:rPr>
                <w:sz w:val="20"/>
                <w:szCs w:val="20"/>
                <w:color w:val="auto"/>
              </w:rPr>
            </w:pPr>
            <w:r>
              <w:rPr>
                <w:rFonts w:ascii="Arial" w:cs="Arial" w:eastAsia="Arial" w:hAnsi="Arial"/>
                <w:sz w:val="13"/>
                <w:szCs w:val="13"/>
                <w:b w:val="1"/>
                <w:bCs w:val="1"/>
                <w:color w:val="auto"/>
                <w:w w:val="87"/>
              </w:rPr>
              <w:t>December 31, 2019</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3"/>
                <w:szCs w:val="13"/>
                <w:b w:val="1"/>
                <w:bCs w:val="1"/>
                <w:color w:val="auto"/>
              </w:rPr>
              <w:t>December 31, 2018</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4"/>
        </w:trPr>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53"/>
              <w:spacing w:after="0" w:line="114" w:lineRule="exact"/>
              <w:rPr>
                <w:sz w:val="20"/>
                <w:szCs w:val="20"/>
                <w:color w:val="auto"/>
              </w:rPr>
            </w:pPr>
            <w:r>
              <w:rPr>
                <w:rFonts w:ascii="Arial" w:cs="Arial" w:eastAsia="Arial" w:hAnsi="Arial"/>
                <w:sz w:val="13"/>
                <w:szCs w:val="13"/>
                <w:color w:val="auto"/>
                <w:w w:val="85"/>
              </w:rPr>
              <w:t>Other</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Chesapeake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5"/>
              </w:rPr>
              <w:t>Other</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2"/>
              </w:rPr>
              <w:t>Chesapeake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8"/>
              <w:spacing w:after="0" w:line="135" w:lineRule="exact"/>
              <w:rPr>
                <w:sz w:val="20"/>
                <w:szCs w:val="20"/>
                <w:color w:val="auto"/>
              </w:rPr>
            </w:pPr>
            <w:r>
              <w:rPr>
                <w:rFonts w:ascii="Arial" w:cs="Arial" w:eastAsia="Arial" w:hAnsi="Arial"/>
                <w:sz w:val="13"/>
                <w:szCs w:val="13"/>
                <w:color w:val="auto"/>
                <w:w w:val="92"/>
              </w:rPr>
              <w:t>Non-</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Chesapeake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59"/>
              <w:spacing w:after="0" w:line="135" w:lineRule="exact"/>
              <w:rPr>
                <w:sz w:val="20"/>
                <w:szCs w:val="20"/>
                <w:color w:val="auto"/>
              </w:rPr>
            </w:pPr>
            <w:r>
              <w:rPr>
                <w:rFonts w:ascii="Arial" w:cs="Arial" w:eastAsia="Arial" w:hAnsi="Arial"/>
                <w:sz w:val="13"/>
                <w:szCs w:val="13"/>
                <w:color w:val="auto"/>
                <w:w w:val="85"/>
              </w:rPr>
              <w:t>Other</w:t>
            </w:r>
          </w:p>
        </w:tc>
      </w:tr>
      <w:tr>
        <w:trPr>
          <w:trHeight w:val="135"/>
        </w:trPr>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Alternatives,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5"/>
              </w:rPr>
              <w:t>IL Disp,</w:t>
            </w: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Non-material</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9"/>
              </w:rPr>
              <w:t>Alternatives,</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rPr>
              <w:t>IL</w:t>
            </w:r>
          </w:p>
        </w:tc>
        <w:tc>
          <w:tcPr>
            <w:tcW w:w="120" w:type="dxa"/>
            <w:vAlign w:val="bottom"/>
          </w:tcPr>
          <w:p>
            <w:pPr>
              <w:spacing w:after="0"/>
              <w:rPr>
                <w:sz w:val="11"/>
                <w:szCs w:val="11"/>
                <w:color w:val="auto"/>
              </w:rPr>
            </w:pPr>
          </w:p>
        </w:tc>
        <w:tc>
          <w:tcPr>
            <w:tcW w:w="860" w:type="dxa"/>
            <w:vAlign w:val="bottom"/>
            <w:gridSpan w:val="2"/>
          </w:tcPr>
          <w:p>
            <w:pPr>
              <w:jc w:val="center"/>
              <w:ind w:right="248"/>
              <w:spacing w:after="0" w:line="135" w:lineRule="exact"/>
              <w:rPr>
                <w:sz w:val="20"/>
                <w:szCs w:val="20"/>
                <w:color w:val="auto"/>
              </w:rPr>
            </w:pPr>
            <w:r>
              <w:rPr>
                <w:rFonts w:ascii="Arial" w:cs="Arial" w:eastAsia="Arial" w:hAnsi="Arial"/>
                <w:sz w:val="13"/>
                <w:szCs w:val="13"/>
                <w:color w:val="auto"/>
                <w:w w:val="90"/>
              </w:rPr>
              <w:t>material</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Alternatives,</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5"/>
              </w:rPr>
              <w:t>IL Disp,</w:t>
            </w:r>
          </w:p>
        </w:tc>
        <w:tc>
          <w:tcPr>
            <w:tcW w:w="940" w:type="dxa"/>
            <w:vAlign w:val="bottom"/>
            <w:gridSpan w:val="3"/>
          </w:tcPr>
          <w:p>
            <w:pPr>
              <w:jc w:val="center"/>
              <w:ind w:right="99"/>
              <w:spacing w:after="0" w:line="135" w:lineRule="exact"/>
              <w:rPr>
                <w:sz w:val="20"/>
                <w:szCs w:val="20"/>
                <w:color w:val="auto"/>
              </w:rPr>
            </w:pPr>
            <w:r>
              <w:rPr>
                <w:rFonts w:ascii="Arial" w:cs="Arial" w:eastAsia="Arial" w:hAnsi="Arial"/>
                <w:sz w:val="13"/>
                <w:szCs w:val="13"/>
                <w:color w:val="auto"/>
                <w:w w:val="91"/>
              </w:rPr>
              <w:t>Non-material</w:t>
            </w: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color w:val="auto"/>
              </w:rPr>
              <w:t>LLC</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color w:val="auto"/>
                <w:w w:val="92"/>
              </w:rPr>
              <w:t>LLC</w:t>
            </w:r>
          </w:p>
        </w:tc>
        <w:tc>
          <w:tcPr>
            <w:tcW w:w="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VIEs</w:t>
            </w:r>
          </w:p>
        </w:tc>
        <w:tc>
          <w:tcPr>
            <w:tcW w:w="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rPr>
              <w:t>LLC</w:t>
            </w:r>
          </w:p>
        </w:tc>
        <w:tc>
          <w:tcPr>
            <w:tcW w:w="8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Disp, LLC</w:t>
            </w:r>
          </w:p>
        </w:tc>
        <w:tc>
          <w:tcPr>
            <w:tcW w:w="120" w:type="dxa"/>
            <w:vAlign w:val="bottom"/>
          </w:tcPr>
          <w:p>
            <w:pPr>
              <w:spacing w:after="0"/>
              <w:rPr>
                <w:sz w:val="12"/>
                <w:szCs w:val="12"/>
                <w:color w:val="auto"/>
              </w:rPr>
            </w:pPr>
          </w:p>
        </w:tc>
        <w:tc>
          <w:tcPr>
            <w:tcW w:w="860" w:type="dxa"/>
            <w:vAlign w:val="bottom"/>
            <w:gridSpan w:val="2"/>
          </w:tcPr>
          <w:p>
            <w:pPr>
              <w:jc w:val="center"/>
              <w:ind w:right="248"/>
              <w:spacing w:after="0"/>
              <w:rPr>
                <w:sz w:val="20"/>
                <w:szCs w:val="20"/>
                <w:color w:val="auto"/>
              </w:rPr>
            </w:pPr>
            <w:r>
              <w:rPr>
                <w:rFonts w:ascii="Arial" w:cs="Arial" w:eastAsia="Arial" w:hAnsi="Arial"/>
                <w:sz w:val="13"/>
                <w:szCs w:val="13"/>
                <w:color w:val="auto"/>
                <w:w w:val="94"/>
              </w:rPr>
              <w:t>VIEs</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LLC</w:t>
            </w:r>
          </w:p>
        </w:tc>
        <w:tc>
          <w:tcPr>
            <w:tcW w:w="10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color w:val="auto"/>
              </w:rPr>
              <w:t>LLC</w:t>
            </w:r>
          </w:p>
        </w:tc>
        <w:tc>
          <w:tcPr>
            <w:tcW w:w="160" w:type="dxa"/>
            <w:vAlign w:val="bottom"/>
          </w:tcPr>
          <w:p>
            <w:pPr>
              <w:spacing w:after="0"/>
              <w:rPr>
                <w:sz w:val="12"/>
                <w:szCs w:val="12"/>
                <w:color w:val="auto"/>
              </w:rPr>
            </w:pPr>
          </w:p>
        </w:tc>
        <w:tc>
          <w:tcPr>
            <w:tcW w:w="780" w:type="dxa"/>
            <w:vAlign w:val="bottom"/>
            <w:gridSpan w:val="2"/>
          </w:tcPr>
          <w:p>
            <w:pPr>
              <w:jc w:val="center"/>
              <w:ind w:right="239"/>
              <w:spacing w:after="0"/>
              <w:rPr>
                <w:sz w:val="20"/>
                <w:szCs w:val="20"/>
                <w:color w:val="auto"/>
              </w:rPr>
            </w:pPr>
            <w:r>
              <w:rPr>
                <w:rFonts w:ascii="Arial" w:cs="Arial" w:eastAsia="Arial" w:hAnsi="Arial"/>
                <w:sz w:val="13"/>
                <w:szCs w:val="13"/>
                <w:color w:val="auto"/>
                <w:w w:val="94"/>
              </w:rPr>
              <w:t>VIEs</w:t>
            </w:r>
          </w:p>
        </w:tc>
      </w:tr>
      <w:tr>
        <w:trPr>
          <w:trHeight w:val="142"/>
        </w:trPr>
        <w:tc>
          <w:tcPr>
            <w:tcW w:w="2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19,724,513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18,693,964</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10,011,729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16,056,521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5,857,946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3,516,164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13,783,876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643,898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1"/>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4,555,543</w:t>
            </w:r>
          </w:p>
        </w:tc>
        <w:tc>
          <w:tcPr>
            <w:tcW w:w="120" w:type="dxa"/>
            <w:vAlign w:val="bottom"/>
            <w:tcBorders>
              <w:top w:val="single" w:sz="8" w:color="CCEEFF"/>
            </w:tcBorders>
            <w:shd w:val="clear" w:color="auto" w:fill="CCEEFF"/>
          </w:tcPr>
          <w:p>
            <w:pPr>
              <w:spacing w:after="0"/>
              <w:rPr>
                <w:sz w:val="12"/>
                <w:szCs w:val="12"/>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Net income (loss) attributable to</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252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411,162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3,034,612</w:t>
            </w:r>
          </w:p>
        </w:tc>
        <w:tc>
          <w:tcPr>
            <w:tcW w:w="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639,179</w:t>
            </w: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699,624</w:t>
            </w:r>
          </w:p>
        </w:tc>
        <w:tc>
          <w:tcPr>
            <w:tcW w:w="12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(112,245)</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1,407,266</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60,601</w:t>
            </w:r>
          </w:p>
        </w:tc>
        <w:tc>
          <w:tcPr>
            <w:tcW w:w="160" w:type="dxa"/>
            <w:vAlign w:val="bottom"/>
          </w:tcPr>
          <w:p>
            <w:pPr>
              <w:spacing w:after="0"/>
              <w:rPr>
                <w:sz w:val="14"/>
                <w:szCs w:val="14"/>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(582,280)</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(loss) attributable to Green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Thumb Industries Inc.</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4,576,717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3,034,612</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574,941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1,807,229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699,625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(79,402)</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60,600</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(102,037)</w:t>
            </w:r>
          </w:p>
        </w:tc>
      </w:tr>
      <w:tr>
        <w:trPr>
          <w:trHeight w:val="156"/>
        </w:trPr>
        <w:tc>
          <w:tcPr>
            <w:tcW w:w="2520" w:type="dxa"/>
            <w:vAlign w:val="bottom"/>
          </w:tcPr>
          <w:p>
            <w:pPr>
              <w:spacing w:after="0" w:line="155" w:lineRule="exact"/>
              <w:rPr>
                <w:sz w:val="20"/>
                <w:szCs w:val="20"/>
                <w:color w:val="auto"/>
              </w:rPr>
            </w:pPr>
            <w:r>
              <w:rPr>
                <w:rFonts w:ascii="Arial" w:cs="Arial" w:eastAsia="Arial" w:hAnsi="Arial"/>
                <w:sz w:val="14"/>
                <w:szCs w:val="14"/>
                <w:color w:val="auto"/>
              </w:rPr>
              <w:t>Net income (loss)</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4,987,879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6,069,224</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1,214,120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1,807,229</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1,399,249</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(191,647</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1,407,266</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121,201</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(684,317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of December 31, 2020, VIEs included in the Other Non-material VIEs are Bluepoint Wellness of Westport LLC and Meshow, LLC. As of December 31, 2019, VIEs included in the Other Non-material VIEs are Bluepoint Wellness of Westport, LLC, Meshow, LLC and Ohio Investors 2017, LLC. As of December 31, 2018, VIEs included in the Other Non-material VIEs are Meshow, LLC, KW Ventures Holdings, LLC and Ohio Investors 2017, LLC</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2020 and 2019:</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4"/>
              </w:rPr>
              <w:t>Variable Interest Entities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right"/>
              <w:ind w:right="448"/>
              <w:spacing w:after="0" w:line="123" w:lineRule="exact"/>
              <w:rPr>
                <w:sz w:val="20"/>
                <w:szCs w:val="20"/>
                <w:color w:val="auto"/>
              </w:rPr>
            </w:pPr>
            <w:r>
              <w:rPr>
                <w:rFonts w:ascii="Arial" w:cs="Arial" w:eastAsia="Arial" w:hAnsi="Arial"/>
                <w:sz w:val="14"/>
                <w:szCs w:val="14"/>
                <w:color w:val="auto"/>
                <w:w w:val="86"/>
              </w:rPr>
              <w:t>Chesapeake</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3"/>
              <w:spacing w:after="0" w:line="123"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00" w:type="dxa"/>
            <w:vAlign w:val="bottom"/>
            <w:gridSpan w:val="3"/>
          </w:tcPr>
          <w:p>
            <w:pPr>
              <w:jc w:val="right"/>
              <w:ind w:right="428"/>
              <w:spacing w:after="0" w:line="149" w:lineRule="exact"/>
              <w:rPr>
                <w:sz w:val="20"/>
                <w:szCs w:val="20"/>
                <w:color w:val="auto"/>
              </w:rPr>
            </w:pPr>
            <w:r>
              <w:rPr>
                <w:rFonts w:ascii="Arial" w:cs="Arial" w:eastAsia="Arial" w:hAnsi="Arial"/>
                <w:sz w:val="14"/>
                <w:szCs w:val="14"/>
                <w:color w:val="auto"/>
              </w:rPr>
              <w:t>Alternatives,</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Non-material</w:t>
            </w: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48"/>
              <w:spacing w:after="0"/>
              <w:rPr>
                <w:sz w:val="20"/>
                <w:szCs w:val="20"/>
                <w:color w:val="auto"/>
              </w:rPr>
            </w:pPr>
            <w:r>
              <w:rPr>
                <w:rFonts w:ascii="Arial" w:cs="Arial" w:eastAsia="Arial" w:hAnsi="Arial"/>
                <w:sz w:val="14"/>
                <w:szCs w:val="14"/>
                <w:color w:val="auto"/>
              </w:rPr>
              <w:t>LLC</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color w:val="auto"/>
              </w:rPr>
              <w:t>IL Disp, LLC</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color w:val="auto"/>
              </w:rPr>
              <w:t>VIEs</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January 1,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1,486,062</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$ 1,957,147</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$ 3,497,459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1,650,000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1"/>
              </w:rPr>
              <w:t>(1,135,856)</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(567,700)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(5,812,505)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(7,516,061)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699,624</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(112,245)</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(1,017,842)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(430,463)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5,311,978</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5,311,978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40" w:type="dxa"/>
            <w:vAlign w:val="bottom"/>
          </w:tcPr>
          <w:p>
            <w:pPr>
              <w:spacing w:after="0"/>
              <w:rPr>
                <w:sz w:val="20"/>
                <w:szCs w:val="20"/>
                <w:color w:val="auto"/>
              </w:rPr>
            </w:pPr>
            <w:r>
              <w:rPr>
                <w:rFonts w:ascii="Arial" w:cs="Arial" w:eastAsia="Arial" w:hAnsi="Arial"/>
                <w:sz w:val="18"/>
                <w:szCs w:val="18"/>
                <w:color w:val="auto"/>
              </w:rPr>
              <w:t>Balance as at December 31, 2019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350,206</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2,089,071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(22,488)</w:t>
            </w: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96,124</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2,512,913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8"/>
                <w:szCs w:val="18"/>
                <w:color w:val="auto"/>
              </w:rPr>
            </w:pPr>
          </w:p>
        </w:tc>
        <w:tc>
          <w:tcPr>
            <w:tcW w:w="1220" w:type="dxa"/>
            <w:vAlign w:val="bottom"/>
            <w:gridSpan w:val="2"/>
          </w:tcPr>
          <w:p>
            <w:pPr>
              <w:jc w:val="right"/>
              <w:ind w:right="288"/>
              <w:spacing w:after="0"/>
              <w:rPr>
                <w:sz w:val="20"/>
                <w:szCs w:val="20"/>
                <w:color w:val="auto"/>
              </w:rPr>
            </w:pPr>
            <w:r>
              <w:rPr>
                <w:rFonts w:ascii="Arial" w:cs="Arial" w:eastAsia="Arial" w:hAnsi="Arial"/>
                <w:sz w:val="18"/>
                <w:szCs w:val="18"/>
                <w:color w:val="auto"/>
              </w:rPr>
              <w:t>(439,098)</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(1,950,000)</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(399,402)</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(2,788,500)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411,162</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3,034,612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639,179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4,084,953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Changes in ownership</w:t>
            </w:r>
          </w:p>
        </w:tc>
        <w:tc>
          <w:tcPr>
            <w:tcW w:w="80" w:type="dxa"/>
            <w:vAlign w:val="bottom"/>
          </w:tcPr>
          <w:p>
            <w:pPr>
              <w:spacing w:after="0"/>
              <w:rPr>
                <w:sz w:val="18"/>
                <w:szCs w:val="18"/>
                <w:color w:val="auto"/>
              </w:rPr>
            </w:pPr>
          </w:p>
        </w:tc>
        <w:tc>
          <w:tcPr>
            <w:tcW w:w="1220" w:type="dxa"/>
            <w:vAlign w:val="bottom"/>
            <w:gridSpan w:val="2"/>
          </w:tcPr>
          <w:p>
            <w:pPr>
              <w:jc w:val="right"/>
              <w:ind w:right="288"/>
              <w:spacing w:after="0"/>
              <w:rPr>
                <w:sz w:val="20"/>
                <w:szCs w:val="20"/>
                <w:color w:val="auto"/>
              </w:rPr>
            </w:pPr>
            <w:r>
              <w:rPr>
                <w:rFonts w:ascii="Arial" w:cs="Arial" w:eastAsia="Arial" w:hAnsi="Arial"/>
                <w:sz w:val="18"/>
                <w:szCs w:val="18"/>
                <w:color w:val="auto"/>
              </w:rPr>
              <w:t>(322,270)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(322,270)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$ 3,173,683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267,289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96,124</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$ 3,537,096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On December 31, 2020, the MSA for Chesapeake Alternatives, LLC was amended and restated to make GTI Maryland, LLC, the sole member of the entity. As a result, the remaining equity associated with the noncontrolling interest was closed to share capital of Green Thumb as of December 31, 2020.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2019, the Company acquired the noncontrolling interests for Ohio Investors 2017, LLC; KW Ventures Holdings, LLC (Firefly); and GTI New Jersey, LLC. The activity for these entities is included within the Other Noncontrolling Interests column in the above table. See Note 13—Share Capital for additional discussion.</w:t>
      </w:r>
    </w:p>
    <w:p>
      <w:pPr>
        <w:spacing w:after="0" w:line="328"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(consumer packaged goods) and retailing of cannabis to patients and consumers (retail). The below table presents revenues by type for the years ended December 31, 2020, 2019 and 2018:</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273,977,174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109,930,160</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25,706,134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396,371,725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137,809,904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41,994,791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(113,776,010)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(31,307,459)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(5,207,245)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556,572,889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216,432,605</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62,493,680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gridSpan w:val="2"/>
            <w:vMerge w:val="continue"/>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28,207,195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17,792,040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Retail</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24,298,380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13,690,300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52,505,575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31,482,340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restart"/>
          </w:tcPr>
          <w:p>
            <w:pPr>
              <w:spacing w:after="0"/>
              <w:rPr>
                <w:sz w:val="4"/>
                <w:szCs w:val="4"/>
                <w:color w:val="auto"/>
              </w:rPr>
            </w:pPr>
          </w:p>
        </w:tc>
        <w:tc>
          <w:tcPr>
            <w:tcW w:w="3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33,964,636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3,727,292</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2,245,450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49,888,166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9,905,876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(4,289,135)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83,852,802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9,344,033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7,183,595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Goodwill assigned to the Consumer Packaged Goods segment as of December 31, 2020 and December 31, 2019 was $252,016,532 and $255,211,232, respectively. Intangible assets, net assigned to the Consumer Packaged Goods segment as of December 31, 2020 and December 31, 2019 was $211,303,718 and $228,244,254, respectively.</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Goodwill assigned to the Retail segment as of December 31, 2020 and December 31, 2019 was $130,680,935 and $119,873,759, respectively. Intangible assets, net assigned to the Retail segment as of December 31, 2020 and December 31, 2019 was $194,938,316 and $207,002,644, respectively.</w:t>
      </w:r>
    </w:p>
    <w:p>
      <w:pPr>
        <w:spacing w:after="0" w:line="12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Expressed in United States Dollars, Except Where Stated Otherwise)</w:t>
      </w:r>
    </w:p>
    <w:p>
      <w:pPr>
        <w:spacing w:after="0" w:line="234"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licenses each market holds. All revenues are derived from customers domiciled in the United States and all assets are located in the United States.</w:t>
      </w:r>
    </w:p>
    <w:p>
      <w:pPr>
        <w:spacing w:after="0" w:line="393"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following table contains selected quarterly data for 2020 and 2019.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102,602,602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119,639,924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157,103,841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177,226,522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556,572,889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7,552,657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14,050,703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37,211,186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47,292,283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106,106,829</w:t>
            </w:r>
          </w:p>
        </w:tc>
        <w:tc>
          <w:tcPr>
            <w:tcW w:w="0" w:type="dxa"/>
            <w:vAlign w:val="bottom"/>
          </w:tcPr>
          <w:p>
            <w:pPr>
              <w:spacing w:after="0"/>
              <w:rPr>
                <w:sz w:val="1"/>
                <w:szCs w:val="1"/>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8"/>
              </w:rPr>
              <w:t>Net Income (loss) attributable to Green Thumb Industries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Inc.</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(4,206,264)</w:t>
            </w: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(12,909,505)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9,643,929</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22,464,807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14,992,967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common shares outstanding—</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208,468,356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209,902,732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211,990,405</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213,249,477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210,988,259</w:t>
            </w:r>
          </w:p>
        </w:tc>
        <w:tc>
          <w:tcPr>
            <w:tcW w:w="0" w:type="dxa"/>
            <w:vAlign w:val="bottom"/>
          </w:tcPr>
          <w:p>
            <w:pPr>
              <w:spacing w:after="0"/>
              <w:rPr>
                <w:sz w:val="1"/>
                <w:szCs w:val="1"/>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common shares outstanding—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208,468,356</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209,902,732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214,212,292</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217,178,771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212,531,188</w:t>
            </w: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27,913,163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44,726,777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67,990,907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75,801,758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216,432,605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(13,629,660)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(9,326,730)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1,376,718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(6,111,030)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(27,690,702)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attributable to Green Thumb Industries Inc.</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(9,563,056)</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(20,892,049)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(14,590,793)</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(14,070,509)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(59,116,407)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per share—diluted</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common shares outstanding—</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167,171,886</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182,261,947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204,709,085</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207,666,666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190,602,400</w:t>
            </w:r>
          </w:p>
        </w:tc>
        <w:tc>
          <w:tcPr>
            <w:tcW w:w="0" w:type="dxa"/>
            <w:vAlign w:val="bottom"/>
          </w:tcPr>
          <w:p>
            <w:pPr>
              <w:spacing w:after="0"/>
              <w:rPr>
                <w:sz w:val="1"/>
                <w:szCs w:val="1"/>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common shares outstanding—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167,171,886</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182,261,947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204,709,085</w:t>
            </w: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207,666,666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190,602,400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On February 8, 2021, the SEC declared effective, the Company’s Registration Statement No. 333-248213 on Form S-1 filed on February 2, 2021. Shortly thereafter, the Company received an offer from a single institutional investor to purchase 3,122,073 of the Subordinate Voting Shares registered on the Form S-1 at a price of $32.03 per share for a total of $100,000,030. The transaction closed on February 9, 2021. On February 23, 2021, the Company accepted additional offers to purchase a total of 1,571,917 Subordinate Voting Shares at a price of $35.50 per share, for a total of $55,803,054.</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25"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have audited the accompanying consolidated balance sheets of Green Thumb Industries Inc. (the “Company”) as of December 31, 2020 and 2019, and the related consolidated statement of operations, changes in shareholders’ equity, and cash flows for each of the years in the two year period ended December 31 2020, and the related notes (collectively referred to as the “consolidated financial statements”). In our opinion, the consolidated financial statements present fairly, in all material respects, the consolidated financial position of the Company as of December 31, 2020 and 2019, and the consolidated results of its operations and its cash flows for each of the years in the two year period ended December 31, 2020, in conformity with accounting principles generally accepted in the United States of America.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18,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Green Thumb Industries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222250</wp:posOffset>
            </wp:positionV>
            <wp:extent cx="977265" cy="2571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97726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Chartered Professional Accountants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16, 2019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Toronto, Ontario</w:t>
      </w: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246380</wp:posOffset>
            </wp:positionV>
            <wp:extent cx="934720" cy="3003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934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OF INDEMNIFICATION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[INSERT DAY HERE] day of [INSERT MONTH HERE], 2021.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[INSERT NAME HERE], </w:t>
      </w:r>
      <w:r>
        <w:rPr>
          <w:rFonts w:ascii="Arial" w:cs="Arial" w:eastAsia="Arial" w:hAnsi="Arial"/>
          <w:sz w:val="18"/>
          <w:szCs w:val="18"/>
          <w:color w:val="auto"/>
        </w:rPr>
        <w:t>an individual having an address of [INSERT ADDRESS HERE], United States of America.</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and -</w:t>
      </w:r>
    </w:p>
    <w:p>
      <w:pPr>
        <w:spacing w:after="0" w:line="113" w:lineRule="exact"/>
        <w:rPr>
          <w:sz w:val="20"/>
          <w:szCs w:val="20"/>
          <w:color w:val="auto"/>
        </w:rPr>
      </w:pPr>
    </w:p>
    <w:p>
      <w:pPr>
        <w:ind w:left="984" w:right="3360"/>
        <w:spacing w:after="0" w:line="407" w:lineRule="auto"/>
        <w:rPr>
          <w:sz w:val="20"/>
          <w:szCs w:val="20"/>
          <w:color w:val="auto"/>
        </w:rPr>
      </w:pPr>
      <w:r>
        <w:rPr>
          <w:rFonts w:ascii="Arial" w:cs="Arial" w:eastAsia="Arial" w:hAnsi="Arial"/>
          <w:sz w:val="18"/>
          <w:szCs w:val="18"/>
          <w:b w:val="1"/>
          <w:bCs w:val="1"/>
          <w:color w:val="auto"/>
        </w:rPr>
        <w:t xml:space="preserve">Green Thumb Industries Inc., </w:t>
      </w:r>
      <w:r>
        <w:rPr>
          <w:rFonts w:ascii="Arial" w:cs="Arial" w:eastAsia="Arial" w:hAnsi="Arial"/>
          <w:sz w:val="18"/>
          <w:szCs w:val="18"/>
          <w:color w:val="auto"/>
        </w:rPr>
        <w:t>a company incorporated under the laws of British Columbia</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Company desires to attract and retain the services of highly qualified individuals such as the Indemnitee to serve as directors and/or officers;</w:t>
      </w:r>
    </w:p>
    <w:p>
      <w:pPr>
        <w:spacing w:after="0" w:line="153" w:lineRule="exact"/>
        <w:rPr>
          <w:rFonts w:ascii="Arial" w:cs="Arial" w:eastAsia="Arial" w:hAnsi="Arial"/>
          <w:sz w:val="16"/>
          <w:szCs w:val="16"/>
          <w:color w:val="auto"/>
        </w:rPr>
      </w:pPr>
    </w:p>
    <w:p>
      <w:pPr>
        <w:ind w:left="424" w:right="240" w:hanging="424"/>
        <w:spacing w:after="0" w:line="263" w:lineRule="auto"/>
        <w:tabs>
          <w:tab w:leader="none" w:pos="4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order to attract such individuals the Company desires to provide them with the maximum protection permitted by applicable law against liabilities they may incur in their capacities as directors and/or officers of the Company or its affiliated entities or in any other capacity in which they may act at the request of the Company;</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light of the foregoing, the Indemnitee consented to be elected and has been elected as a director or appointed as an officer of the Company; and</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desires to provide the Indemnitee with such maximum protection.</w:t>
      </w:r>
    </w:p>
    <w:p>
      <w:pPr>
        <w:spacing w:after="0" w:line="221"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the payment by each party to the other of the sum of $10.00 in lawful money of Canada</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of which is hereby acknowledged), the respective covenants of each party set forth in this Agreement and other good and valuable consideration (the sufficiency of which is acknowledged), the parties hereby agree as follows: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(British Columbia) as in force from time to time during the term of this Agreement;</w:t>
      </w:r>
    </w:p>
    <w:p>
      <w:pPr>
        <w:spacing w:after="0" w:line="117" w:lineRule="exact"/>
        <w:rPr>
          <w:sz w:val="20"/>
          <w:szCs w:val="20"/>
          <w:color w:val="auto"/>
        </w:rPr>
      </w:pPr>
    </w:p>
    <w:p>
      <w:pPr>
        <w:ind w:left="444" w:right="160"/>
        <w:spacing w:after="0" w:line="261"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means any person who is or was a director, officer, employee or other agent of the Company, or is or was serving at the request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a director, officer, employee or agent of another corporation, partnership, joint venture, trust, body corporate, employee benefit plan or other entity or enterprise (the Company and such other corporation, partnership, joint venture, trust, body corporate, employee benefit plan or other entity or enterprise being hereinafter referred to as the “</w:t>
      </w:r>
      <w:r>
        <w:rPr>
          <w:rFonts w:ascii="Arial" w:cs="Arial" w:eastAsia="Arial" w:hAnsi="Arial"/>
          <w:sz w:val="18"/>
          <w:szCs w:val="18"/>
          <w:b w:val="1"/>
          <w:bCs w:val="1"/>
          <w:color w:val="auto"/>
        </w:rPr>
        <w:t>Subject Entity</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54" w:name="page155"/>
    <w:bookmarkEnd w:id="154"/>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“Board” </w:t>
      </w:r>
      <w:r>
        <w:rPr>
          <w:rFonts w:ascii="Arial" w:cs="Arial" w:eastAsia="Arial" w:hAnsi="Arial"/>
          <w:sz w:val="18"/>
          <w:szCs w:val="18"/>
          <w:color w:val="auto"/>
        </w:rPr>
        <w:t>means the board of directors of the Company;</w:t>
      </w:r>
    </w:p>
    <w:p>
      <w:pPr>
        <w:spacing w:after="0" w:line="117" w:lineRule="exact"/>
        <w:rPr>
          <w:sz w:val="20"/>
          <w:szCs w:val="20"/>
          <w:color w:val="auto"/>
        </w:rPr>
      </w:pPr>
    </w:p>
    <w:p>
      <w:pPr>
        <w:ind w:left="444" w:right="300"/>
        <w:spacing w:after="0" w:line="282" w:lineRule="auto"/>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means, without limitation, lawyers’ fees and disbursements and any expenses of establishing a right to indemnification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Act or otherwise; and</w:t>
      </w:r>
    </w:p>
    <w:p>
      <w:pPr>
        <w:spacing w:after="0" w:line="54" w:lineRule="exact"/>
        <w:rPr>
          <w:sz w:val="20"/>
          <w:szCs w:val="20"/>
          <w:color w:val="auto"/>
        </w:rPr>
      </w:pPr>
    </w:p>
    <w:p>
      <w:pPr>
        <w:ind w:left="444" w:right="20"/>
        <w:spacing w:after="0" w:line="261" w:lineRule="auto"/>
        <w:rPr>
          <w:sz w:val="20"/>
          <w:szCs w:val="20"/>
          <w:color w:val="auto"/>
        </w:rPr>
      </w:pPr>
      <w:r>
        <w:rPr>
          <w:rFonts w:ascii="Arial" w:cs="Arial" w:eastAsia="Arial" w:hAnsi="Arial"/>
          <w:sz w:val="18"/>
          <w:szCs w:val="18"/>
          <w:b w:val="1"/>
          <w:bCs w:val="1"/>
          <w:color w:val="auto"/>
        </w:rPr>
        <w:t xml:space="preserve">“Proceeding” </w:t>
      </w:r>
      <w:r>
        <w:rPr>
          <w:rFonts w:ascii="Arial" w:cs="Arial" w:eastAsia="Arial" w:hAnsi="Arial"/>
          <w:sz w:val="18"/>
          <w:szCs w:val="18"/>
          <w:color w:val="auto"/>
        </w:rPr>
        <w:t>means any threatened, pending, contemplated or completed action, suit or proceeding, whether a civil, criminal,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investigative or other proceeding, including any appeal therefrom, to which the Indemnitee is or was a party or is threatened to be made a party by reason of the fact that the Indemnitee is or was an director or officer of the Company or by reason of anything done or not done by the Indemnitee in such capacity.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Agreement to Serve</w:t>
      </w:r>
    </w:p>
    <w:p>
      <w:pPr>
        <w:spacing w:after="0" w:line="12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In consideration of the protection afforded by this agreement, the Indemnitee agrees to serve as a director and/or officer of the Company, provided that nothing in this Agreement shall prohibit the Indemnitee from resigning as such at any time.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Indemnification</w:t>
      </w:r>
    </w:p>
    <w:p>
      <w:pPr>
        <w:spacing w:after="0" w:line="135" w:lineRule="exact"/>
        <w:rPr>
          <w:sz w:val="20"/>
          <w:szCs w:val="20"/>
          <w:color w:val="auto"/>
        </w:rPr>
      </w:pPr>
    </w:p>
    <w:p>
      <w:pPr>
        <w:ind w:left="424" w:right="80" w:hanging="424"/>
        <w:spacing w:after="0" w:line="286" w:lineRule="auto"/>
        <w:tabs>
          <w:tab w:leader="none" w:pos="424" w:val="left"/>
        </w:tabs>
        <w:numPr>
          <w:ilvl w:val="0"/>
          <w:numId w:val="137"/>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Indemnity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shall indemnify the Indemnitee, effective from the date the Indemnitee was first elected to the Board or appointed as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against any and all Expenses, judgments, fines, penalties, settlements and any other amounts actually and reasonably incurred by the Indemnitee in connection with any Proceeding to the full extent permitted by the Act if,</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Indemnitee acted honestly and in good faith with a view to the best interests of the Company; and</w:t>
      </w:r>
    </w:p>
    <w:p>
      <w:pPr>
        <w:spacing w:after="0" w:line="130" w:lineRule="exact"/>
        <w:rPr>
          <w:rFonts w:ascii="Arial" w:cs="Arial" w:eastAsia="Arial" w:hAnsi="Arial"/>
          <w:sz w:val="18"/>
          <w:szCs w:val="18"/>
          <w:color w:val="auto"/>
        </w:rPr>
      </w:pPr>
    </w:p>
    <w:p>
      <w:pPr>
        <w:ind w:left="964" w:right="420" w:hanging="532"/>
        <w:spacing w:after="0" w:line="263" w:lineRule="auto"/>
        <w:tabs>
          <w:tab w:leader="none" w:pos="96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that is enforced by a monetary penalty, the Indemnitee had reasonable grounds for believing that his or her conduct was lawful (such sections 3(1)(a) and (b) being herein collectively referred to as the “</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76" w:lineRule="exact"/>
        <w:rPr>
          <w:sz w:val="20"/>
          <w:szCs w:val="20"/>
          <w:color w:val="auto"/>
        </w:rPr>
      </w:pPr>
    </w:p>
    <w:p>
      <w:pPr>
        <w:ind w:left="444"/>
        <w:spacing w:after="0" w:line="301" w:lineRule="auto"/>
        <w:rPr>
          <w:sz w:val="20"/>
          <w:szCs w:val="20"/>
          <w:color w:val="auto"/>
        </w:rPr>
      </w:pPr>
      <w:r>
        <w:rPr>
          <w:rFonts w:ascii="Arial" w:cs="Arial" w:eastAsia="Arial" w:hAnsi="Arial"/>
          <w:sz w:val="16"/>
          <w:szCs w:val="16"/>
          <w:color w:val="auto"/>
        </w:rPr>
        <w:t>No determination in any Proceeding against the Indemnitee by judgment, order, settlement (with or without court approval) or conviction shall, of itself, create a presumption that the Indemnitee did not meet the Conditions. The Indemnitee shall be deemed, subject only to compelling evidence to the contrary, to have acted honestly and in good faith with a view to the best interests of the Company, and the Company shall have the burden of establishing the absence of good faith or acting with a view to best interests of the Company on the part of the Indemnitee.</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4"/>
          </w:cols>
          <w:pgMar w:left="436" w:top="270" w:right="479" w:bottom="1440" w:gutter="0" w:footer="0" w:header="0"/>
        </w:sectPr>
      </w:pPr>
    </w:p>
    <w:bookmarkStart w:id="155" w:name="page156"/>
    <w:bookmarkEnd w:id="155"/>
    <w:p>
      <w:pPr>
        <w:ind w:left="444"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 other provision of this Agreement to the contrary, to the extent that the Indemnitee is, by reason of the Indemnitee’s status with respect to the Company or any other Subject Entity, a witness or otherwise participates in any action, suit or proceeding at a time when the Indemnitee is not a party in the action, suit or proceeding, the Company shall indemnify the Indemnitee against all expenses (including Expenses) actually and reasonably incurred by the Indemnitee or on the Indemnitee’s behalf in connection therewith.</w:t>
      </w:r>
    </w:p>
    <w:p>
      <w:pPr>
        <w:spacing w:after="0" w:line="63"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The Indemnitee shall be presumed to be entitled to indemnification under this Agreement upon notice pursuant to Section 3(2), and the Company shall have the burden of proof in overcoming that presumption in reaching a determination contrary to that presumption. Such presumption shall be used as a basis for a determination of entitlement to indemnification unless the Company overcomes such presumption by clear and convincing evidence.</w:t>
      </w:r>
    </w:p>
    <w:p>
      <w:pPr>
        <w:spacing w:after="0" w:line="92" w:lineRule="exact"/>
        <w:rPr>
          <w:sz w:val="20"/>
          <w:szCs w:val="20"/>
          <w:color w:val="auto"/>
        </w:rPr>
      </w:pPr>
    </w:p>
    <w:p>
      <w:pPr>
        <w:ind w:left="424" w:right="20" w:hanging="424"/>
        <w:spacing w:after="0" w:line="259" w:lineRule="auto"/>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Claims Brought Against Indemnitee by the Company</w:t>
      </w:r>
      <w:r>
        <w:rPr>
          <w:rFonts w:ascii="Arial" w:cs="Arial" w:eastAsia="Arial" w:hAnsi="Arial"/>
          <w:sz w:val="18"/>
          <w:szCs w:val="18"/>
          <w:color w:val="auto"/>
        </w:rPr>
        <w:t>. Subject to court approval as contemplated by section 164 of the Act and the restrictions set out in Section 10 of the Agreement, the Company shall indemnify the Indemnitee against any and all Expenses, judgments, fines, penalties, settlements and any other amounts actually and reasonably incurred by the Indemnitee in connection with any Proceeding brought by or on behalf of the Company, provided the Conditions are met.</w:t>
      </w:r>
    </w:p>
    <w:p>
      <w:pPr>
        <w:spacing w:after="0" w:line="92" w:lineRule="exact"/>
        <w:rPr>
          <w:rFonts w:ascii="Arial" w:cs="Arial" w:eastAsia="Arial" w:hAnsi="Arial"/>
          <w:sz w:val="18"/>
          <w:szCs w:val="18"/>
          <w:color w:val="auto"/>
        </w:rPr>
      </w:pPr>
    </w:p>
    <w:p>
      <w:pPr>
        <w:ind w:left="424" w:hanging="424"/>
        <w:spacing w:after="0" w:line="269" w:lineRule="auto"/>
        <w:tabs>
          <w:tab w:leader="none" w:pos="424" w:val="left"/>
        </w:tabs>
        <w:numPr>
          <w:ilvl w:val="0"/>
          <w:numId w:val="138"/>
        </w:numPr>
        <w:rPr>
          <w:rFonts w:ascii="Arial" w:cs="Arial" w:eastAsia="Arial" w:hAnsi="Arial"/>
          <w:sz w:val="17"/>
          <w:szCs w:val="17"/>
          <w:color w:val="auto"/>
        </w:rPr>
      </w:pPr>
      <w:r>
        <w:rPr>
          <w:rFonts w:ascii="Arial" w:cs="Arial" w:eastAsia="Arial" w:hAnsi="Arial"/>
          <w:sz w:val="17"/>
          <w:szCs w:val="17"/>
          <w:i w:val="1"/>
          <w:iCs w:val="1"/>
          <w:u w:val="single" w:color="auto"/>
          <w:color w:val="auto"/>
        </w:rPr>
        <w:t>Notice and Co-operation by the Indemnitee</w:t>
      </w:r>
      <w:r>
        <w:rPr>
          <w:rFonts w:ascii="Arial" w:cs="Arial" w:eastAsia="Arial" w:hAnsi="Arial"/>
          <w:sz w:val="17"/>
          <w:szCs w:val="17"/>
          <w:color w:val="auto"/>
        </w:rPr>
        <w:t>. The Indemnitee shall, as a condition precedent to his or her right to be indemnified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give the Company notice in writing as soon as practicable of the commencement or the threatened commencement of any Proceeding against the Indemnitee for which indemnification will or could be sought under this Agreement, including with such notice such documentation and information as is reasonably available to the Indemnitee and is reasonably necessary to determine whether and to what extent the Indemnitee is entitled to indemnification. In addition, the Indemnitee shall co-operate with the Company regarding such Proceeding as the Company may reasonably require and as shall be within the Indemnitee’s power. Notice to the Company shall be directed to the address set-out below (or such other address as the Company shall designate in writing to the Indemnitee). The failure to promptly notify the Company of the commencement or threatened commencement of the Proceeding, or the Indemnitee’s request for indemnification, will not relieve the Company from any liability that it may have to the Indemnitee hereunder, except to the extent the Company is materially prejudiced in its defense of such Proceeding as a result of such failure.</w:t>
      </w:r>
    </w:p>
    <w:p>
      <w:pPr>
        <w:spacing w:after="0" w:line="117" w:lineRule="exact"/>
        <w:rPr>
          <w:rFonts w:ascii="Arial" w:cs="Arial" w:eastAsia="Arial" w:hAnsi="Arial"/>
          <w:sz w:val="17"/>
          <w:szCs w:val="17"/>
          <w:color w:val="auto"/>
        </w:rPr>
      </w:pPr>
    </w:p>
    <w:p>
      <w:pPr>
        <w:ind w:left="5464" w:hanging="106"/>
        <w:spacing w:after="0"/>
        <w:tabs>
          <w:tab w:leader="none" w:pos="546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4"/>
          </w:cols>
          <w:pgMar w:left="436" w:top="274" w:right="499" w:bottom="1440" w:gutter="0" w:footer="0" w:header="0"/>
        </w:sectPr>
      </w:pPr>
    </w:p>
    <w:bookmarkStart w:id="156" w:name="page157"/>
    <w:bookmarkEnd w:id="156"/>
    <w:p>
      <w:pPr>
        <w:ind w:left="424" w:right="20" w:hanging="424"/>
        <w:spacing w:after="0" w:line="286" w:lineRule="auto"/>
        <w:tabs>
          <w:tab w:leader="none" w:pos="424" w:val="left"/>
        </w:tabs>
        <w:numPr>
          <w:ilvl w:val="0"/>
          <w:numId w:val="139"/>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Procedure</w:t>
      </w:r>
      <w:r>
        <w:rPr>
          <w:rFonts w:ascii="Arial" w:cs="Arial" w:eastAsia="Arial" w:hAnsi="Arial"/>
          <w:sz w:val="16"/>
          <w:szCs w:val="16"/>
          <w:color w:val="auto"/>
        </w:rPr>
        <w:t>. Subject to the provisions of Section 4 as to the advancement of Expenses, any indemnification provided for in this Section 3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no later than 30 days after receipt of written request of the Indemnitee. If a claim under this Agreement, the Act, or any other statute, or any provision of the Company’s articles providing for indemnification is not paid in full by the Company within 45 days after a written request for payment thereof has first been received by the Company, the Indemnitee may, but need not, at any time thereafter bring an action against the Company to recover the unpaid amount of the claim and, subject to Section 14 of this Agreement, the Indemnitee shall also be entitled to be paid the Expenses of bringing such action. The Company shall have as a defense to any such action (other than an action brought to enforce a claim for Expenses incurred in connection with any action, suit or proceeding in advance of its final disposition) that the Indemnitee has not satisfied the Conditions. The burden of proving such defense shall be on the Company and the Indemnitee shall be entitled to receive advances of Expenses pursuant to section 4 hereof unless and until it shall be finally adjudicated by court order or judgment from which no further right of appeal exists that such defense is available to the Company. It is the parties’ intention that if the Company contests the Indemnitee’s right to indemnification, the question of the Indemnitee’s right to indemnification shall be for the court to decide, and neither the failure of the Company (including the Board, any committee or subgroup of the Board, independent legal counsel or the Company’s shareholders) to have made a determination that indemnification of the Indemnitee is proper in the circumstances because the Indemnitee has met the Conditions, nor an actual determination by the Company (including the Board, any committee or subgroup of the Board, independent legal counsel, or the Company’s shareholders) that the Indemnitee has not met the Conditions, shall create a presumption that the Indemnitee has or has not met the Conditions.</w:t>
      </w:r>
    </w:p>
    <w:p>
      <w:pPr>
        <w:spacing w:after="0" w:line="72" w:lineRule="exact"/>
        <w:rPr>
          <w:rFonts w:ascii="Arial" w:cs="Arial" w:eastAsia="Arial" w:hAnsi="Arial"/>
          <w:sz w:val="16"/>
          <w:szCs w:val="16"/>
          <w:color w:val="auto"/>
        </w:rPr>
      </w:pPr>
    </w:p>
    <w:p>
      <w:pPr>
        <w:ind w:left="424" w:right="60" w:hanging="424"/>
        <w:spacing w:after="0" w:line="286" w:lineRule="auto"/>
        <w:tabs>
          <w:tab w:leader="none" w:pos="424" w:val="left"/>
        </w:tabs>
        <w:numPr>
          <w:ilvl w:val="0"/>
          <w:numId w:val="139"/>
        </w:numPr>
        <w:rPr>
          <w:rFonts w:ascii="Arial" w:cs="Arial" w:eastAsia="Arial" w:hAnsi="Arial"/>
          <w:sz w:val="17"/>
          <w:szCs w:val="17"/>
          <w:color w:val="auto"/>
        </w:rPr>
      </w:pPr>
      <w:r>
        <w:rPr>
          <w:rFonts w:ascii="Arial" w:cs="Arial" w:eastAsia="Arial" w:hAnsi="Arial"/>
          <w:sz w:val="17"/>
          <w:szCs w:val="17"/>
          <w:i w:val="1"/>
          <w:iCs w:val="1"/>
          <w:u w:val="single" w:color="auto"/>
          <w:color w:val="auto"/>
        </w:rPr>
        <w:t>Notice to Insurers</w:t>
      </w:r>
      <w:r>
        <w:rPr>
          <w:rFonts w:ascii="Arial" w:cs="Arial" w:eastAsia="Arial" w:hAnsi="Arial"/>
          <w:sz w:val="17"/>
          <w:szCs w:val="17"/>
          <w:color w:val="auto"/>
        </w:rPr>
        <w:t>. The Company shall give prompt notice of such Proceeding to the insurers of the Company in accordance with the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in the Company’s policies. The Company shall thereafter take all necessary or desirable action to cause such insurers to pay, on behalf of the Indemnitee, all amounts payable as a result of such Proceeding in accordance with the terms of such policies.</w:t>
      </w:r>
    </w:p>
    <w:p>
      <w:pPr>
        <w:spacing w:after="0" w:line="70" w:lineRule="exact"/>
        <w:rPr>
          <w:rFonts w:ascii="Arial" w:cs="Arial" w:eastAsia="Arial" w:hAnsi="Arial"/>
          <w:sz w:val="17"/>
          <w:szCs w:val="17"/>
          <w:color w:val="auto"/>
        </w:rPr>
      </w:pPr>
    </w:p>
    <w:p>
      <w:pPr>
        <w:ind w:left="424" w:hanging="424"/>
        <w:spacing w:after="0" w:line="259" w:lineRule="auto"/>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i w:val="1"/>
          <w:iCs w:val="1"/>
          <w:u w:val="single" w:color="auto"/>
          <w:color w:val="auto"/>
        </w:rPr>
        <w:t>Selection of Counsel</w:t>
      </w:r>
      <w:r>
        <w:rPr>
          <w:rFonts w:ascii="Arial" w:cs="Arial" w:eastAsia="Arial" w:hAnsi="Arial"/>
          <w:sz w:val="18"/>
          <w:szCs w:val="18"/>
          <w:color w:val="auto"/>
        </w:rPr>
        <w:t>. In the event the Company shall be obligated under this Section 3 to indemnify the Indemnitee, the Company shall be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assume the defense of such Proceeding upon the delivery to the Indemnitee of written notice of its election so to do. After delivery of such notice and the retention of counsel by the Company, the Company shall not be liable to the Indemnitee under this Agreement for any fees of counsel subsequently incurred by the Indemnitee with respect to the same</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84"/>
          </w:cols>
          <w:pgMar w:left="436" w:top="274" w:right="479" w:bottom="1440" w:gutter="0" w:footer="0" w:header="0"/>
        </w:sectPr>
      </w:pPr>
    </w:p>
    <w:bookmarkStart w:id="157" w:name="page158"/>
    <w:bookmarkEnd w:id="157"/>
    <w:p>
      <w:pPr>
        <w:ind w:left="424"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Proceeding, provided that (i) the Indemnitee shall have the right to employ his or her own counsel in any such Proceeding at the Indemnitee’s expense; and (ii) if (A) the employment of counsel by the Indemnitee has been previously authorized by the Company, (B) the Indemnitee shall have been advised in a written opinion of counsel acceptable to the Company, acting reasonably, addressed to the Indemnitee and to the Company stating that there may be a conflict of interest between the Company and the Indemnitee in the conduct of any such defense, or (C) the Company shall not, in fact, have employed counsel to assume the defense of such Proceeding, then the fees and expenses (including Expenses) of the Indemnitee’s counsel shall be borne by the Company.</w:t>
      </w:r>
    </w:p>
    <w:p>
      <w:pPr>
        <w:spacing w:after="0" w:line="83" w:lineRule="exact"/>
        <w:rPr>
          <w:sz w:val="20"/>
          <w:szCs w:val="20"/>
          <w:color w:val="auto"/>
        </w:rPr>
      </w:pPr>
    </w:p>
    <w:p>
      <w:pPr>
        <w:ind w:left="424" w:right="240" w:hanging="424"/>
        <w:spacing w:after="0" w:line="257"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Income Tax</w:t>
      </w:r>
      <w:r>
        <w:rPr>
          <w:rFonts w:ascii="Arial" w:cs="Arial" w:eastAsia="Arial" w:hAnsi="Arial"/>
          <w:sz w:val="18"/>
          <w:szCs w:val="18"/>
          <w:color w:val="auto"/>
        </w:rPr>
        <w:t>. Should any payment made to the Indemnitee pursuant to this Agreement be deemed by any taxation authority in any jurisdiction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taxable benefit or otherwise be or become subject to any tax or levy, then the Company shall pay such greater amount as may be necessary to ensure that the amount received by or on behalf of the Indemnitee, after payment of or withholding for such tax, is equal to the amount of the actual cost, expense or liability incurred by or on behalf of the Indemnitee, such that this Agreement shall serve to indemnify the Indemnitee against all liability for any and all such taxes.</w:t>
      </w:r>
    </w:p>
    <w:p>
      <w:pPr>
        <w:spacing w:after="0" w:line="93"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i w:val="1"/>
          <w:iCs w:val="1"/>
          <w:u w:val="single" w:color="auto"/>
          <w:color w:val="auto"/>
        </w:rPr>
        <w:t>Company to Seek Court Approval</w:t>
      </w:r>
      <w:r>
        <w:rPr>
          <w:rFonts w:ascii="Arial" w:cs="Arial" w:eastAsia="Arial" w:hAnsi="Arial"/>
          <w:sz w:val="18"/>
          <w:szCs w:val="18"/>
          <w:color w:val="auto"/>
        </w:rPr>
        <w:t>. To the extent that prior court or other approval is required in connection with any indemnification obligation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under this Agreement, the Company shall seek and use all reasonable efforts to obtain that approval as soon as reasonably possible in the circumstances.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Advances of Expenses</w:t>
      </w:r>
    </w:p>
    <w:p>
      <w:pPr>
        <w:spacing w:after="0" w:line="12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The Company shall advance all Expenses incurred by the Indemnitee in connection with the investigation, defense, settlement or appeal of any Proceeding prior to the final disposition thereof upon receipt by the Company of an undertaking by or on behalf of the Indemnitee to repay the Company such advanced amounts if it shall be determined ultimately that the Indemnitee is not entitled to be indemnified by the Company hereunder and provided that the Indemnitee offers reasonable proof of the Indemnitee’s ability to repay such advanced amounts under such circumstances and if it is not then contrary to applicable law for the Company to do so. Notwithstanding the foregoing, however, such advances shall not be made if it is determined by a court of competent jurisdiction that the Indemnitee acted in bad faith or deliberately breached his or her duty to the Company and its shareholders and, as a result, it is more likely than not that the Indemnitee will not be entitled to indemnification under the terms of this Agreement. The advances of Expenses to be made hereunder shall be paid by the Company to the Indemnitee within 30 days following delivery of a written request therefor by the Indemnitee to the Company.</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4" w:right="459" w:bottom="1440" w:gutter="0" w:footer="0" w:header="0"/>
        </w:sectPr>
      </w:pPr>
    </w:p>
    <w:bookmarkStart w:id="158" w:name="page159"/>
    <w:bookmarkEnd w:id="15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 Additional Indemnification Rights; Non-Exclusivity</w:t>
      </w:r>
    </w:p>
    <w:p>
      <w:pPr>
        <w:spacing w:after="0" w:line="135" w:lineRule="exact"/>
        <w:rPr>
          <w:sz w:val="20"/>
          <w:szCs w:val="20"/>
          <w:color w:val="auto"/>
        </w:rPr>
      </w:pPr>
    </w:p>
    <w:p>
      <w:pPr>
        <w:ind w:left="424" w:right="60" w:hanging="424"/>
        <w:spacing w:after="0" w:line="291" w:lineRule="auto"/>
        <w:tabs>
          <w:tab w:leader="none" w:pos="424" w:val="left"/>
        </w:tabs>
        <w:numPr>
          <w:ilvl w:val="0"/>
          <w:numId w:val="141"/>
        </w:numPr>
        <w:rPr>
          <w:rFonts w:ascii="Arial" w:cs="Arial" w:eastAsia="Arial" w:hAnsi="Arial"/>
          <w:sz w:val="16"/>
          <w:szCs w:val="16"/>
          <w:color w:val="auto"/>
        </w:rPr>
      </w:pPr>
      <w:r>
        <w:rPr>
          <w:rFonts w:ascii="Arial" w:cs="Arial" w:eastAsia="Arial" w:hAnsi="Arial"/>
          <w:sz w:val="16"/>
          <w:szCs w:val="16"/>
          <w:i w:val="1"/>
          <w:iCs w:val="1"/>
          <w:u w:val="single" w:color="auto"/>
          <w:color w:val="auto"/>
        </w:rPr>
        <w:t>Scope</w:t>
      </w:r>
      <w:r>
        <w:rPr>
          <w:rFonts w:ascii="Arial" w:cs="Arial" w:eastAsia="Arial" w:hAnsi="Arial"/>
          <w:sz w:val="16"/>
          <w:szCs w:val="16"/>
          <w:color w:val="auto"/>
        </w:rPr>
        <w:t>. Notwithstanding any other provision of this Agreement, the Company hereby agrees to indemnify the Indemnitee to the fullest extent</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by law, notwithstanding that such indemnification is not specifically authorized by other provisions of this Agreement, the Act, the Company’s articles, or by other statute. In the event of any change after the date of this Agreement in any applicable law, statute or rule which expands the right of a British Columbia company to indemnify an Agent, such changes shall, without any formality, be within the purview of the Indemnitee’s rights and the Company’s obligations under this Agreement. In the event of any change in applicable law, statute or rule which narrows the right of a British Columbia company to indemnify an Agent such changes, to the extent not otherwise required by such law, statute or rule to be applied to this Agreement shall have no effect on this Agreement or the parties’ rights and obligations hereunder.</w:t>
      </w:r>
    </w:p>
    <w:p>
      <w:pPr>
        <w:spacing w:after="0" w:line="71" w:lineRule="exact"/>
        <w:rPr>
          <w:rFonts w:ascii="Arial" w:cs="Arial" w:eastAsia="Arial" w:hAnsi="Arial"/>
          <w:sz w:val="16"/>
          <w:szCs w:val="16"/>
          <w:color w:val="auto"/>
        </w:rPr>
      </w:pPr>
    </w:p>
    <w:p>
      <w:pPr>
        <w:ind w:left="424" w:right="280" w:hanging="424"/>
        <w:spacing w:after="0" w:line="263" w:lineRule="auto"/>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i w:val="1"/>
          <w:iCs w:val="1"/>
          <w:u w:val="single" w:color="auto"/>
          <w:color w:val="auto"/>
        </w:rPr>
        <w:t>Non-Exclusivity</w:t>
      </w:r>
      <w:r>
        <w:rPr>
          <w:rFonts w:ascii="Arial" w:cs="Arial" w:eastAsia="Arial" w:hAnsi="Arial"/>
          <w:sz w:val="18"/>
          <w:szCs w:val="18"/>
          <w:color w:val="auto"/>
        </w:rPr>
        <w:t>. The indemnification provided by this Agreement shall not be deemed exclusive of any rights to which the Indemnitee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under the Company’s articles, or any other agreement by which the Company is bound, any vote of shareholders or disinterested Indemnitees, the Act or otherwise.</w:t>
      </w:r>
    </w:p>
    <w:p>
      <w:pPr>
        <w:spacing w:after="0" w:line="89" w:lineRule="exact"/>
        <w:rPr>
          <w:rFonts w:ascii="Arial" w:cs="Arial" w:eastAsia="Arial" w:hAnsi="Arial"/>
          <w:sz w:val="18"/>
          <w:szCs w:val="18"/>
          <w:color w:val="auto"/>
        </w:rPr>
      </w:pPr>
    </w:p>
    <w:p>
      <w:pPr>
        <w:ind w:left="424" w:hanging="424"/>
        <w:spacing w:after="0" w:line="279" w:lineRule="auto"/>
        <w:tabs>
          <w:tab w:leader="none" w:pos="424" w:val="left"/>
        </w:tabs>
        <w:numPr>
          <w:ilvl w:val="0"/>
          <w:numId w:val="141"/>
        </w:numPr>
        <w:rPr>
          <w:rFonts w:ascii="Arial" w:cs="Arial" w:eastAsia="Arial" w:hAnsi="Arial"/>
          <w:sz w:val="17"/>
          <w:szCs w:val="17"/>
          <w:color w:val="auto"/>
        </w:rPr>
      </w:pPr>
      <w:r>
        <w:rPr>
          <w:rFonts w:ascii="Arial" w:cs="Arial" w:eastAsia="Arial" w:hAnsi="Arial"/>
          <w:sz w:val="17"/>
          <w:szCs w:val="17"/>
          <w:i w:val="1"/>
          <w:iCs w:val="1"/>
          <w:u w:val="single" w:color="auto"/>
          <w:color w:val="auto"/>
        </w:rPr>
        <w:t>Partial Indemnification</w:t>
      </w:r>
      <w:r>
        <w:rPr>
          <w:rFonts w:ascii="Arial" w:cs="Arial" w:eastAsia="Arial" w:hAnsi="Arial"/>
          <w:sz w:val="17"/>
          <w:szCs w:val="17"/>
          <w:color w:val="auto"/>
        </w:rPr>
        <w:t>. If the Indemnitee is entitled under any provision of this Agreement to indemnification by the Company for some or a</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 Expenses, judgments, fines, penalties, settlements or other amounts actually or reasonably incurred by the Indemnitee in the investigation, defense, appeal or settlement of, or otherwise in connection with, any Proceeding, but not, however, for the total amount thereof, the Company shall nevertheless indemnify the Indemnitee for that portion for which the Indemnitee is entitled to indemnification.</w:t>
      </w:r>
    </w:p>
    <w:p>
      <w:pPr>
        <w:spacing w:after="0" w:line="76" w:lineRule="exact"/>
        <w:rPr>
          <w:rFonts w:ascii="Arial" w:cs="Arial" w:eastAsia="Arial" w:hAnsi="Arial"/>
          <w:sz w:val="17"/>
          <w:szCs w:val="17"/>
          <w:color w:val="auto"/>
        </w:rPr>
      </w:pPr>
    </w:p>
    <w:p>
      <w:pPr>
        <w:ind w:left="424" w:hanging="424"/>
        <w:spacing w:after="0" w:line="272" w:lineRule="auto"/>
        <w:tabs>
          <w:tab w:leader="none" w:pos="424" w:val="left"/>
        </w:tabs>
        <w:numPr>
          <w:ilvl w:val="0"/>
          <w:numId w:val="141"/>
        </w:numPr>
        <w:rPr>
          <w:rFonts w:ascii="Arial" w:cs="Arial" w:eastAsia="Arial" w:hAnsi="Arial"/>
          <w:sz w:val="17"/>
          <w:szCs w:val="17"/>
          <w:color w:val="auto"/>
        </w:rPr>
      </w:pPr>
      <w:r>
        <w:rPr>
          <w:rFonts w:ascii="Arial" w:cs="Arial" w:eastAsia="Arial" w:hAnsi="Arial"/>
          <w:sz w:val="17"/>
          <w:szCs w:val="17"/>
          <w:i w:val="1"/>
          <w:iCs w:val="1"/>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Indemnitee for any reason whatsoever, the Company, in lieu of indemnifying the Indemnitee, shall contribute to the amount actually or reasonably incurred by the Indemnitee in the investigation, defense, appeal or settlement of, or otherwise in connection with, any Proceeding, other than any Proceeding by or in the right of the Company, in such proportion as is deemed fair and reasonable in light of all of the circumstances of such Proceeding in order to reflect (i) the relative benefits received by the Company and the Indemnitee as a result of the event(s) and/or transaction(s) giving cause to such Proceeding and/or (ii) the relative fault of the Company (and its directors, officers, employees and agents) and the Indemnitee in connection with such event(s) and/or transaction(s).</w:t>
      </w:r>
    </w:p>
    <w:p>
      <w:pPr>
        <w:spacing w:after="0" w:line="109" w:lineRule="exact"/>
        <w:rPr>
          <w:rFonts w:ascii="Arial" w:cs="Arial" w:eastAsia="Arial" w:hAnsi="Arial"/>
          <w:sz w:val="17"/>
          <w:szCs w:val="17"/>
          <w:color w:val="auto"/>
        </w:rPr>
      </w:pPr>
    </w:p>
    <w:p>
      <w:pPr>
        <w:ind w:left="5464" w:hanging="106"/>
        <w:spacing w:after="0"/>
        <w:tabs>
          <w:tab w:leader="none" w:pos="54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4"/>
          </w:cols>
          <w:pgMar w:left="436" w:top="270" w:right="479" w:bottom="1440" w:gutter="0" w:footer="0" w:header="0"/>
        </w:sectPr>
      </w:pPr>
    </w:p>
    <w:bookmarkStart w:id="159" w:name="page160"/>
    <w:bookmarkEnd w:id="15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 Mutual Acknowledgement</w:t>
      </w:r>
    </w:p>
    <w:p>
      <w:pPr>
        <w:spacing w:after="0" w:line="12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Both the Company and the Indemnitee acknowledge that in certain instances the Act, applicable law or public policy may prohibit the Company from indemnifying the Indemnitee under this Agreement or otherwise. The Indemnitee understands and acknowledges that the Company has undertaken or may be required in the future to undertake with the regulatory authorities to submit the question of indemnification to a court in certain circumstances for a determination of the Company’s right under public policy to indemnify the Indemnitee.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7 Settlement</w:t>
      </w:r>
    </w:p>
    <w:p>
      <w:pPr>
        <w:spacing w:after="0" w:line="135" w:lineRule="exact"/>
        <w:rPr>
          <w:sz w:val="20"/>
          <w:szCs w:val="20"/>
          <w:color w:val="auto"/>
        </w:rPr>
      </w:pPr>
    </w:p>
    <w:p>
      <w:pPr>
        <w:ind w:left="424" w:right="120" w:hanging="424"/>
        <w:spacing w:after="0" w:line="277" w:lineRule="auto"/>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i w:val="1"/>
          <w:iCs w:val="1"/>
          <w:u w:val="single" w:color="auto"/>
          <w:color w:val="auto"/>
        </w:rPr>
        <w:t>Determination of Settlement Terms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be entitled to settle any Proceeding against the Indemnitee for which indemnity is sought</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Indemnitee hereunder on terms and conditions determined by the Company, provided that: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settlement does not involve any obligation or liability of the Indemnitee other than the payment of a monetary amount;</w:t>
      </w:r>
    </w:p>
    <w:p>
      <w:pPr>
        <w:spacing w:after="0" w:line="142" w:lineRule="exact"/>
        <w:rPr>
          <w:rFonts w:ascii="Arial" w:cs="Arial" w:eastAsia="Arial" w:hAnsi="Arial"/>
          <w:sz w:val="17"/>
          <w:szCs w:val="17"/>
          <w:color w:val="auto"/>
        </w:rPr>
      </w:pPr>
    </w:p>
    <w:p>
      <w:pPr>
        <w:ind w:left="1424" w:right="240" w:hanging="439"/>
        <w:spacing w:after="0" w:line="277" w:lineRule="auto"/>
        <w:tabs>
          <w:tab w:leader="none" w:pos="1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Indemnitee is indemnified in full against payment of such monetary amount together with all related Expenses, whether or not such Expenses would otherwise be payable hereunder;</w:t>
      </w:r>
    </w:p>
    <w:p>
      <w:pPr>
        <w:spacing w:after="0" w:line="75"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settlement is expressly stated to be made by the Company on behalf of the Indemnitee, without any admission of liability by the Indemnitee;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Indemnitee receives a full and complete release in respect of the Proceeding.</w:t>
      </w:r>
    </w:p>
    <w:p>
      <w:pPr>
        <w:spacing w:after="0" w:line="130"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142"/>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Indemnitee Co-operation.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that all of the conditions referred to in Section 7(1) are met, the Indemnitee shall execute all documents and do</w:t>
      </w:r>
      <w:r>
        <w:rPr>
          <w:rFonts w:ascii="Arial" w:cs="Arial" w:eastAsia="Arial" w:hAnsi="Arial"/>
          <w:sz w:val="17"/>
          <w:szCs w:val="17"/>
          <w:i w:val="1"/>
          <w:iCs w:val="1"/>
          <w:color w:val="auto"/>
        </w:rPr>
        <w:t xml:space="preserve"> </w:t>
      </w:r>
      <w:r>
        <w:rPr>
          <w:rFonts w:ascii="Arial" w:cs="Arial" w:eastAsia="Arial" w:hAnsi="Arial"/>
          <w:sz w:val="17"/>
          <w:szCs w:val="17"/>
          <w:color w:val="auto"/>
        </w:rPr>
        <w:t>such other things as are reasonably requested by the Company to give effect to a settlement referred to in Section 7(1).</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Insurance and Subrogation</w:t>
      </w:r>
    </w:p>
    <w:p>
      <w:pPr>
        <w:spacing w:after="0" w:line="121" w:lineRule="exact"/>
        <w:rPr>
          <w:sz w:val="20"/>
          <w:szCs w:val="20"/>
          <w:color w:val="auto"/>
        </w:rPr>
      </w:pPr>
    </w:p>
    <w:p>
      <w:pPr>
        <w:ind w:left="4" w:right="180" w:firstLine="440"/>
        <w:spacing w:after="0" w:line="296" w:lineRule="auto"/>
        <w:rPr>
          <w:sz w:val="20"/>
          <w:szCs w:val="20"/>
          <w:color w:val="auto"/>
        </w:rPr>
      </w:pPr>
      <w:r>
        <w:rPr>
          <w:rFonts w:ascii="Arial" w:cs="Arial" w:eastAsia="Arial" w:hAnsi="Arial"/>
          <w:sz w:val="16"/>
          <w:szCs w:val="16"/>
          <w:color w:val="auto"/>
        </w:rPr>
        <w:t>In all policies of the Subject Entities’ liability insurance, the Indemnitee shall be named as an insured in such a manner as to provide the Indemnitee the same rights and benefits as are accorded to the most favorably insured of the Company’s Indemnitees. Notwithstanding the foregoing, the Company shall have no obligation to obtain or maintain such insurance if the Company determines in good faith that such insurance is not reasonably available, if the premium costs for such insurance are too high, if the coverage provided by such insurance is limited by exclusions so as to provide an insufficient benefit, or if the Indemnitee is covered by insurance of the same scope coverage and effect maintained by a</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0" w:right="459" w:bottom="1440" w:gutter="0" w:footer="0" w:header="0"/>
        </w:sectPr>
      </w:pPr>
    </w:p>
    <w:bookmarkStart w:id="160" w:name="page161"/>
    <w:bookmarkEnd w:id="16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of the Company. In the event of any payment by the Company under this Agreement, the Company shall be subrogated to the extent of such payment to all of the rights of recovery of the Indemnitee with respect to any insurance policy, who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the Indemnitee in connection with such subrogation.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Severability</w:t>
      </w:r>
    </w:p>
    <w:p>
      <w:pPr>
        <w:spacing w:after="0" w:line="12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If any section, paragraph, clause or other provision of this Agreement is determined by a court of competent jurisdiction to be invalid, illegal or unenforceable, in whole or in part, such determination shall not affect or impair and shall not be deemed to affect or impair the validity, legality or enforceability of any other section, paragraph, clause or other provision hereof and each such section, paragraph, clause or other provision shall be interpreted in such a manner as shall render them valid, legal and enforceable to the greatest extent permitted by applicable law.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Exceptions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any other provision herein to the contrary, pursuant to the terms of this Agreement the Company shall not be obligated:</w:t>
      </w:r>
    </w:p>
    <w:p>
      <w:pPr>
        <w:spacing w:after="0" w:line="142" w:lineRule="exact"/>
        <w:rPr>
          <w:sz w:val="20"/>
          <w:szCs w:val="20"/>
          <w:color w:val="auto"/>
        </w:rPr>
      </w:pPr>
    </w:p>
    <w:p>
      <w:pPr>
        <w:ind w:left="960" w:right="380" w:hanging="532"/>
        <w:spacing w:after="0" w:line="277"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u w:val="single" w:color="auto"/>
          <w:color w:val="auto"/>
        </w:rPr>
        <w:t>Excluded Acts</w:t>
      </w:r>
      <w:r>
        <w:rPr>
          <w:rFonts w:ascii="Arial" w:cs="Arial" w:eastAsia="Arial" w:hAnsi="Arial"/>
          <w:sz w:val="18"/>
          <w:szCs w:val="18"/>
          <w:color w:val="auto"/>
        </w:rPr>
        <w:t>. to indemnify the Indemnitee for any acts or omissions or transactions from which a Indemnitee may not be relieved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 set forth in the Act; or</w:t>
      </w:r>
    </w:p>
    <w:p>
      <w:pPr>
        <w:spacing w:after="0" w:line="75" w:lineRule="exact"/>
        <w:rPr>
          <w:rFonts w:ascii="Arial" w:cs="Arial" w:eastAsia="Arial" w:hAnsi="Arial"/>
          <w:sz w:val="18"/>
          <w:szCs w:val="18"/>
          <w:color w:val="auto"/>
        </w:rPr>
      </w:pPr>
    </w:p>
    <w:p>
      <w:pPr>
        <w:ind w:left="960" w:hanging="532"/>
        <w:spacing w:after="0" w:line="279" w:lineRule="auto"/>
        <w:tabs>
          <w:tab w:leader="none" w:pos="960" w:val="left"/>
        </w:tabs>
        <w:numPr>
          <w:ilvl w:val="0"/>
          <w:numId w:val="143"/>
        </w:numPr>
        <w:rPr>
          <w:rFonts w:ascii="Arial" w:cs="Arial" w:eastAsia="Arial" w:hAnsi="Arial"/>
          <w:sz w:val="17"/>
          <w:szCs w:val="17"/>
          <w:color w:val="auto"/>
        </w:rPr>
      </w:pPr>
      <w:r>
        <w:rPr>
          <w:rFonts w:ascii="Arial" w:cs="Arial" w:eastAsia="Arial" w:hAnsi="Arial"/>
          <w:sz w:val="17"/>
          <w:szCs w:val="17"/>
          <w:i w:val="1"/>
          <w:iCs w:val="1"/>
          <w:u w:val="single" w:color="auto"/>
          <w:color w:val="auto"/>
        </w:rPr>
        <w:t>Claims Initiated by the Indemnitee.</w:t>
      </w:r>
      <w:r>
        <w:rPr>
          <w:rFonts w:ascii="Arial" w:cs="Arial" w:eastAsia="Arial" w:hAnsi="Arial"/>
          <w:sz w:val="17"/>
          <w:szCs w:val="17"/>
          <w:i w:val="1"/>
          <w:iCs w:val="1"/>
          <w:color w:val="auto"/>
        </w:rPr>
        <w:t xml:space="preserve"> </w:t>
      </w:r>
      <w:r>
        <w:rPr>
          <w:rFonts w:ascii="Arial" w:cs="Arial" w:eastAsia="Arial" w:hAnsi="Arial"/>
          <w:sz w:val="17"/>
          <w:szCs w:val="17"/>
          <w:color w:val="auto"/>
        </w:rPr>
        <w:t>to indemnify or advance Expenses to the Indemnitee with respect to proceedings or claims initiated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voluntarily by the Indemnitee and not by way of defense, except with respect to proceedings brought to establish or enforce a right to indemnification under this Agreement, the Company’s articles, any other agreement by which the Company is bound, the Act or any other statute or law, or except if such proceedings or claims were authorized or consented to by the Board; or</w:t>
      </w:r>
    </w:p>
    <w:p>
      <w:pPr>
        <w:spacing w:after="0" w:line="76" w:lineRule="exact"/>
        <w:rPr>
          <w:rFonts w:ascii="Arial" w:cs="Arial" w:eastAsia="Arial" w:hAnsi="Arial"/>
          <w:sz w:val="17"/>
          <w:szCs w:val="17"/>
          <w:color w:val="auto"/>
        </w:rPr>
      </w:pPr>
    </w:p>
    <w:p>
      <w:pPr>
        <w:ind w:left="960" w:right="20" w:hanging="532"/>
        <w:spacing w:after="0" w:line="263" w:lineRule="auto"/>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u w:val="single" w:color="auto"/>
          <w:color w:val="auto"/>
        </w:rPr>
        <w:t>Lack of Good Faith.</w:t>
      </w:r>
      <w:r>
        <w:rPr>
          <w:rFonts w:ascii="Arial" w:cs="Arial" w:eastAsia="Arial" w:hAnsi="Arial"/>
          <w:sz w:val="18"/>
          <w:szCs w:val="18"/>
          <w:i w:val="1"/>
          <w:iCs w:val="1"/>
          <w:color w:val="auto"/>
        </w:rPr>
        <w:t xml:space="preserve"> </w:t>
      </w:r>
      <w:r>
        <w:rPr>
          <w:rFonts w:ascii="Arial" w:cs="Arial" w:eastAsia="Arial" w:hAnsi="Arial"/>
          <w:sz w:val="18"/>
          <w:szCs w:val="18"/>
          <w:color w:val="auto"/>
        </w:rPr>
        <w:t>to indemnify the Indemnitee for any Expenses incurred by the Indemnitee with respect to any Proceeding instituted to</w:t>
      </w:r>
      <w:r>
        <w:rPr>
          <w:rFonts w:ascii="Arial" w:cs="Arial" w:eastAsia="Arial" w:hAnsi="Arial"/>
          <w:sz w:val="18"/>
          <w:szCs w:val="18"/>
          <w:i w:val="1"/>
          <w:iCs w:val="1"/>
          <w:color w:val="auto"/>
        </w:rPr>
        <w:t xml:space="preserve"> </w:t>
      </w:r>
      <w:r>
        <w:rPr>
          <w:rFonts w:ascii="Arial" w:cs="Arial" w:eastAsia="Arial" w:hAnsi="Arial"/>
          <w:sz w:val="18"/>
          <w:szCs w:val="18"/>
          <w:color w:val="auto"/>
        </w:rPr>
        <w:t>enforce or interpret this Agreement, if a court of competent jurisdiction determines that any of the material assertions made by the Indemnitee in such proceedings were not made in good faith or were frivolous; or</w:t>
      </w:r>
    </w:p>
    <w:p>
      <w:pPr>
        <w:spacing w:after="0" w:line="89" w:lineRule="exact"/>
        <w:rPr>
          <w:rFonts w:ascii="Arial" w:cs="Arial" w:eastAsia="Arial" w:hAnsi="Arial"/>
          <w:sz w:val="18"/>
          <w:szCs w:val="18"/>
          <w:color w:val="auto"/>
        </w:rPr>
      </w:pPr>
    </w:p>
    <w:p>
      <w:pPr>
        <w:ind w:left="960" w:right="540" w:hanging="532"/>
        <w:spacing w:after="0" w:line="308" w:lineRule="auto"/>
        <w:tabs>
          <w:tab w:leader="none" w:pos="960" w:val="left"/>
        </w:tabs>
        <w:numPr>
          <w:ilvl w:val="0"/>
          <w:numId w:val="143"/>
        </w:numPr>
        <w:rPr>
          <w:rFonts w:ascii="Arial" w:cs="Arial" w:eastAsia="Arial" w:hAnsi="Arial"/>
          <w:sz w:val="17"/>
          <w:szCs w:val="17"/>
          <w:color w:val="auto"/>
        </w:rPr>
      </w:pPr>
      <w:r>
        <w:rPr>
          <w:rFonts w:ascii="Arial" w:cs="Arial" w:eastAsia="Arial" w:hAnsi="Arial"/>
          <w:sz w:val="17"/>
          <w:szCs w:val="17"/>
          <w:i w:val="1"/>
          <w:iCs w:val="1"/>
          <w:u w:val="single" w:color="auto"/>
          <w:color w:val="auto"/>
        </w:rPr>
        <w:t>Insured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to indemnify the Indemnitee for expenses or liabilities of any type whatsoever which have been paid directly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Indemnitee by an insurance carrier under a policy of Agents’ liability insurance maintained by the Company; or</w:t>
      </w:r>
    </w:p>
    <w:p>
      <w:pPr>
        <w:spacing w:after="0" w:line="78" w:lineRule="exact"/>
        <w:rPr>
          <w:rFonts w:ascii="Arial" w:cs="Arial" w:eastAsia="Arial" w:hAnsi="Arial"/>
          <w:sz w:val="17"/>
          <w:szCs w:val="17"/>
          <w:color w:val="auto"/>
        </w:rPr>
      </w:pPr>
    </w:p>
    <w:p>
      <w:pPr>
        <w:ind w:left="5460" w:hanging="106"/>
        <w:spacing w:after="0"/>
        <w:tabs>
          <w:tab w:leader="none" w:pos="54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80"/>
          </w:cols>
          <w:pgMar w:left="440" w:top="274" w:right="479" w:bottom="1440" w:gutter="0" w:footer="0" w:header="0"/>
        </w:sectPr>
      </w:pPr>
    </w:p>
    <w:bookmarkStart w:id="161" w:name="page162"/>
    <w:bookmarkEnd w:id="161"/>
    <w:p>
      <w:pPr>
        <w:ind w:left="960" w:right="60" w:hanging="532"/>
        <w:spacing w:after="0" w:line="263"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Insider Trading/Tipping Violation(s)</w:t>
      </w:r>
      <w:r>
        <w:rPr>
          <w:rFonts w:ascii="Arial" w:cs="Arial" w:eastAsia="Arial" w:hAnsi="Arial"/>
          <w:sz w:val="18"/>
          <w:szCs w:val="18"/>
          <w:color w:val="auto"/>
        </w:rPr>
        <w:t>. to indemnify the Indemnitee on account of any proceeding with respect to which final judgment is</w:t>
      </w:r>
      <w:r>
        <w:rPr>
          <w:rFonts w:ascii="Arial" w:cs="Arial" w:eastAsia="Arial" w:hAnsi="Arial"/>
          <w:sz w:val="18"/>
          <w:szCs w:val="18"/>
          <w:i w:val="1"/>
          <w:iCs w:val="1"/>
          <w:color w:val="auto"/>
        </w:rPr>
        <w:t xml:space="preserve"> </w:t>
      </w:r>
      <w:r>
        <w:rPr>
          <w:rFonts w:ascii="Arial" w:cs="Arial" w:eastAsia="Arial" w:hAnsi="Arial"/>
          <w:sz w:val="18"/>
          <w:szCs w:val="18"/>
          <w:color w:val="auto"/>
        </w:rPr>
        <w:t>rendered against the Indemnitee for, including, but not limited to, payment or an accounting of profits arising from the purchase or sale by the Indemnitee of securities in violation of any laws regulating insider trading or tipping; or</w:t>
      </w:r>
    </w:p>
    <w:p>
      <w:pPr>
        <w:spacing w:after="0" w:line="89" w:lineRule="exact"/>
        <w:rPr>
          <w:rFonts w:ascii="Arial" w:cs="Arial" w:eastAsia="Arial" w:hAnsi="Arial"/>
          <w:sz w:val="18"/>
          <w:szCs w:val="18"/>
          <w:color w:val="auto"/>
        </w:rPr>
      </w:pPr>
    </w:p>
    <w:p>
      <w:pPr>
        <w:ind w:left="960" w:right="20" w:hanging="532"/>
        <w:spacing w:after="0" w:line="279" w:lineRule="auto"/>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i w:val="1"/>
          <w:iCs w:val="1"/>
          <w:u w:val="single" w:color="auto"/>
          <w:color w:val="auto"/>
        </w:rPr>
        <w:t>Non-compete and Non-disclosure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to indemnify the Indemnitee in connection with proceedings or claims involving the enforcement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non-compete and/or non-disclosure agreements or the non-compete and/or non-disclosure provisions of employment, consulting or similar agreements the Indemnitee may be a party to with the Company, or any subsidiary of the Company or any other applicable foreign or domestic corporation, partnership, joint venture, trust or other enterprise, if any; or</w:t>
      </w:r>
    </w:p>
    <w:p>
      <w:pPr>
        <w:spacing w:after="0" w:line="76" w:lineRule="exact"/>
        <w:rPr>
          <w:rFonts w:ascii="Arial" w:cs="Arial" w:eastAsia="Arial" w:hAnsi="Arial"/>
          <w:sz w:val="17"/>
          <w:szCs w:val="17"/>
          <w:color w:val="auto"/>
        </w:rPr>
      </w:pPr>
    </w:p>
    <w:p>
      <w:pPr>
        <w:ind w:left="960" w:right="520" w:hanging="532"/>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i w:val="1"/>
          <w:iCs w:val="1"/>
          <w:u w:val="single" w:color="auto"/>
          <w:color w:val="auto"/>
        </w:rPr>
        <w:t>Certain Settlement Provisions</w:t>
      </w:r>
      <w:r>
        <w:rPr>
          <w:rFonts w:ascii="Arial" w:cs="Arial" w:eastAsia="Arial" w:hAnsi="Arial"/>
          <w:sz w:val="18"/>
          <w:szCs w:val="18"/>
          <w:color w:val="auto"/>
        </w:rPr>
        <w:t>. to indemnify the Indemnitee under this Agreement for amounts paid in settlement of any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Company’s prior written consent, which shall not be unreasonably withheld; or</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Indemnification</w:t>
      </w:r>
      <w:r>
        <w:rPr>
          <w:rFonts w:ascii="Arial" w:cs="Arial" w:eastAsia="Arial" w:hAnsi="Arial"/>
          <w:sz w:val="18"/>
          <w:szCs w:val="18"/>
          <w:color w:val="auto"/>
        </w:rPr>
        <w:t>. to indemnify the Indemnitee for Expenses for which the Indemnitee is indemnified by the Company otherwise than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Rights of Indemnitee to Apply to Court</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Company and the Indemnitee hereby acknowledge that pursuant to the provisions of section 164 of the Act, this Agreement shall not prejudice or restrict the rights of the Indemnitee to make application to the court for an order:</w:t>
      </w:r>
    </w:p>
    <w:p>
      <w:pPr>
        <w:spacing w:after="0" w:line="76" w:lineRule="exact"/>
        <w:rPr>
          <w:sz w:val="20"/>
          <w:szCs w:val="20"/>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the Company indemnify the Indemnitee against any liability incurred by the Indemnitee in respect of a Proceeding;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the Company pay some or all of the expenses incurred by the Indemnitee in respect of a Proceeding;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enforcing this Agreement or a payment under this Agreement; or</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Section 15, that the Company pay some or all of the Expenses actually and reasonably incurred by the Indemnitee in obtaining an order contemplated hereby and under section 164 of the Act.</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60"/>
          </w:cols>
          <w:pgMar w:left="440" w:top="274" w:right="499" w:bottom="1440" w:gutter="0" w:footer="0" w:header="0"/>
        </w:sectPr>
      </w:pPr>
    </w:p>
    <w:bookmarkStart w:id="162" w:name="page163"/>
    <w:bookmarkEnd w:id="16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 Effectiveness of Agreement; Continuation of Indemnity</w:t>
      </w:r>
    </w:p>
    <w:p>
      <w:pPr>
        <w:spacing w:after="0" w:line="135" w:lineRule="exact"/>
        <w:rPr>
          <w:sz w:val="20"/>
          <w:szCs w:val="20"/>
          <w:color w:val="auto"/>
        </w:rPr>
      </w:pPr>
    </w:p>
    <w:p>
      <w:pPr>
        <w:ind w:left="424" w:right="240" w:hanging="424"/>
        <w:spacing w:after="0" w:line="263"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Effectiveness</w:t>
      </w:r>
      <w:r>
        <w:rPr>
          <w:rFonts w:ascii="Arial" w:cs="Arial" w:eastAsia="Arial" w:hAnsi="Arial"/>
          <w:sz w:val="18"/>
          <w:szCs w:val="18"/>
          <w:color w:val="auto"/>
        </w:rPr>
        <w:t>. Nothing in this Agreement is intended to require or shall be construed as requiring the Company to do or fail to do any act in</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applicable law. The Company’s inability, pursuant to applicable law or court order, to perform its obligations under this Agreement shall not constitute a breach of this Agreement.</w:t>
      </w:r>
    </w:p>
    <w:p>
      <w:pPr>
        <w:spacing w:after="0" w:line="89" w:lineRule="exact"/>
        <w:rPr>
          <w:rFonts w:ascii="Arial" w:cs="Arial" w:eastAsia="Arial" w:hAnsi="Arial"/>
          <w:sz w:val="18"/>
          <w:szCs w:val="18"/>
          <w:color w:val="auto"/>
        </w:rPr>
      </w:pPr>
    </w:p>
    <w:p>
      <w:pPr>
        <w:ind w:left="424" w:right="360" w:hanging="424"/>
        <w:spacing w:after="0" w:line="263"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i w:val="1"/>
          <w:iCs w:val="1"/>
          <w:u w:val="single" w:color="auto"/>
          <w:color w:val="auto"/>
        </w:rPr>
        <w:t>Continuation</w:t>
      </w:r>
      <w:r>
        <w:rPr>
          <w:rFonts w:ascii="Arial" w:cs="Arial" w:eastAsia="Arial" w:hAnsi="Arial"/>
          <w:sz w:val="18"/>
          <w:szCs w:val="18"/>
          <w:color w:val="auto"/>
        </w:rPr>
        <w:t>. The indemnification and advancement of Expenses by the Company to the Indemnitee provided for under this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survive and continue after termination of the Indemnitee as an officer, director, employee or other Agent as to any acts or omissions by the Indemnitee while serving in such capacity.</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Counterparts</w:t>
      </w:r>
    </w:p>
    <w:p>
      <w:pPr>
        <w:spacing w:after="0" w:line="121" w:lineRule="exact"/>
        <w:rPr>
          <w:sz w:val="20"/>
          <w:szCs w:val="20"/>
          <w:color w:val="auto"/>
        </w:rPr>
      </w:pPr>
    </w:p>
    <w:p>
      <w:pPr>
        <w:jc w:val="both"/>
        <w:ind w:left="4" w:right="80" w:firstLine="440"/>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constitute an original and all of which together shall constitute one and the same instrument.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Successors and Assigns</w:t>
      </w:r>
    </w:p>
    <w:p>
      <w:pPr>
        <w:spacing w:after="0" w:line="121"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This Agreement shall be binding upon the Company and its successors and assigns and shall inure to the benefit of the Indemnitee and the Indemnitee’s estate, heirs, legal representatives and assigns.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Legal Expenses</w:t>
      </w:r>
    </w:p>
    <w:p>
      <w:pPr>
        <w:spacing w:after="0" w:line="121" w:lineRule="exact"/>
        <w:rPr>
          <w:sz w:val="20"/>
          <w:szCs w:val="20"/>
          <w:color w:val="auto"/>
        </w:rPr>
      </w:pPr>
    </w:p>
    <w:p>
      <w:pPr>
        <w:jc w:val="both"/>
        <w:ind w:left="4" w:right="80" w:firstLine="440"/>
        <w:spacing w:after="0" w:line="259" w:lineRule="auto"/>
        <w:rPr>
          <w:sz w:val="20"/>
          <w:szCs w:val="20"/>
          <w:color w:val="auto"/>
        </w:rPr>
      </w:pPr>
      <w:r>
        <w:rPr>
          <w:rFonts w:ascii="Arial" w:cs="Arial" w:eastAsia="Arial" w:hAnsi="Arial"/>
          <w:sz w:val="18"/>
          <w:szCs w:val="18"/>
          <w:color w:val="auto"/>
        </w:rPr>
        <w:t>If any action is instituted by the Indemnitee under this Agreement to enforce or interpret any of the terms hereof, the Indemnitee shall be entitled to be paid all court costs and expenses, including the reasonable fees of counsel, incurred by the Indemnitee with respect to such action, unless as a part of such action, the court of competent jurisdiction determines that any of the material assertions made by the Indemnitee as a basis for such action were not made in good faith or were frivolous.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16 Notices</w:t>
      </w:r>
    </w:p>
    <w:p>
      <w:pPr>
        <w:spacing w:after="0" w:line="121"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All notices, requests and other communications hereunder shall be in writing, and shall be delivered by courier or other means of personal service, or sent by electronic mail, or mailed first class, postage prepaid, by registered mail, return receipt requested, in all cases, addressed to:</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Indemnitee:  To the address set out in the recitals hereto</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[INSERT EMAIL ADDRESS HERE]</w:t>
      </w:r>
    </w:p>
    <w:p>
      <w:pPr>
        <w:spacing w:after="0" w:line="21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color w:val="auto"/>
        </w:rPr>
        <w:t>Company:</w:t>
        <w:tab/>
        <w:t>Green Thumb Industries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325 West Huron Street, Suite 700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4"/>
        <w:spacing w:after="0"/>
        <w:tabs>
          <w:tab w:leader="none" w:pos="1924" w:val="left"/>
        </w:tabs>
        <w:rPr>
          <w:sz w:val="20"/>
          <w:szCs w:val="20"/>
          <w:color w:val="auto"/>
        </w:rPr>
      </w:pPr>
      <w:r>
        <w:rPr>
          <w:rFonts w:ascii="Arial" w:cs="Arial" w:eastAsia="Arial" w:hAnsi="Arial"/>
          <w:sz w:val="18"/>
          <w:szCs w:val="18"/>
          <w:color w:val="auto"/>
        </w:rPr>
        <w:t>Attention:</w:t>
        <w:tab/>
        <w:t>Beth E. Burk, General Counsel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163" w:name="page164"/>
    <w:bookmarkEnd w:id="163"/>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notices, requests and other communications shall be deemed given on the date of actual receipt or delivery as evidenced by written receipt, acknowledgement or other evidence of actual receipt or delivery to the address.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Consents to Jurisdiction</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Any and all legal proceedings to enforce this Agreement, whether in contract, tort, equity or otherwise, shall be brought in the appropriate court in the Province of British Columbia, and the parties hereto hereby agree to attorn to the jurisdiction of the court in the Province of British Columbia and waive any claim or defense that such forum is not convenient or proper. The Company and the Indemnitee each hereby agrees that any court shall have </w:t>
      </w:r>
      <w:r>
        <w:rPr>
          <w:rFonts w:ascii="Arial" w:cs="Arial" w:eastAsia="Arial" w:hAnsi="Arial"/>
          <w:sz w:val="17"/>
          <w:szCs w:val="17"/>
          <w:i w:val="1"/>
          <w:iCs w:val="1"/>
          <w:color w:val="auto"/>
        </w:rPr>
        <w:t xml:space="preserve">in personam </w:t>
      </w:r>
      <w:r>
        <w:rPr>
          <w:rFonts w:ascii="Arial" w:cs="Arial" w:eastAsia="Arial" w:hAnsi="Arial"/>
          <w:sz w:val="17"/>
          <w:szCs w:val="17"/>
          <w:color w:val="auto"/>
        </w:rPr>
        <w:t>jurisdiction over it, consents to service of process in any manner prescribed in Section 16 or in any other manner authorized by British</w:t>
      </w:r>
      <w:r>
        <w:rPr>
          <w:rFonts w:ascii="Arial" w:cs="Arial" w:eastAsia="Arial" w:hAnsi="Arial"/>
          <w:sz w:val="17"/>
          <w:szCs w:val="17"/>
          <w:i w:val="1"/>
          <w:iCs w:val="1"/>
          <w:color w:val="auto"/>
        </w:rPr>
        <w:t xml:space="preserve"> </w:t>
      </w:r>
      <w:r>
        <w:rPr>
          <w:rFonts w:ascii="Arial" w:cs="Arial" w:eastAsia="Arial" w:hAnsi="Arial"/>
          <w:sz w:val="17"/>
          <w:szCs w:val="17"/>
          <w:color w:val="auto"/>
        </w:rPr>
        <w:t>Columbia law, and agrees that a final judgment in any such action or proceeding shall be conclusive and may be enforced in other jurisdictions by suit on the judgment or in any other manner specified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Governing Law</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Province of British Columbia as applied to contracts between British Columbia residents entered into and performed entirely within British Columbia.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Entire Agreement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Agreement and the documents expressly referred to herein constitute the entire agreement between the parties hereto with respect to the matters covered hereby, and any other prior or contemporaneous oral or written understandings or agreements with respect to the matters covered hereby are expressly superseded by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Modification and Waiver</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nor shall such waiver constitute a continuing waiver.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21 Enforcement</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Company shall be precluded from asserting in any judicial proceeding that the procedures and presumptions of this Agreement are not valid, binding and enforceable. The Company agrees that its execution of this Agreement shall constitute a stipulation by which it shall be irrevocably bound in any court of competent jurisdiction in which a proceeding by the Indemnitee for enforcement of his or her rights hereunder shall have been commenced, continued or appealed, that its obligations set forth in this Agreement are unique and special, and that failure of the Company to comply with the provisions of this Agreement will cause irreparable and irremediable injury to the Indemnitee, for which a remedy at law will be inadequate. As a result, in addition to any other right or remedy the Indemnitee may have at law or in equity with respect to breach of this Agreement, the Indemnitee shall be entitled to injunctive or mandatory relief directing specific performance by the Company of its obligations under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Governing Law</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Province of British Columbia as applied to contracts between British Columbia residents entered into and performed entirely within British Columbia.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Counterparts</w:t>
      </w:r>
    </w:p>
    <w:p>
      <w:pPr>
        <w:spacing w:after="0" w:line="121"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This Agreement may be executed in two or more counterparts, each of which shall be deemed to be an original and all of which together shall be deemed to be one and the same instrument, notwithstanding that both parties are not signatories to the original or same counterpart.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color w:val="auto"/>
              </w:rPr>
              <w:t>Witness signature</w:t>
            </w:r>
          </w:p>
        </w:tc>
        <w:tc>
          <w:tcPr>
            <w:tcW w:w="2620" w:type="dxa"/>
            <w:vAlign w:val="bottom"/>
          </w:tcPr>
          <w:p>
            <w:pPr>
              <w:ind w:left="680"/>
              <w:spacing w:after="0"/>
              <w:rPr>
                <w:sz w:val="20"/>
                <w:szCs w:val="20"/>
                <w:color w:val="auto"/>
              </w:rPr>
            </w:pPr>
            <w:r>
              <w:rPr>
                <w:rFonts w:ascii="Arial" w:cs="Arial" w:eastAsia="Arial" w:hAnsi="Arial"/>
                <w:sz w:val="18"/>
                <w:szCs w:val="18"/>
                <w:b w:val="1"/>
                <w:bCs w:val="1"/>
                <w:color w:val="auto"/>
              </w:rPr>
              <w:t>[INSERT NAME HERE]</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Name:</w:t>
            </w:r>
          </w:p>
        </w:tc>
        <w:tc>
          <w:tcPr>
            <w:tcW w:w="2620" w:type="dxa"/>
            <w:vAlign w:val="bottom"/>
          </w:tcPr>
          <w:p>
            <w:pPr>
              <w:spacing w:after="0"/>
              <w:rPr>
                <w:sz w:val="20"/>
                <w:szCs w:val="20"/>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i w:val="1"/>
                <w:iCs w:val="1"/>
                <w:color w:val="auto"/>
              </w:rPr>
              <w:t>(please print)</w:t>
            </w:r>
          </w:p>
        </w:tc>
        <w:tc>
          <w:tcPr>
            <w:tcW w:w="4620" w:type="dxa"/>
            <w:vAlign w:val="bottom"/>
            <w:tcBorders>
              <w:top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620" w:type="dxa"/>
            <w:vAlign w:val="bottom"/>
          </w:tcPr>
          <w:p>
            <w:pPr>
              <w:spacing w:after="0"/>
              <w:rPr>
                <w:sz w:val="24"/>
                <w:szCs w:val="24"/>
                <w:color w:val="auto"/>
              </w:rPr>
            </w:pPr>
          </w:p>
        </w:tc>
      </w:tr>
      <w:tr>
        <w:trPr>
          <w:trHeight w:val="331"/>
        </w:trPr>
        <w:tc>
          <w:tcPr>
            <w:tcW w:w="1200" w:type="dxa"/>
            <w:vAlign w:val="bottom"/>
          </w:tcPr>
          <w:p>
            <w:pPr>
              <w:spacing w:after="0"/>
              <w:rPr>
                <w:sz w:val="24"/>
                <w:szCs w:val="24"/>
                <w:color w:val="auto"/>
              </w:rPr>
            </w:pPr>
          </w:p>
        </w:tc>
        <w:tc>
          <w:tcPr>
            <w:tcW w:w="4620" w:type="dxa"/>
            <w:vAlign w:val="bottom"/>
            <w:tcBorders>
              <w:top w:val="single" w:sz="8" w:color="auto"/>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19"/>
          </w:cols>
          <w:pgMar w:left="440" w:top="27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171450</wp:posOffset>
            </wp:positionV>
            <wp:extent cx="1225550" cy="5829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12255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We, MNP LLP (“</w:t>
      </w:r>
      <w:r>
        <w:rPr>
          <w:rFonts w:ascii="Arial" w:cs="Arial" w:eastAsia="Arial" w:hAnsi="Arial"/>
          <w:sz w:val="18"/>
          <w:szCs w:val="18"/>
          <w:b w:val="1"/>
          <w:bCs w:val="1"/>
          <w:color w:val="auto"/>
        </w:rPr>
        <w:t>MNP</w:t>
      </w:r>
      <w:r>
        <w:rPr>
          <w:rFonts w:ascii="Arial" w:cs="Arial" w:eastAsia="Arial" w:hAnsi="Arial"/>
          <w:sz w:val="18"/>
          <w:szCs w:val="18"/>
          <w:color w:val="auto"/>
        </w:rPr>
        <w:t>”), were previously the auditor for Green Thumb Industries Inc. (“</w:t>
      </w:r>
      <w:r>
        <w:rPr>
          <w:rFonts w:ascii="Arial" w:cs="Arial" w:eastAsia="Arial" w:hAnsi="Arial"/>
          <w:sz w:val="18"/>
          <w:szCs w:val="18"/>
          <w:b w:val="1"/>
          <w:bCs w:val="1"/>
          <w:color w:val="auto"/>
        </w:rPr>
        <w:t>GTI</w:t>
      </w:r>
      <w:r>
        <w:rPr>
          <w:rFonts w:ascii="Arial" w:cs="Arial" w:eastAsia="Arial" w:hAnsi="Arial"/>
          <w:sz w:val="18"/>
          <w:szCs w:val="18"/>
          <w:color w:val="auto"/>
        </w:rPr>
        <w:t>”) and, under the date of April 30, 2019, we reported on the consolidated financial statements of GTI as of and for the year ended December 31, 2018. MNP resigned as GTI’s auditor effective October 15, 2019.</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read GTI’s statements included in Item 9 of its Form 10-K under the heading “Prior Independent Registered Accounting Firm” dated March 18, 2021, and we agree with such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14425" cy="2743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11144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ectPr>
          <w:pgSz w:w="11900" w:h="16838" w:orient="portrait"/>
          <w:cols w:equalWidth="0" w:num="1">
            <w:col w:w="11020"/>
          </w:cols>
          <w:pgMar w:left="440" w:top="121"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of Green Thumb Industries Inc. on Form S8 (No. 333-236522) of our report dated March 18, 2021, relating to our audits of the consolidated financial statements of Green Thumb industries Inc. as of and for the years ended December 31, 2020 and 2019 included in this Annual Report on Form 10-K filed with the U.S. Securities and Exchange Commission on March 18,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Macias, Gini &amp; O’Connell,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ectPr>
          <w:pgSz w:w="11900" w:h="16838" w:orient="portrait"/>
          <w:cols w:equalWidth="0" w:num="1">
            <w:col w:w="11020"/>
          </w:cols>
          <w:pgMar w:left="440" w:top="121"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171450</wp:posOffset>
            </wp:positionV>
            <wp:extent cx="1225550" cy="5829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12255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 (No. 333-236522) on Form S-8 of Green Thumb Industries Inc. (“GTI”) of our report dated December 16, 2019, relating to the consolidated balance sheet as of December 31, 2018, and the related consolidated statement of operations, changes in shareholders’ equity, and cash flows for the year then ended, and the related notes (collectively referred to as the consolidated financial statements), which appears in the Form 10-K dated March 18,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114425" cy="274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11144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MNP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Public Accountants</w:t>
      </w:r>
    </w:p>
    <w:p>
      <w:pPr>
        <w:sectPr>
          <w:pgSz w:w="11900" w:h="16838" w:orient="portrait"/>
          <w:cols w:equalWidth="0" w:num="1">
            <w:col w:w="11020"/>
          </w:cols>
          <w:pgMar w:left="440" w:top="121" w:right="439" w:bottom="1440" w:gutter="0" w:footer="0" w:header="0"/>
        </w:sectPr>
      </w:pPr>
    </w:p>
    <w:bookmarkStart w:id="169" w:name="page170"/>
    <w:bookmarkEnd w:id="169"/>
    <w:p>
      <w:pPr>
        <w:ind w:left="100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CERTIFICATION PURSUANT TO RULE 13A-14(A) OR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Ben Kovler, certify that:</w:t>
      </w:r>
    </w:p>
    <w:p>
      <w:pPr>
        <w:spacing w:after="0" w:line="131" w:lineRule="exact"/>
        <w:rPr>
          <w:sz w:val="20"/>
          <w:szCs w:val="20"/>
          <w:color w:val="auto"/>
        </w:rPr>
      </w:pPr>
    </w:p>
    <w:p>
      <w:pPr>
        <w:ind w:left="960" w:hanging="532"/>
        <w:spacing w:after="0"/>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p>
      <w:pPr>
        <w:sectPr>
          <w:pgSz w:w="11900" w:h="16838" w:orient="portrait"/>
          <w:cols w:equalWidth="0" w:num="1">
            <w:col w:w="11020"/>
          </w:cols>
          <w:pgMar w:left="440" w:top="121" w:right="439" w:bottom="1440" w:gutter="0" w:footer="0" w:header="0"/>
        </w:sectPr>
      </w:pPr>
    </w:p>
    <w:bookmarkStart w:id="170" w:name="page171"/>
    <w:bookmarkEnd w:id="170"/>
    <w:p>
      <w:pPr>
        <w:ind w:left="100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CERTIFICATION PURSUANT TO RULE 13A-14(A) OR 15D-14(A) UNDER THE SECURITIES EXCHANGE ACT OF 1934, 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p>
      <w:pPr>
        <w:sectPr>
          <w:pgSz w:w="11900" w:h="16838" w:orient="portrait"/>
          <w:cols w:equalWidth="0" w:num="1">
            <w:col w:w="11020"/>
          </w:cols>
          <w:pgMar w:left="440" w:top="121" w:right="439" w:bottom="1440" w:gutter="0" w:footer="0" w:header="0"/>
        </w:sectPr>
      </w:pPr>
    </w:p>
    <w:bookmarkStart w:id="171" w:name="page172"/>
    <w:bookmarkEnd w:id="171"/>
    <w:p>
      <w:pPr>
        <w:ind w:left="100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connection with the Annual Report of Green Thumb Industries Inc. (the “Company”) on Form 10-K for the fiscal year ended December 31, 2020 as filed with the Securities and Exchange Commission on the date hereof (the “Report”), I, Ben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p>
      <w:pPr>
        <w:sectPr>
          <w:pgSz w:w="11900" w:h="16838" w:orient="portrait"/>
          <w:cols w:equalWidth="0" w:num="1">
            <w:col w:w="11020"/>
          </w:cols>
          <w:pgMar w:left="440" w:top="121" w:right="439" w:bottom="1440" w:gutter="0" w:footer="0" w:header="0"/>
        </w:sectPr>
      </w:pPr>
    </w:p>
    <w:bookmarkStart w:id="172" w:name="page173"/>
    <w:bookmarkEnd w:id="172"/>
    <w:p>
      <w:pPr>
        <w:ind w:left="10080"/>
        <w:spacing w:after="0"/>
        <w:rPr>
          <w:sz w:val="20"/>
          <w:szCs w:val="20"/>
          <w:color w:val="auto"/>
        </w:rPr>
      </w:pPr>
      <w:r>
        <w:rPr>
          <w:rFonts w:ascii="Arial" w:cs="Arial" w:eastAsia="Arial" w:hAnsi="Arial"/>
          <w:sz w:val="16"/>
          <w:szCs w:val="16"/>
          <w:b w:val="1"/>
          <w:bCs w:val="1"/>
          <w:color w:val="auto"/>
        </w:rPr>
        <w:t>Exhibit 32.2</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In connection with the Annual Report of Green Thumb Industries Inc. (the “Company”) on Form 10-K for the fiscal year ended December 31, 2020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lowerRoman"/>
      <w:start w:val="1"/>
    </w:lvl>
  </w:abstractNum>
  <w:abstractNum w:abstractNumId="3">
    <w:nsid w:val="613EFDC5"/>
    <w:multiLevelType w:val="hybridMultilevel"/>
    <w:lvl w:ilvl="0">
      <w:lvlJc w:val="left"/>
      <w:lvlText w:val="(%1)"/>
      <w:numFmt w:val="lowerLetter"/>
      <w:start w:val="4"/>
    </w:lvl>
  </w:abstractNum>
  <w:abstractNum w:abstractNumId="4">
    <w:nsid w:val="BF72B14"/>
    <w:multiLevelType w:val="hybridMultilevel"/>
    <w:lvl w:ilvl="0">
      <w:lvlJc w:val="left"/>
      <w:lvlText w:val="(%1)"/>
      <w:numFmt w:val="decimal"/>
      <w:start w:val="3"/>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1)"/>
      <w:numFmt w:val="lowerRoman"/>
      <w:start w:val="1"/>
    </w:lvl>
  </w:abstractNum>
  <w:abstractNum w:abstractNumId="12">
    <w:nsid w:val="4962813B"/>
    <w:multiLevelType w:val="hybridMultilevel"/>
    <w:lvl w:ilvl="0">
      <w:lvlJc w:val="left"/>
      <w:lvlText w:val="%1"/>
      <w:numFmt w:val="upperLetter"/>
      <w:start w:val="6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1)"/>
      <w:numFmt w:val="decimal"/>
      <w:start w:val="1"/>
    </w:lvl>
  </w:abstractNum>
  <w:abstractNum w:abstractNumId="16">
    <w:nsid w:val="7FFFCA11"/>
    <w:multiLevelType w:val="hybridMultilevel"/>
    <w:lvl w:ilvl="0">
      <w:lvlJc w:val="left"/>
      <w:lvlText w:val="(%1)"/>
      <w:numFmt w:val="decimal"/>
      <w:start w:val="1"/>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decimal"/>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1)"/>
      <w:numFmt w:val="lowerLetter"/>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1."/>
      <w:numFmt w:val="decimal"/>
      <w:start w:val="1"/>
    </w:lvl>
  </w:abstractNum>
  <w:abstractNum w:abstractNumId="25">
    <w:nsid w:val="76272110"/>
    <w:multiLevelType w:val="hybridMultilevel"/>
    <w:lvl w:ilvl="0">
      <w:lvlJc w:val="left"/>
      <w:lvlText w:val="%1."/>
      <w:numFmt w:val="decimal"/>
      <w:start w:val="2"/>
    </w:lvl>
    <w:lvl w:ilvl="1">
      <w:lvlJc w:val="left"/>
      <w:lvlText w:val="(%2)"/>
      <w:numFmt w:val="lowerLetter"/>
      <w:start w:val="1"/>
    </w:lvl>
  </w:abstractNum>
  <w:abstractNum w:abstractNumId="26">
    <w:nsid w:val="4C04A8AF"/>
    <w:multiLevelType w:val="hybridMultilevel"/>
    <w:lvl w:ilvl="0">
      <w:lvlJc w:val="left"/>
      <w:lvlText w:val="%1."/>
      <w:numFmt w:val="decimal"/>
      <w:start w:val="2"/>
    </w:lvl>
    <w:lvl w:ilvl="1">
      <w:lvlJc w:val="left"/>
      <w:lvlText w:val="(%2)"/>
      <w:numFmt w:val="lowerLetter"/>
      <w:start w:val="4"/>
    </w:lvl>
  </w:abstractNum>
  <w:abstractNum w:abstractNumId="27">
    <w:nsid w:val="1716703B"/>
    <w:multiLevelType w:val="hybridMultilevel"/>
    <w:lvl w:ilvl="0">
      <w:lvlJc w:val="left"/>
      <w:lvlText w:val="%1."/>
      <w:numFmt w:val="decimal"/>
      <w:start w:val="2"/>
    </w:lvl>
    <w:lvl w:ilvl="1">
      <w:lvlJc w:val="left"/>
      <w:lvlText w:val="(%2)"/>
      <w:numFmt w:val="lowerLetter"/>
      <w:start w:val="4"/>
    </w:lvl>
  </w:abstractNum>
  <w:abstractNum w:abstractNumId="28">
    <w:nsid w:val="14E17E33"/>
    <w:multiLevelType w:val="hybridMultilevel"/>
    <w:lvl w:ilvl="0">
      <w:lvlJc w:val="left"/>
      <w:lvlText w:val="(%1)"/>
      <w:numFmt w:val="lowerLetter"/>
      <w:start w:val="5"/>
    </w:lvl>
  </w:abstractNum>
  <w:abstractNum w:abstractNumId="29">
    <w:nsid w:val="3222E7CD"/>
    <w:multiLevelType w:val="hybridMultilevel"/>
    <w:lvl w:ilvl="0">
      <w:lvlJc w:val="left"/>
      <w:lvlText w:val="%1."/>
      <w:numFmt w:val="decimal"/>
      <w:start w:val="2"/>
    </w:lvl>
    <w:lvl w:ilvl="1">
      <w:lvlJc w:val="left"/>
      <w:lvlText w:val="(%2)"/>
      <w:numFmt w:val="lowerLetter"/>
      <w:start w:val="5"/>
    </w:lvl>
  </w:abstractNum>
  <w:abstractNum w:abstractNumId="30">
    <w:nsid w:val="74DE0EE3"/>
    <w:multiLevelType w:val="hybridMultilevel"/>
    <w:lvl w:ilvl="0">
      <w:lvlJc w:val="left"/>
      <w:lvlText w:val="%1."/>
      <w:numFmt w:val="decimal"/>
      <w:start w:val="2"/>
    </w:lvl>
    <w:lvl w:ilvl="1">
      <w:lvlJc w:val="left"/>
      <w:lvlText w:val="(%2)"/>
      <w:numFmt w:val="lowerLetter"/>
      <w:start w:val="10"/>
    </w:lvl>
  </w:abstractNum>
  <w:abstractNum w:abstractNumId="31">
    <w:nsid w:val="68EBC550"/>
    <w:multiLevelType w:val="hybridMultilevel"/>
    <w:lvl w:ilvl="0">
      <w:lvlJc w:val="left"/>
      <w:lvlText w:val="(%1)"/>
      <w:numFmt w:val="lowerLetter"/>
      <w:start w:val="11"/>
    </w:lvl>
  </w:abstractNum>
  <w:abstractNum w:abstractNumId="32">
    <w:nsid w:val="2DF6D648"/>
    <w:multiLevelType w:val="hybridMultilevel"/>
    <w:lvl w:ilvl="0">
      <w:lvlJc w:val="left"/>
      <w:lvlText w:val="%1."/>
      <w:numFmt w:val="decimal"/>
      <w:start w:val="2"/>
    </w:lvl>
    <w:lvl w:ilvl="1">
      <w:lvlJc w:val="left"/>
      <w:lvlText w:val="(%2)"/>
      <w:numFmt w:val="lowerLetter"/>
      <w:start w:val="12"/>
    </w:lvl>
  </w:abstractNum>
  <w:abstractNum w:abstractNumId="33">
    <w:nsid w:val="46B7D447"/>
    <w:multiLevelType w:val="hybridMultilevel"/>
    <w:lvl w:ilvl="0">
      <w:lvlJc w:val="left"/>
      <w:lvlText w:val="(%1)"/>
      <w:numFmt w:val="lowerLetter"/>
      <w:start w:val="13"/>
    </w:lvl>
  </w:abstractNum>
  <w:abstractNum w:abstractNumId="34">
    <w:nsid w:val="4A2AC315"/>
    <w:multiLevelType w:val="hybridMultilevel"/>
    <w:lvl w:ilvl="0">
      <w:lvlJc w:val="left"/>
      <w:lvlText w:val="%1."/>
      <w:numFmt w:val="decimal"/>
      <w:start w:val="2"/>
    </w:lvl>
    <w:lvl w:ilvl="1">
      <w:lvlJc w:val="left"/>
      <w:lvlText w:val="(%2)"/>
      <w:numFmt w:val="lowerLetter"/>
      <w:start w:val="15"/>
    </w:lvl>
    <w:lvl w:ilvl="2">
      <w:lvlJc w:val="left"/>
      <w:lvlText w:val="•"/>
      <w:numFmt w:val="bullet"/>
      <w:start w:val="1"/>
    </w:lvl>
  </w:abstractNum>
  <w:abstractNum w:abstractNumId="35">
    <w:nsid w:val="39EE015C"/>
    <w:multiLevelType w:val="hybridMultilevel"/>
    <w:lvl w:ilvl="0">
      <w:lvlJc w:val="left"/>
      <w:lvlText w:val="(%1)"/>
      <w:numFmt w:val="lowerLetter"/>
      <w:start w:val="16"/>
    </w:lvl>
  </w:abstractNum>
  <w:abstractNum w:abstractNumId="36">
    <w:nsid w:val="57FC4FBB"/>
    <w:multiLevelType w:val="hybridMultilevel"/>
    <w:lvl w:ilvl="0">
      <w:lvlJc w:val="left"/>
      <w:lvlText w:val="%1."/>
      <w:numFmt w:val="decimal"/>
      <w:start w:val="2"/>
    </w:lvl>
    <w:lvl w:ilvl="1">
      <w:lvlJc w:val="left"/>
      <w:lvlText w:val="(%2)"/>
      <w:numFmt w:val="lowerLetter"/>
      <w:start w:val="16"/>
    </w:lvl>
  </w:abstractNum>
  <w:abstractNum w:abstractNumId="37">
    <w:nsid w:val="CC1016F"/>
    <w:multiLevelType w:val="hybridMultilevel"/>
    <w:lvl w:ilvl="0">
      <w:lvlJc w:val="left"/>
      <w:lvlText w:val="%1."/>
      <w:numFmt w:val="decimal"/>
      <w:start w:val="2"/>
    </w:lvl>
    <w:lvl w:ilvl="1">
      <w:lvlJc w:val="left"/>
      <w:lvlText w:val="(%2)"/>
      <w:numFmt w:val="lowerLetter"/>
      <w:start w:val="19"/>
    </w:lvl>
  </w:abstractNum>
  <w:abstractNum w:abstractNumId="38">
    <w:nsid w:val="43F18422"/>
    <w:multiLevelType w:val="hybridMultilevel"/>
    <w:lvl w:ilvl="0">
      <w:lvlJc w:val="left"/>
      <w:lvlText w:val="%1."/>
      <w:numFmt w:val="decimal"/>
      <w:start w:val="2"/>
    </w:lvl>
    <w:lvl w:ilvl="1">
      <w:lvlJc w:val="left"/>
      <w:lvlText w:val="(%2)"/>
      <w:numFmt w:val="lowerLetter"/>
      <w:start w:val="22"/>
    </w:lvl>
    <w:lvl w:ilvl="2">
      <w:lvlJc w:val="left"/>
      <w:lvlText w:val="(%3)"/>
      <w:numFmt w:val="lowerRoman"/>
      <w:start w:val="1"/>
    </w:lvl>
  </w:abstractNum>
  <w:abstractNum w:abstractNumId="39">
    <w:nsid w:val="60EF0119"/>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2"/>
    </w:lvl>
  </w:abstractNum>
  <w:abstractNum w:abstractNumId="40">
    <w:nsid w:val="26F324BA"/>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7"/>
    </w:lvl>
    <w:lvl w:ilvl="3">
      <w:lvlJc w:val="left"/>
      <w:lvlText w:val="(%4)"/>
      <w:numFmt w:val="lowerRoman"/>
      <w:start w:val="5"/>
    </w:lvl>
  </w:abstractNum>
  <w:abstractNum w:abstractNumId="41">
    <w:nsid w:val="7F01579B"/>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9"/>
    </w:lvl>
  </w:abstractNum>
  <w:abstractNum w:abstractNumId="42">
    <w:nsid w:val="49DA307D"/>
    <w:multiLevelType w:val="hybridMultilevel"/>
    <w:lvl w:ilvl="0">
      <w:lvlJc w:val="left"/>
      <w:lvlText w:val="(%1)"/>
      <w:numFmt w:val="lowerLetter"/>
      <w:start w:val="25"/>
    </w:lvl>
    <w:lvl w:ilvl="1">
      <w:lvlJc w:val="left"/>
      <w:lvlText w:val="(%2)"/>
      <w:numFmt w:val="lowerRoman"/>
      <w:start w:val="1"/>
    </w:lvl>
  </w:abstractNum>
  <w:abstractNum w:abstractNumId="43">
    <w:nsid w:val="7055A5F5"/>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4"/>
    </w:lvl>
  </w:abstractNum>
  <w:abstractNum w:abstractNumId="44">
    <w:nsid w:val="5FB8370B"/>
    <w:multiLevelType w:val="hybridMultilevel"/>
    <w:lvl w:ilvl="0">
      <w:lvlJc w:val="left"/>
      <w:lvlText w:val="%1."/>
      <w:numFmt w:val="decimal"/>
      <w:start w:val="2"/>
    </w:lvl>
    <w:lvl w:ilvl="1">
      <w:lvlJc w:val="left"/>
      <w:lvlText w:val="(%2)"/>
      <w:numFmt w:val="lowerLetter"/>
      <w:start w:val="26"/>
    </w:lvl>
  </w:abstractNum>
  <w:abstractNum w:abstractNumId="45">
    <w:nsid w:val="50801EE1"/>
    <w:multiLevelType w:val="hybridMultilevel"/>
    <w:lvl w:ilvl="0">
      <w:lvlJc w:val="left"/>
      <w:lvlText w:val="%1."/>
      <w:numFmt w:val="decimal"/>
      <w:start w:val="4"/>
    </w:lvl>
  </w:abstractNum>
  <w:abstractNum w:abstractNumId="46">
    <w:nsid w:val="488AC1A"/>
    <w:multiLevelType w:val="hybridMultilevel"/>
    <w:lvl w:ilvl="0">
      <w:lvlJc w:val="left"/>
      <w:lvlText w:val="%1."/>
      <w:numFmt w:val="decimal"/>
      <w:start w:val="5"/>
    </w:lvl>
  </w:abstractNum>
  <w:abstractNum w:abstractNumId="47">
    <w:nsid w:val="5FB8011C"/>
    <w:multiLevelType w:val="hybridMultilevel"/>
    <w:lvl w:ilvl="0">
      <w:lvlJc w:val="left"/>
      <w:lvlText w:val="%1."/>
      <w:numFmt w:val="decimal"/>
      <w:start w:val="6"/>
    </w:lvl>
  </w:abstractNum>
  <w:abstractNum w:abstractNumId="48">
    <w:nsid w:val="6AA78F7F"/>
    <w:multiLevelType w:val="hybridMultilevel"/>
    <w:lvl w:ilvl="0">
      <w:lvlJc w:val="left"/>
      <w:lvlText w:val="%1."/>
      <w:numFmt w:val="decimal"/>
      <w:start w:val="6"/>
    </w:lvl>
  </w:abstractNum>
  <w:abstractNum w:abstractNumId="49">
    <w:nsid w:val="7672BD23"/>
    <w:multiLevelType w:val="hybridMultilevel"/>
    <w:lvl w:ilvl="0">
      <w:lvlJc w:val="left"/>
      <w:lvlText w:val="%1."/>
      <w:numFmt w:val="decimal"/>
      <w:start w:val="7"/>
    </w:lvl>
  </w:abstractNum>
  <w:abstractNum w:abstractNumId="50">
    <w:nsid w:val="6FC75AF8"/>
    <w:multiLevelType w:val="hybridMultilevel"/>
    <w:lvl w:ilvl="0">
      <w:lvlJc w:val="left"/>
      <w:lvlText w:val="(%1)"/>
      <w:numFmt w:val="lowerLetter"/>
      <w:start w:val="1"/>
    </w:lvl>
  </w:abstractNum>
  <w:abstractNum w:abstractNumId="51">
    <w:nsid w:val="6A5F7029"/>
    <w:multiLevelType w:val="hybridMultilevel"/>
    <w:lvl w:ilvl="0">
      <w:lvlJc w:val="left"/>
      <w:lvlText w:val="(%1)"/>
      <w:numFmt w:val="lowerRoman"/>
      <w:start w:val="1"/>
    </w:lvl>
  </w:abstractNum>
  <w:abstractNum w:abstractNumId="52">
    <w:nsid w:val="7D5E18F8"/>
    <w:multiLevelType w:val="hybridMultilevel"/>
    <w:lvl w:ilvl="0">
      <w:lvlJc w:val="left"/>
      <w:lvlText w:val="(%1)"/>
      <w:numFmt w:val="lowerLetter"/>
      <w:start w:val="2"/>
    </w:lvl>
  </w:abstractNum>
  <w:abstractNum w:abstractNumId="53">
    <w:nsid w:val="5F3534A4"/>
    <w:multiLevelType w:val="hybridMultilevel"/>
    <w:lvl w:ilvl="0">
      <w:lvlJc w:val="left"/>
      <w:lvlText w:val="%1."/>
      <w:numFmt w:val="decimal"/>
      <w:start w:val="7"/>
    </w:lvl>
  </w:abstractNum>
  <w:abstractNum w:abstractNumId="54">
    <w:nsid w:val="73A1821B"/>
    <w:multiLevelType w:val="hybridMultilevel"/>
    <w:lvl w:ilvl="0">
      <w:lvlJc w:val="left"/>
      <w:lvlText w:val="(%1)"/>
      <w:numFmt w:val="lowerLetter"/>
      <w:start w:val="2"/>
    </w:lvl>
  </w:abstractNum>
  <w:abstractNum w:abstractNumId="55">
    <w:nsid w:val="7DE67713"/>
    <w:multiLevelType w:val="hybridMultilevel"/>
    <w:lvl w:ilvl="0">
      <w:lvlJc w:val="left"/>
      <w:lvlText w:val="(%1)"/>
      <w:numFmt w:val="lowerRoman"/>
      <w:start w:val="1"/>
    </w:lvl>
  </w:abstractNum>
  <w:abstractNum w:abstractNumId="56">
    <w:nsid w:val="555C55B5"/>
    <w:multiLevelType w:val="hybridMultilevel"/>
    <w:lvl w:ilvl="0">
      <w:lvlJc w:val="left"/>
      <w:lvlText w:val="%1."/>
      <w:numFmt w:val="decimal"/>
      <w:start w:val="7"/>
    </w:lvl>
  </w:abstractNum>
  <w:abstractNum w:abstractNumId="57">
    <w:nsid w:val="3FA62ACA"/>
    <w:multiLevelType w:val="hybridMultilevel"/>
    <w:lvl w:ilvl="0">
      <w:lvlJc w:val="left"/>
      <w:lvlText w:val="(%1)"/>
      <w:numFmt w:val="lowerLetter"/>
      <w:start w:val="2"/>
    </w:lvl>
    <w:lvl w:ilvl="1">
      <w:lvlJc w:val="left"/>
      <w:lvlText w:val="(%2)"/>
      <w:numFmt w:val="lowerLetter"/>
      <w:start w:val="9"/>
    </w:lvl>
  </w:abstractNum>
  <w:abstractNum w:abstractNumId="58">
    <w:nsid w:val="14FCE74E"/>
    <w:multiLevelType w:val="hybridMultilevel"/>
    <w:lvl w:ilvl="0">
      <w:lvlJc w:val="left"/>
      <w:lvlText w:val="(%1)"/>
      <w:numFmt w:val="lowerRoman"/>
      <w:start w:val="2"/>
    </w:lvl>
  </w:abstractNum>
  <w:abstractNum w:abstractNumId="59">
    <w:nsid w:val="6A3DD3E8"/>
    <w:multiLevelType w:val="hybridMultilevel"/>
    <w:lvl w:ilvl="0">
      <w:lvlJc w:val="left"/>
      <w:lvlText w:val="%1."/>
      <w:numFmt w:val="decimal"/>
      <w:start w:val="7"/>
    </w:lvl>
  </w:abstractNum>
  <w:abstractNum w:abstractNumId="60">
    <w:nsid w:val="71C91298"/>
    <w:multiLevelType w:val="hybridMultilevel"/>
    <w:lvl w:ilvl="0">
      <w:lvlJc w:val="left"/>
      <w:lvlText w:val="(%1)"/>
      <w:numFmt w:val="lowerLetter"/>
      <w:start w:val="2"/>
    </w:lvl>
  </w:abstractNum>
  <w:abstractNum w:abstractNumId="61">
    <w:nsid w:val="9DAF632"/>
    <w:multiLevelType w:val="hybridMultilevel"/>
    <w:lvl w:ilvl="0">
      <w:lvlJc w:val="left"/>
      <w:lvlText w:val="(%1)"/>
      <w:numFmt w:val="lowerRoman"/>
      <w:start w:val="5"/>
    </w:lvl>
  </w:abstractNum>
  <w:abstractNum w:abstractNumId="62">
    <w:nsid w:val="53299938"/>
    <w:multiLevelType w:val="hybridMultilevel"/>
    <w:lvl w:ilvl="0">
      <w:lvlJc w:val="left"/>
      <w:lvlText w:val="(%1)"/>
      <w:numFmt w:val="lowerLetter"/>
      <w:start w:val="3"/>
    </w:lvl>
  </w:abstractNum>
  <w:abstractNum w:abstractNumId="63">
    <w:nsid w:val="1FBFE8E0"/>
    <w:multiLevelType w:val="hybridMultilevel"/>
    <w:lvl w:ilvl="0">
      <w:lvlJc w:val="left"/>
      <w:lvlText w:val="%1."/>
      <w:numFmt w:val="decimal"/>
      <w:start w:val="7"/>
    </w:lvl>
  </w:abstractNum>
  <w:abstractNum w:abstractNumId="64">
    <w:nsid w:val="5092CA79"/>
    <w:multiLevelType w:val="hybridMultilevel"/>
    <w:lvl w:ilvl="0">
      <w:lvlJc w:val="left"/>
      <w:lvlText w:val="(%1)"/>
      <w:numFmt w:val="lowerLetter"/>
      <w:start w:val="3"/>
    </w:lvl>
  </w:abstractNum>
  <w:abstractNum w:abstractNumId="65">
    <w:nsid w:val="1D545C4D"/>
    <w:multiLevelType w:val="hybridMultilevel"/>
    <w:lvl w:ilvl="0">
      <w:lvlJc w:val="left"/>
      <w:lvlText w:val="(%1)"/>
      <w:numFmt w:val="lowerLetter"/>
      <w:start w:val="1"/>
    </w:lvl>
  </w:abstractNum>
  <w:abstractNum w:abstractNumId="66">
    <w:nsid w:val="59ADEA3D"/>
    <w:multiLevelType w:val="hybridMultilevel"/>
    <w:lvl w:ilvl="0">
      <w:lvlJc w:val="left"/>
      <w:lvlText w:val="(%1)"/>
      <w:numFmt w:val="lowerLetter"/>
      <w:start w:val="1"/>
    </w:lvl>
  </w:abstractNum>
  <w:abstractNum w:abstractNumId="67">
    <w:nsid w:val="288F1A34"/>
    <w:multiLevelType w:val="hybridMultilevel"/>
    <w:lvl w:ilvl="0">
      <w:lvlJc w:val="left"/>
      <w:lvlText w:val="%1."/>
      <w:numFmt w:val="decimal"/>
      <w:start w:val="8"/>
    </w:lvl>
  </w:abstractNum>
  <w:abstractNum w:abstractNumId="68">
    <w:nsid w:val="2A155DBC"/>
    <w:multiLevelType w:val="hybridMultilevel"/>
    <w:lvl w:ilvl="0">
      <w:lvlJc w:val="left"/>
      <w:lvlText w:val="%1."/>
      <w:numFmt w:val="decimal"/>
      <w:start w:val="8"/>
    </w:lvl>
  </w:abstractNum>
  <w:abstractNum w:abstractNumId="69">
    <w:nsid w:val="1D9F6E5F"/>
    <w:multiLevelType w:val="hybridMultilevel"/>
    <w:lvl w:ilvl="0">
      <w:lvlJc w:val="left"/>
      <w:lvlText w:val="%1."/>
      <w:numFmt w:val="decimal"/>
      <w:start w:val="8"/>
    </w:lvl>
  </w:abstractNum>
  <w:abstractNum w:abstractNumId="70">
    <w:nsid w:val="97E1B4E"/>
    <w:multiLevelType w:val="hybridMultilevel"/>
    <w:lvl w:ilvl="0">
      <w:lvlJc w:val="left"/>
      <w:lvlText w:val="%1."/>
      <w:numFmt w:val="decimal"/>
      <w:start w:val="9"/>
    </w:lvl>
  </w:abstractNum>
  <w:abstractNum w:abstractNumId="71">
    <w:nsid w:val="51088277"/>
    <w:multiLevelType w:val="hybridMultilevel"/>
    <w:lvl w:ilvl="0">
      <w:lvlJc w:val="left"/>
      <w:lvlText w:val="%1."/>
      <w:numFmt w:val="decimal"/>
      <w:start w:val="9"/>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1."/>
      <w:numFmt w:val="decimal"/>
      <w:start w:val="10"/>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2"/>
    </w:lvl>
  </w:abstractNum>
  <w:abstractNum w:abstractNumId="76">
    <w:nsid w:val="23D86AAC"/>
    <w:multiLevelType w:val="hybridMultilevel"/>
    <w:lvl w:ilvl="0">
      <w:lvlJc w:val="left"/>
      <w:lvlText w:val="%1."/>
      <w:numFmt w:val="decimal"/>
      <w:start w:val="10"/>
    </w:lvl>
  </w:abstractNum>
  <w:abstractNum w:abstractNumId="77">
    <w:nsid w:val="45E6D486"/>
    <w:multiLevelType w:val="hybridMultilevel"/>
    <w:lvl w:ilvl="0">
      <w:lvlJc w:val="left"/>
      <w:lvlText w:val="(%1)"/>
      <w:numFmt w:val="lowerLetter"/>
      <w:start w:val="2"/>
    </w:lvl>
  </w:abstractNum>
  <w:abstractNum w:abstractNumId="78">
    <w:nsid w:val="5C10FE21"/>
    <w:multiLevelType w:val="hybridMultilevel"/>
    <w:lvl w:ilvl="0">
      <w:lvlJc w:val="left"/>
      <w:lvlText w:val="(%1)"/>
      <w:numFmt w:val="lowerLetter"/>
      <w:start w:val="3"/>
    </w:lvl>
    <w:lvl w:ilvl="1">
      <w:lvlJc w:val="left"/>
      <w:lvlText w:val="(%2)"/>
      <w:numFmt w:val="lowerRoman"/>
      <w:start w:val="1"/>
    </w:lvl>
  </w:abstractNum>
  <w:abstractNum w:abstractNumId="79">
    <w:nsid w:val="E7FFA2B"/>
    <w:multiLevelType w:val="hybridMultilevel"/>
    <w:lvl w:ilvl="0">
      <w:lvlJc w:val="left"/>
      <w:lvlText w:val="%1."/>
      <w:numFmt w:val="decimal"/>
      <w:start w:val="10"/>
    </w:lvl>
  </w:abstractNum>
  <w:abstractNum w:abstractNumId="80">
    <w:nsid w:val="3C5991AA"/>
    <w:multiLevelType w:val="hybridMultilevel"/>
    <w:lvl w:ilvl="0">
      <w:lvlJc w:val="left"/>
      <w:lvlText w:val="(%1)"/>
      <w:numFmt w:val="lowerLetter"/>
      <w:start w:val="3"/>
    </w:lvl>
    <w:lvl w:ilvl="1">
      <w:lvlJc w:val="left"/>
      <w:lvlText w:val="(%2)"/>
      <w:numFmt w:val="lowerLetter"/>
      <w:start w:val="61"/>
    </w:lvl>
  </w:abstractNum>
  <w:abstractNum w:abstractNumId="81">
    <w:nsid w:val="4BD8591A"/>
    <w:multiLevelType w:val="hybridMultilevel"/>
    <w:lvl w:ilvl="0">
      <w:lvlJc w:val="left"/>
      <w:lvlText w:val="%1."/>
      <w:numFmt w:val="decimal"/>
      <w:start w:val="11"/>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2"/>
    </w:lvl>
  </w:abstractNum>
  <w:abstractNum w:abstractNumId="84">
    <w:nsid w:val="2B0D8DBE"/>
    <w:multiLevelType w:val="hybridMultilevel"/>
    <w:lvl w:ilvl="0">
      <w:lvlJc w:val="left"/>
      <w:lvlText w:val="(%1)"/>
      <w:numFmt w:val="lowerLetter"/>
      <w:start w:val="3"/>
    </w:lvl>
  </w:abstractNum>
  <w:abstractNum w:abstractNumId="85">
    <w:nsid w:val="6C80EC70"/>
    <w:multiLevelType w:val="hybridMultilevel"/>
    <w:lvl w:ilvl="0">
      <w:lvlJc w:val="left"/>
      <w:lvlText w:val="%1."/>
      <w:numFmt w:val="decimal"/>
      <w:start w:val="11"/>
    </w:lvl>
  </w:abstractNum>
  <w:abstractNum w:abstractNumId="86">
    <w:nsid w:val="379E21B5"/>
    <w:multiLevelType w:val="hybridMultilevel"/>
    <w:lvl w:ilvl="0">
      <w:lvlJc w:val="left"/>
      <w:lvlText w:val="(%1)"/>
      <w:numFmt w:val="lowerLetter"/>
      <w:start w:val="3"/>
    </w:lvl>
  </w:abstractNum>
  <w:abstractNum w:abstractNumId="87">
    <w:nsid w:val="69E373"/>
    <w:multiLevelType w:val="hybridMultilevel"/>
    <w:lvl w:ilvl="0">
      <w:lvlJc w:val="left"/>
      <w:lvlText w:val="(%1)"/>
      <w:numFmt w:val="lowerLetter"/>
      <w:start w:val="4"/>
    </w:lvl>
  </w:abstractNum>
  <w:abstractNum w:abstractNumId="88">
    <w:nsid w:val="2C27173B"/>
    <w:multiLevelType w:val="hybridMultilevel"/>
    <w:lvl w:ilvl="0">
      <w:lvlJc w:val="left"/>
      <w:lvlText w:val="(%1)"/>
      <w:numFmt w:val="lowerLetter"/>
      <w:start w:val="5"/>
    </w:lvl>
  </w:abstractNum>
  <w:abstractNum w:abstractNumId="89">
    <w:nsid w:val="4C9B0904"/>
    <w:multiLevelType w:val="hybridMultilevel"/>
    <w:lvl w:ilvl="0">
      <w:lvlJc w:val="left"/>
      <w:lvlText w:val="(%1)"/>
      <w:numFmt w:val="lowerLetter"/>
      <w:start w:val="6"/>
    </w:lvl>
  </w:abstractNum>
  <w:abstractNum w:abstractNumId="90">
    <w:nsid w:val="6AA7B75C"/>
    <w:multiLevelType w:val="hybridMultilevel"/>
    <w:lvl w:ilvl="0">
      <w:lvlJc w:val="left"/>
      <w:lvlText w:val="%1."/>
      <w:numFmt w:val="decimal"/>
      <w:start w:val="11"/>
    </w:lvl>
  </w:abstractNum>
  <w:abstractNum w:abstractNumId="91">
    <w:nsid w:val="1DF029D3"/>
    <w:multiLevelType w:val="hybridMultilevel"/>
    <w:lvl w:ilvl="0">
      <w:lvlJc w:val="left"/>
      <w:lvlText w:val="(%1)"/>
      <w:numFmt w:val="lowerLetter"/>
      <w:start w:val="7"/>
    </w:lvl>
  </w:abstractNum>
  <w:abstractNum w:abstractNumId="92">
    <w:nsid w:val="5675FF36"/>
    <w:multiLevelType w:val="hybridMultilevel"/>
    <w:lvl w:ilvl="0">
      <w:lvlJc w:val="left"/>
      <w:lvlText w:val="(%1)"/>
      <w:numFmt w:val="lowerLetter"/>
      <w:start w:val="8"/>
    </w:lvl>
  </w:abstractNum>
  <w:abstractNum w:abstractNumId="93">
    <w:nsid w:val="3DD15094"/>
    <w:multiLevelType w:val="hybridMultilevel"/>
    <w:lvl w:ilvl="0">
      <w:lvlJc w:val="left"/>
      <w:lvlText w:val="%1."/>
      <w:numFmt w:val="decimal"/>
      <w:start w:val="12"/>
    </w:lvl>
  </w:abstractNum>
  <w:abstractNum w:abstractNumId="94">
    <w:nsid w:val="3DB012B3"/>
    <w:multiLevelType w:val="hybridMultilevel"/>
    <w:lvl w:ilvl="0">
      <w:lvlJc w:val="left"/>
      <w:lvlText w:val="%1."/>
      <w:numFmt w:val="decimal"/>
      <w:start w:val="12"/>
    </w:lvl>
  </w:abstractNum>
  <w:abstractNum w:abstractNumId="95">
    <w:nsid w:val="2708C9AF"/>
    <w:multiLevelType w:val="hybridMultilevel"/>
    <w:lvl w:ilvl="0">
      <w:lvlJc w:val="left"/>
      <w:lvlText w:val="(%1)"/>
      <w:numFmt w:val="lowerLetter"/>
      <w:start w:val="1"/>
    </w:lvl>
  </w:abstractNum>
  <w:abstractNum w:abstractNumId="96">
    <w:nsid w:val="5B25ACE2"/>
    <w:multiLevelType w:val="hybridMultilevel"/>
    <w:lvl w:ilvl="0">
      <w:lvlJc w:val="left"/>
      <w:lvlText w:val="(%1)"/>
      <w:numFmt w:val="lowerRoman"/>
      <w:start w:val="1"/>
    </w:lvl>
  </w:abstractNum>
  <w:abstractNum w:abstractNumId="97">
    <w:nsid w:val="175DFCF0"/>
    <w:multiLevelType w:val="hybridMultilevel"/>
    <w:lvl w:ilvl="0">
      <w:lvlJc w:val="left"/>
      <w:lvlText w:val="(%1)"/>
      <w:numFmt w:val="lowerLetter"/>
      <w:start w:val="2"/>
    </w:lvl>
  </w:abstractNum>
  <w:abstractNum w:abstractNumId="98">
    <w:nsid w:val="4F97E3E4"/>
    <w:multiLevelType w:val="hybridMultilevel"/>
    <w:lvl w:ilvl="0">
      <w:lvlJc w:val="left"/>
      <w:lvlText w:val="(%1)"/>
      <w:numFmt w:val="lowerRoman"/>
      <w:start w:val="1"/>
    </w:lvl>
  </w:abstractNum>
  <w:abstractNum w:abstractNumId="99">
    <w:nsid w:val="53B0A9E"/>
    <w:multiLevelType w:val="hybridMultilevel"/>
    <w:lvl w:ilvl="0">
      <w:lvlJc w:val="left"/>
      <w:lvlText w:val="%1."/>
      <w:numFmt w:val="decimal"/>
      <w:start w:val="12"/>
    </w:lvl>
  </w:abstractNum>
  <w:abstractNum w:abstractNumId="100">
    <w:nsid w:val="34FD6B4F"/>
    <w:multiLevelType w:val="hybridMultilevel"/>
    <w:lvl w:ilvl="0">
      <w:lvlJc w:val="left"/>
      <w:lvlText w:val="(%1)"/>
      <w:numFmt w:val="lowerLetter"/>
      <w:start w:val="2"/>
    </w:lvl>
    <w:lvl w:ilvl="1">
      <w:lvlJc w:val="left"/>
      <w:lvlText w:val="(%2)"/>
      <w:numFmt w:val="lowerLetter"/>
      <w:start w:val="9"/>
    </w:lvl>
  </w:abstractNum>
  <w:abstractNum w:abstractNumId="101">
    <w:nsid w:val="5915FF32"/>
    <w:multiLevelType w:val="hybridMultilevel"/>
    <w:lvl w:ilvl="0">
      <w:lvlJc w:val="left"/>
      <w:lvlText w:val="%1."/>
      <w:numFmt w:val="decimal"/>
      <w:start w:val="13"/>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1)"/>
      <w:numFmt w:val="lowerRoman"/>
      <w:start w:val="1"/>
    </w:lvl>
  </w:abstractNum>
  <w:abstractNum w:abstractNumId="104">
    <w:nsid w:val="2C6E4AFD"/>
    <w:multiLevelType w:val="hybridMultilevel"/>
    <w:lvl w:ilvl="0">
      <w:lvlJc w:val="left"/>
      <w:lvlText w:val="(%1)"/>
      <w:numFmt w:val="lowerRoman"/>
      <w:start w:val="2"/>
    </w:lvl>
  </w:abstractNum>
  <w:abstractNum w:abstractNumId="105">
    <w:nsid w:val="17A1B582"/>
    <w:multiLevelType w:val="hybridMultilevel"/>
    <w:lvl w:ilvl="0">
      <w:lvlJc w:val="left"/>
      <w:lvlText w:val="%1."/>
      <w:numFmt w:val="decimal"/>
      <w:start w:val="13"/>
    </w:lvl>
  </w:abstractNum>
  <w:abstractNum w:abstractNumId="106">
    <w:nsid w:val="4DF72E4E"/>
    <w:multiLevelType w:val="hybridMultilevel"/>
    <w:lvl w:ilvl="0">
      <w:lvlJc w:val="left"/>
      <w:lvlText w:val="(%1)"/>
      <w:numFmt w:val="lowerLetter"/>
      <w:start w:val="1"/>
    </w:lvl>
    <w:lvl w:ilvl="1">
      <w:lvlJc w:val="left"/>
      <w:lvlText w:val="(%2)"/>
      <w:numFmt w:val="lowerLetter"/>
      <w:start w:val="61"/>
    </w:lvl>
  </w:abstractNum>
  <w:abstractNum w:abstractNumId="107">
    <w:nsid w:val="5046B5A9"/>
    <w:multiLevelType w:val="hybridMultilevel"/>
    <w:lvl w:ilvl="0">
      <w:lvlJc w:val="left"/>
      <w:lvlText w:val="(%1)"/>
      <w:numFmt w:val="lowerLetter"/>
      <w:start w:val="2"/>
    </w:lvl>
  </w:abstractNum>
  <w:abstractNum w:abstractNumId="108">
    <w:nsid w:val="5D888A08"/>
    <w:multiLevelType w:val="hybridMultilevel"/>
    <w:lvl w:ilvl="0">
      <w:lvlJc w:val="left"/>
      <w:lvlText w:val="(%1)"/>
      <w:numFmt w:val="lowerRoman"/>
      <w:start w:val="1"/>
    </w:lvl>
    <w:lvl w:ilvl="1">
      <w:lvlJc w:val="left"/>
      <w:lvlText w:val="(%2)"/>
      <w:numFmt w:val="decimal"/>
      <w:start w:val="1"/>
    </w:lvl>
  </w:abstractNum>
  <w:abstractNum w:abstractNumId="109">
    <w:nsid w:val="2A082C70"/>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9"/>
    </w:lvl>
  </w:abstractNum>
  <w:abstractNum w:abstractNumId="110">
    <w:nsid w:val="5EC6AFD4"/>
    <w:multiLevelType w:val="hybridMultilevel"/>
    <w:lvl w:ilvl="0">
      <w:lvlJc w:val="left"/>
      <w:lvlText w:val="(%1)"/>
      <w:numFmt w:val="lowerRoman"/>
      <w:start w:val="2"/>
    </w:lvl>
  </w:abstractNum>
  <w:abstractNum w:abstractNumId="111">
    <w:nsid w:val="19E21BB2"/>
    <w:multiLevelType w:val="hybridMultilevel"/>
    <w:lvl w:ilvl="0">
      <w:lvlJc w:val="left"/>
      <w:lvlText w:val="(%1)"/>
      <w:numFmt w:val="lowerRoman"/>
      <w:start w:val="3"/>
    </w:lvl>
  </w:abstractNum>
  <w:abstractNum w:abstractNumId="112">
    <w:nsid w:val="75E0858A"/>
    <w:multiLevelType w:val="hybridMultilevel"/>
    <w:lvl w:ilvl="0">
      <w:lvlJc w:val="left"/>
      <w:lvlText w:val="%1."/>
      <w:numFmt w:val="decimal"/>
      <w:start w:val="13"/>
    </w:lvl>
    <w:lvl w:ilvl="1">
      <w:lvlJc w:val="left"/>
      <w:lvlText w:val="(%2)"/>
      <w:numFmt w:val="lowerLetter"/>
      <w:start w:val="2"/>
    </w:lvl>
    <w:lvl w:ilvl="2">
      <w:lvlJc w:val="left"/>
      <w:lvlText w:val="(%3)"/>
      <w:numFmt w:val="lowerRoman"/>
      <w:start w:val="3"/>
    </w:lvl>
  </w:abstractNum>
  <w:abstractNum w:abstractNumId="113">
    <w:nsid w:val="57A61A29"/>
    <w:multiLevelType w:val="hybridMultilevel"/>
    <w:lvl w:ilvl="0">
      <w:lvlJc w:val="left"/>
      <w:lvlText w:val="%1."/>
      <w:numFmt w:val="decimal"/>
      <w:start w:val="13"/>
    </w:lvl>
    <w:lvl w:ilvl="1">
      <w:lvlJc w:val="left"/>
      <w:lvlText w:val="(%2)"/>
      <w:numFmt w:val="lowerLetter"/>
      <w:start w:val="2"/>
    </w:lvl>
    <w:lvl w:ilvl="2">
      <w:lvlJc w:val="left"/>
      <w:lvlText w:val="(%3)"/>
      <w:numFmt w:val="lowerRoman"/>
      <w:start w:val="4"/>
    </w:lvl>
  </w:abstractNum>
  <w:abstractNum w:abstractNumId="114">
    <w:nsid w:val="5399C654"/>
    <w:multiLevelType w:val="hybridMultilevel"/>
    <w:lvl w:ilvl="0">
      <w:lvlJc w:val="left"/>
      <w:lvlText w:val="%1."/>
      <w:numFmt w:val="decimal"/>
      <w:start w:val="13"/>
    </w:lvl>
    <w:lvl w:ilvl="1">
      <w:lvlJc w:val="left"/>
      <w:lvlText w:val="(%2)"/>
      <w:numFmt w:val="lowerLetter"/>
      <w:start w:val="2"/>
    </w:lvl>
    <w:lvl w:ilvl="2">
      <w:lvlJc w:val="left"/>
      <w:lvlText w:val="(%3)"/>
      <w:numFmt w:val="lowerRoman"/>
      <w:start w:val="4"/>
    </w:lvl>
  </w:abstractNum>
  <w:abstractNum w:abstractNumId="115">
    <w:nsid w:val="20EE1348"/>
    <w:multiLevelType w:val="hybridMultilevel"/>
    <w:lvl w:ilvl="0">
      <w:lvlJc w:val="left"/>
      <w:lvlText w:val="%1."/>
      <w:numFmt w:val="decimal"/>
      <w:start w:val="13"/>
    </w:lvl>
    <w:lvl w:ilvl="1">
      <w:lvlJc w:val="left"/>
      <w:lvlText w:val="(%2)"/>
      <w:numFmt w:val="lowerLetter"/>
      <w:start w:val="3"/>
    </w:lvl>
  </w:abstractNum>
  <w:abstractNum w:abstractNumId="116">
    <w:nsid w:val="4427069A"/>
    <w:multiLevelType w:val="hybridMultilevel"/>
    <w:lvl w:ilvl="0">
      <w:lvlJc w:val="left"/>
      <w:lvlText w:val="%1."/>
      <w:numFmt w:val="decimal"/>
      <w:start w:val="13"/>
    </w:lvl>
    <w:lvl w:ilvl="1">
      <w:lvlJc w:val="left"/>
      <w:lvlText w:val="(%2)"/>
      <w:numFmt w:val="lowerLetter"/>
      <w:start w:val="3"/>
    </w:lvl>
  </w:abstractNum>
  <w:abstractNum w:abstractNumId="117">
    <w:nsid w:val="B37E80A"/>
    <w:multiLevelType w:val="hybridMultilevel"/>
    <w:lvl w:ilvl="0">
      <w:lvlJc w:val="left"/>
      <w:lvlText w:val="%1."/>
      <w:numFmt w:val="decimal"/>
      <w:start w:val="14"/>
    </w:lvl>
  </w:abstractNum>
  <w:abstractNum w:abstractNumId="118">
    <w:nsid w:val="2157F6BC"/>
    <w:multiLevelType w:val="hybridMultilevel"/>
    <w:lvl w:ilvl="0">
      <w:lvlJc w:val="left"/>
      <w:lvlText w:val="%1."/>
      <w:numFmt w:val="decimal"/>
      <w:start w:val="14"/>
    </w:lvl>
  </w:abstractNum>
  <w:abstractNum w:abstractNumId="119">
    <w:nsid w:val="704E1DD5"/>
    <w:multiLevelType w:val="hybridMultilevel"/>
    <w:lvl w:ilvl="0">
      <w:lvlJc w:val="left"/>
      <w:lvlText w:val="%1."/>
      <w:numFmt w:val="decimal"/>
      <w:start w:val="14"/>
    </w:lvl>
  </w:abstractNum>
  <w:abstractNum w:abstractNumId="120">
    <w:nsid w:val="57D2F10E"/>
    <w:multiLevelType w:val="hybridMultilevel"/>
    <w:lvl w:ilvl="0">
      <w:lvlJc w:val="left"/>
      <w:lvlText w:val="%1."/>
      <w:numFmt w:val="decimal"/>
      <w:start w:val="14"/>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1."/>
      <w:numFmt w:val="decimal"/>
      <w:start w:val="15"/>
    </w:lvl>
  </w:abstractNum>
  <w:abstractNum w:abstractNumId="124">
    <w:nsid w:val="49D0FEAC"/>
    <w:multiLevelType w:val="hybridMultilevel"/>
    <w:lvl w:ilvl="0">
      <w:lvlJc w:val="left"/>
      <w:lvlText w:val="%1."/>
      <w:numFmt w:val="decimal"/>
      <w:start w:val="16"/>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decimal"/>
      <w:start w:val="16"/>
    </w:lvl>
    <w:lvl w:ilvl="1">
      <w:lvlJc w:val="left"/>
      <w:lvlText w:val="(%2)"/>
      <w:numFmt w:val="lowerLetter"/>
      <w:start w:val="2"/>
    </w:lvl>
  </w:abstractNum>
  <w:abstractNum w:abstractNumId="127">
    <w:nsid w:val="24F6AB8E"/>
    <w:multiLevelType w:val="hybridMultilevel"/>
    <w:lvl w:ilvl="0">
      <w:lvlJc w:val="left"/>
      <w:lvlText w:val="%1."/>
      <w:numFmt w:val="decimal"/>
      <w:start w:val="17"/>
    </w:lvl>
  </w:abstractNum>
  <w:abstractNum w:abstractNumId="128">
    <w:nsid w:val="634C574C"/>
    <w:multiLevelType w:val="hybridMultilevel"/>
    <w:lvl w:ilvl="0">
      <w:lvlJc w:val="left"/>
      <w:lvlText w:val="%1."/>
      <w:numFmt w:val="decimal"/>
      <w:start w:val="18"/>
    </w:lvl>
  </w:abstractNum>
  <w:abstractNum w:abstractNumId="129">
    <w:nsid w:val="24E99DD7"/>
    <w:multiLevelType w:val="hybridMultilevel"/>
    <w:lvl w:ilvl="0">
      <w:lvlJc w:val="left"/>
      <w:lvlText w:val="%1."/>
      <w:numFmt w:val="decimal"/>
      <w:start w:val="18"/>
    </w:lvl>
  </w:abstractNum>
  <w:abstractNum w:abstractNumId="130">
    <w:nsid w:val="2A31B62D"/>
    <w:multiLevelType w:val="hybridMultilevel"/>
    <w:lvl w:ilvl="0">
      <w:lvlJc w:val="left"/>
      <w:lvlText w:val="%1."/>
      <w:numFmt w:val="decimal"/>
      <w:start w:val="18"/>
    </w:lvl>
  </w:abstractNum>
  <w:abstractNum w:abstractNumId="131">
    <w:nsid w:val="1849C29B"/>
    <w:multiLevelType w:val="hybridMultilevel"/>
    <w:lvl w:ilvl="0">
      <w:lvlJc w:val="left"/>
      <w:lvlText w:val="%1."/>
      <w:numFmt w:val="decimal"/>
      <w:start w:val="19"/>
    </w:lvl>
  </w:abstractNum>
  <w:abstractNum w:abstractNumId="132">
    <w:nsid w:val="7DFF9D09"/>
    <w:multiLevelType w:val="hybridMultilevel"/>
    <w:lvl w:ilvl="0">
      <w:lvlJc w:val="left"/>
      <w:lvlText w:val="%1."/>
      <w:numFmt w:val="decimal"/>
      <w:start w:val="19"/>
    </w:lvl>
  </w:abstractNum>
  <w:abstractNum w:abstractNumId="133">
    <w:nsid w:val="754342"/>
    <w:multiLevelType w:val="hybridMultilevel"/>
    <w:lvl w:ilvl="0">
      <w:lvlJc w:val="left"/>
      <w:lvlText w:val="%1."/>
      <w:numFmt w:val="decimal"/>
      <w:start w:val="20"/>
    </w:lvl>
  </w:abstractNum>
  <w:abstractNum w:abstractNumId="134">
    <w:nsid w:val="69E7F3E5"/>
    <w:multiLevelType w:val="hybridMultilevel"/>
    <w:lvl w:ilvl="0">
      <w:lvlJc w:val="left"/>
      <w:lvlText w:val="%1."/>
      <w:numFmt w:val="decimal"/>
      <w:start w:val="21"/>
    </w:lvl>
  </w:abstractNum>
  <w:abstractNum w:abstractNumId="135">
    <w:nsid w:val="2A6DE806"/>
    <w:multiLevelType w:val="hybridMultilevel"/>
    <w:lvl w:ilvl="0">
      <w:lvlJc w:val="left"/>
      <w:lvlText w:val="(%1)"/>
      <w:numFmt w:val="lowerLetter"/>
      <w:start w:val="1"/>
    </w:lvl>
  </w:abstractNum>
  <w:abstractNum w:abstractNumId="136">
    <w:nsid w:val="1816F8C4"/>
    <w:multiLevelType w:val="hybridMultilevel"/>
    <w:lvl w:ilvl="0">
      <w:lvlJc w:val="left"/>
      <w:lvlText w:val="(%1)"/>
      <w:numFmt w:val="decimal"/>
      <w:start w:val="1"/>
    </w:lvl>
    <w:lvl w:ilvl="1">
      <w:lvlJc w:val="left"/>
      <w:lvlText w:val="(%2)"/>
      <w:numFmt w:val="lowerLetter"/>
      <w:start w:val="1"/>
    </w:lvl>
  </w:abstractNum>
  <w:abstractNum w:abstractNumId="137">
    <w:nsid w:val="37DF2233"/>
    <w:multiLevelType w:val="hybridMultilevel"/>
    <w:lvl w:ilvl="0">
      <w:lvlJc w:val="left"/>
      <w:lvlText w:val="(%1)"/>
      <w:numFmt w:val="decimal"/>
      <w:start w:val="2"/>
    </w:lvl>
    <w:lvl w:ilvl="1">
      <w:lvlJc w:val="left"/>
      <w:lvlText w:val="-"/>
      <w:numFmt w:val="bullet"/>
      <w:start w:val="1"/>
    </w:lvl>
  </w:abstractNum>
  <w:abstractNum w:abstractNumId="138">
    <w:nsid w:val="7AB49DAF"/>
    <w:multiLevelType w:val="hybridMultilevel"/>
    <w:lvl w:ilvl="0">
      <w:lvlJc w:val="left"/>
      <w:lvlText w:val="(%1)"/>
      <w:numFmt w:val="decimal"/>
      <w:start w:val="4"/>
    </w:lvl>
    <w:lvl w:ilvl="1">
      <w:lvlJc w:val="left"/>
      <w:lvlText w:val="-"/>
      <w:numFmt w:val="bullet"/>
      <w:start w:val="1"/>
    </w:lvl>
  </w:abstractNum>
  <w:abstractNum w:abstractNumId="139">
    <w:nsid w:val="759F82CD"/>
    <w:multiLevelType w:val="hybridMultilevel"/>
    <w:lvl w:ilvl="0">
      <w:lvlJc w:val="left"/>
      <w:lvlText w:val="(%1)"/>
      <w:numFmt w:val="decimal"/>
      <w:start w:val="7"/>
    </w:lvl>
  </w:abstractNum>
  <w:abstractNum w:abstractNumId="140">
    <w:nsid w:val="61E74EA3"/>
    <w:multiLevelType w:val="hybridMultilevel"/>
    <w:lvl w:ilvl="0">
      <w:lvlJc w:val="left"/>
      <w:lvlText w:val="(%1)"/>
      <w:numFmt w:val="decimal"/>
      <w:start w:val="1"/>
    </w:lvl>
    <w:lvl w:ilvl="1">
      <w:lvlJc w:val="left"/>
      <w:lvlText w:val="-"/>
      <w:numFmt w:val="bullet"/>
      <w:start w:val="1"/>
    </w:lvl>
  </w:abstractNum>
  <w:abstractNum w:abstractNumId="141">
    <w:nsid w:val="597B4D84"/>
    <w:multiLevelType w:val="hybridMultilevel"/>
    <w:lvl w:ilvl="0">
      <w:lvlJc w:val="left"/>
      <w:lvlText w:val="(%1)"/>
      <w:numFmt w:val="decimal"/>
      <w:start w:val="1"/>
    </w:lvl>
    <w:lvl w:ilvl="1">
      <w:lvlJc w:val="left"/>
      <w:lvlText w:val="(%2)"/>
      <w:numFmt w:val="lowerRoman"/>
      <w:start w:val="1"/>
    </w:lvl>
  </w:abstractNum>
  <w:abstractNum w:abstractNumId="142">
    <w:nsid w:val="F819E7F"/>
    <w:multiLevelType w:val="hybridMultilevel"/>
    <w:lvl w:ilvl="0">
      <w:lvlJc w:val="left"/>
      <w:lvlText w:val="(%1)"/>
      <w:numFmt w:val="lowerRoman"/>
      <w:start w:val="1"/>
    </w:lvl>
    <w:lvl w:ilvl="1">
      <w:lvlJc w:val="left"/>
      <w:lvlText w:val="-"/>
      <w:numFmt w:val="bullet"/>
      <w:start w:val="1"/>
    </w:lvl>
  </w:abstractNum>
  <w:abstractNum w:abstractNumId="143">
    <w:nsid w:val="57C7D42D"/>
    <w:multiLevelType w:val="hybridMultilevel"/>
    <w:lvl w:ilvl="0">
      <w:lvlJc w:val="left"/>
      <w:lvlText w:val="(%1)"/>
      <w:numFmt w:val="lowerRoman"/>
      <w:start w:val="5"/>
    </w:lvl>
  </w:abstractNum>
  <w:abstractNum w:abstractNumId="144">
    <w:nsid w:val="312167AD"/>
    <w:multiLevelType w:val="hybridMultilevel"/>
    <w:lvl w:ilvl="0">
      <w:lvlJc w:val="left"/>
      <w:lvlText w:val="(%1)"/>
      <w:numFmt w:val="lowerRoman"/>
      <w:start w:val="1"/>
    </w:lvl>
    <w:lvl w:ilvl="1">
      <w:lvlJc w:val="left"/>
      <w:lvlText w:val="-"/>
      <w:numFmt w:val="bullet"/>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jpeg"/><Relationship Id="rId267" Type="http://schemas.openxmlformats.org/officeDocument/2006/relationships/image" Target="media/image245.jpe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jpeg"/><Relationship Id="rId283" Type="http://schemas.openxmlformats.org/officeDocument/2006/relationships/image" Target="media/image261.jpeg"/><Relationship Id="rId284" Type="http://schemas.openxmlformats.org/officeDocument/2006/relationships/image" Target="media/image262.jpeg"/><Relationship Id="rId285" Type="http://schemas.openxmlformats.org/officeDocument/2006/relationships/image" Target="media/image263.jpe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105" Type="http://schemas.openxmlformats.org/officeDocument/2006/relationships/hyperlink" Target="http://www.sec.gov/Archives/edgar/data/0001795139/000119312519320787/d845813dex31.htm" TargetMode="External"/><Relationship Id="rId106" Type="http://schemas.openxmlformats.org/officeDocument/2006/relationships/hyperlink" Target="http://www.sec.gov/Archives/edgar/data/0001795139/000119312519320787/d845813dex41.htm" TargetMode="External"/><Relationship Id="rId107" Type="http://schemas.openxmlformats.org/officeDocument/2006/relationships/hyperlink" Target="http://www.sec.gov/Archives/edgar/data/0001795139/000119312519320787/d845813dex101.htm" TargetMode="External"/><Relationship Id="rId108" Type="http://schemas.openxmlformats.org/officeDocument/2006/relationships/hyperlink" Target="http://www.sec.gov/Archives/edgar/data/0001795139/000119312519320787/d845813dex102.htm" TargetMode="External"/><Relationship Id="rId109" Type="http://schemas.openxmlformats.org/officeDocument/2006/relationships/hyperlink" Target="http://www.sec.gov/Archives/edgar/data/0001795139/000119312519320787/d845813dex103.htm" TargetMode="External"/><Relationship Id="rId110" Type="http://schemas.openxmlformats.org/officeDocument/2006/relationships/hyperlink" Target="http://www.sec.gov/Archives/edgar/data/0001795139/000119312519320787/d845813dex104.htm" TargetMode="External"/><Relationship Id="rId111" Type="http://schemas.openxmlformats.org/officeDocument/2006/relationships/hyperlink" Target="http://www.sec.gov/Archives/edgar/data/0001795139/000119312519320787/d845813dex105.htm" TargetMode="External"/><Relationship Id="rId112" Type="http://schemas.openxmlformats.org/officeDocument/2006/relationships/hyperlink" Target="http://www.sec.gov/Archives/edgar/data/0001795139/000119312519320787/d845813dex106.htm" TargetMode="External"/><Relationship Id="rId113" Type="http://schemas.openxmlformats.org/officeDocument/2006/relationships/hyperlink" Target="http://www.sec.gov/Archives/edgar/data/0001795139/000119312519320787/d845813dex107.htm" TargetMode="External"/><Relationship Id="rId114" Type="http://schemas.openxmlformats.org/officeDocument/2006/relationships/hyperlink" Target="http://www.sec.gov/Archives/edgar/data/0001795139/000119312519320787/d845813dex108.htm" TargetMode="External"/><Relationship Id="rId115" Type="http://schemas.openxmlformats.org/officeDocument/2006/relationships/hyperlink" Target="http://www.sec.gov/Archives/edgar/data/0001795139/000119312519320787/d845813dex109.htm" TargetMode="External"/><Relationship Id="rId116" Type="http://schemas.openxmlformats.org/officeDocument/2006/relationships/hyperlink" Target="http://www.sec.gov/Archives/edgar/data/0001795139/000119312519320787/d845813dex1010.htm" TargetMode="External"/><Relationship Id="rId117" Type="http://schemas.openxmlformats.org/officeDocument/2006/relationships/hyperlink" Target="http://www.sec.gov/Archives/edgar/data/0001795139/000119312519320787/d845813dex1011.htm" TargetMode="External"/><Relationship Id="rId118" Type="http://schemas.openxmlformats.org/officeDocument/2006/relationships/hyperlink" Target="http://www.sec.gov/Archives/edgar/data/0001795139/000119312519320787/d845813dex1012.htm" TargetMode="External"/><Relationship Id="rId119" Type="http://schemas.openxmlformats.org/officeDocument/2006/relationships/hyperlink" Target="http://www.sec.gov/Archives/edgar/data/0001795139/000119312519320787/d84581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2021-03-18T06:07:32Z</dcterms:created>
  <dcterms:modified xsi:type="dcterms:W3CDTF">2021-03-18T06:07:32Z</dcterms:modified>
</cp:coreProperties>
</file>