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February 19,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320" w:type="dxa"/>
            <w:vAlign w:val="bottom"/>
          </w:tcPr>
          <w:p>
            <w:pPr>
              <w:jc w:val="center"/>
              <w:ind w:right="1699"/>
              <w:spacing w:after="0"/>
              <w:rPr>
                <w:sz w:val="20"/>
                <w:szCs w:val="20"/>
                <w:color w:val="auto"/>
              </w:rPr>
            </w:pPr>
            <w:r>
              <w:rPr>
                <w:rFonts w:ascii="Arial" w:cs="Arial" w:eastAsia="Arial" w:hAnsi="Arial"/>
                <w:sz w:val="18"/>
                <w:szCs w:val="18"/>
                <w:b w:val="1"/>
                <w:bCs w:val="1"/>
                <w:color w:val="auto"/>
                <w:w w:val="93"/>
              </w:rPr>
              <w:t>British Columbia</w:t>
            </w:r>
          </w:p>
        </w:tc>
        <w:tc>
          <w:tcPr>
            <w:tcW w:w="3220" w:type="dxa"/>
            <w:vAlign w:val="bottom"/>
          </w:tcPr>
          <w:p>
            <w:pPr>
              <w:jc w:val="right"/>
              <w:ind w:right="201"/>
              <w:spacing w:after="0"/>
              <w:rPr>
                <w:sz w:val="20"/>
                <w:szCs w:val="20"/>
                <w:color w:val="auto"/>
              </w:rPr>
            </w:pPr>
            <w:r>
              <w:rPr>
                <w:rFonts w:ascii="Arial" w:cs="Arial" w:eastAsia="Arial" w:hAnsi="Arial"/>
                <w:sz w:val="18"/>
                <w:szCs w:val="18"/>
                <w:b w:val="1"/>
                <w:bCs w:val="1"/>
                <w:color w:val="auto"/>
              </w:rPr>
              <w:t>98-1437430</w:t>
            </w:r>
          </w:p>
        </w:tc>
      </w:tr>
      <w:tr>
        <w:trPr>
          <w:trHeight w:val="149"/>
        </w:trPr>
        <w:tc>
          <w:tcPr>
            <w:tcW w:w="4320" w:type="dxa"/>
            <w:vAlign w:val="bottom"/>
          </w:tcPr>
          <w:p>
            <w:pPr>
              <w:jc w:val="center"/>
              <w:ind w:right="17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320" w:type="dxa"/>
            <w:vAlign w:val="bottom"/>
          </w:tcPr>
          <w:p>
            <w:pPr>
              <w:jc w:val="center"/>
              <w:ind w:right="1719"/>
              <w:spacing w:after="0"/>
              <w:rPr>
                <w:sz w:val="20"/>
                <w:szCs w:val="20"/>
                <w:color w:val="auto"/>
              </w:rPr>
            </w:pPr>
            <w:r>
              <w:rPr>
                <w:rFonts w:ascii="Arial" w:cs="Arial" w:eastAsia="Arial" w:hAnsi="Arial"/>
                <w:sz w:val="14"/>
                <w:szCs w:val="14"/>
                <w:b w:val="1"/>
                <w:bCs w:val="1"/>
                <w:color w:val="auto"/>
                <w:w w:val="94"/>
              </w:rPr>
              <w:t>incorporation or organization)</w:t>
            </w:r>
          </w:p>
        </w:tc>
        <w:tc>
          <w:tcPr>
            <w:tcW w:w="3220" w:type="dxa"/>
            <w:vAlign w:val="bottom"/>
          </w:tcPr>
          <w:p>
            <w:pPr>
              <w:jc w:val="center"/>
              <w:ind w:left="172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320" w:type="dxa"/>
            <w:vAlign w:val="bottom"/>
          </w:tcPr>
          <w:p>
            <w:pPr>
              <w:jc w:val="center"/>
              <w:ind w:right="1699"/>
              <w:spacing w:after="0"/>
              <w:rPr>
                <w:sz w:val="20"/>
                <w:szCs w:val="20"/>
                <w:color w:val="auto"/>
              </w:rPr>
            </w:pPr>
            <w:r>
              <w:rPr>
                <w:rFonts w:ascii="Arial" w:cs="Arial" w:eastAsia="Arial" w:hAnsi="Arial"/>
                <w:sz w:val="18"/>
                <w:szCs w:val="18"/>
                <w:b w:val="1"/>
                <w:bCs w:val="1"/>
                <w:color w:val="auto"/>
                <w:w w:val="90"/>
              </w:rPr>
              <w:t>325 West Huron Street, Suite 412</w:t>
            </w:r>
          </w:p>
        </w:tc>
        <w:tc>
          <w:tcPr>
            <w:tcW w:w="3220" w:type="dxa"/>
            <w:vAlign w:val="bottom"/>
          </w:tcPr>
          <w:p>
            <w:pPr>
              <w:spacing w:after="0"/>
              <w:rPr>
                <w:sz w:val="24"/>
                <w:szCs w:val="24"/>
                <w:color w:val="auto"/>
              </w:rPr>
            </w:pPr>
          </w:p>
        </w:tc>
      </w:tr>
      <w:tr>
        <w:trPr>
          <w:trHeight w:val="212"/>
        </w:trPr>
        <w:tc>
          <w:tcPr>
            <w:tcW w:w="4320" w:type="dxa"/>
            <w:vAlign w:val="bottom"/>
          </w:tcPr>
          <w:p>
            <w:pPr>
              <w:jc w:val="center"/>
              <w:ind w:right="1699"/>
              <w:spacing w:after="0"/>
              <w:rPr>
                <w:sz w:val="20"/>
                <w:szCs w:val="20"/>
                <w:color w:val="auto"/>
              </w:rPr>
            </w:pPr>
            <w:r>
              <w:rPr>
                <w:rFonts w:ascii="Arial" w:cs="Arial" w:eastAsia="Arial" w:hAnsi="Arial"/>
                <w:sz w:val="18"/>
                <w:szCs w:val="18"/>
                <w:b w:val="1"/>
                <w:bCs w:val="1"/>
                <w:color w:val="auto"/>
                <w:w w:val="91"/>
              </w:rPr>
              <w:t>Chicago, Illinois</w:t>
            </w:r>
          </w:p>
        </w:tc>
        <w:tc>
          <w:tcPr>
            <w:tcW w:w="3220" w:type="dxa"/>
            <w:vAlign w:val="bottom"/>
          </w:tcPr>
          <w:p>
            <w:pPr>
              <w:jc w:val="right"/>
              <w:ind w:right="401"/>
              <w:spacing w:after="0"/>
              <w:rPr>
                <w:sz w:val="20"/>
                <w:szCs w:val="20"/>
                <w:color w:val="auto"/>
              </w:rPr>
            </w:pPr>
            <w:r>
              <w:rPr>
                <w:rFonts w:ascii="Arial" w:cs="Arial" w:eastAsia="Arial" w:hAnsi="Arial"/>
                <w:sz w:val="18"/>
                <w:szCs w:val="18"/>
                <w:b w:val="1"/>
                <w:bCs w:val="1"/>
                <w:color w:val="auto"/>
              </w:rPr>
              <w:t>60654</w:t>
            </w:r>
          </w:p>
        </w:tc>
      </w:tr>
      <w:tr>
        <w:trPr>
          <w:trHeight w:val="186"/>
        </w:trPr>
        <w:tc>
          <w:tcPr>
            <w:tcW w:w="4320" w:type="dxa"/>
            <w:vAlign w:val="bottom"/>
          </w:tcPr>
          <w:p>
            <w:pPr>
              <w:jc w:val="center"/>
              <w:ind w:right="16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jc w:val="center"/>
              <w:ind w:left="17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Green Thumb Industries Inc. 2018 Stock and Incentive Plan</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Beth Burk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325 West Huron Street, Suite 412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Chicago, Illinois 60654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(312) 471-6720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4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9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4"/>
              </w:rPr>
              <w:t>Amount</w:t>
            </w:r>
          </w:p>
        </w:tc>
        <w:tc>
          <w:tcPr>
            <w:tcW w:w="1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9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2"/>
              </w:rPr>
              <w:t>Registered (1)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Green Thumb Industries Inc. 2018 Stock and</w:t>
            </w:r>
          </w:p>
        </w:tc>
        <w:tc>
          <w:tcPr>
            <w:tcW w:w="190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Incentive Plan</w:t>
            </w:r>
          </w:p>
        </w:tc>
        <w:tc>
          <w:tcPr>
            <w:tcW w:w="19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19,511,409</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$8.34</w:t>
            </w:r>
          </w:p>
        </w:tc>
        <w:tc>
          <w:tcPr>
            <w:tcW w:w="186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$162,725,151.06</w:t>
            </w:r>
          </w:p>
        </w:tc>
        <w:tc>
          <w:tcPr>
            <w:tcW w:w="18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$21,121.72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60" w:hanging="436"/>
        <w:spacing w:after="0" w:line="26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covers the issuance of 19,511,409 Subordinate Voting Shares, no par value per share (“</w:t>
      </w:r>
      <w:r>
        <w:rPr>
          <w:rFonts w:ascii="Arial" w:cs="Arial" w:eastAsia="Arial" w:hAnsi="Arial"/>
          <w:sz w:val="17"/>
          <w:szCs w:val="17"/>
          <w:b w:val="1"/>
          <w:bCs w:val="1"/>
          <w:color w:val="auto"/>
        </w:rPr>
        <w:t>Subordinate Voting Shares</w:t>
      </w:r>
      <w:r>
        <w:rPr>
          <w:rFonts w:ascii="Arial" w:cs="Arial" w:eastAsia="Arial" w:hAnsi="Arial"/>
          <w:sz w:val="17"/>
          <w:szCs w:val="17"/>
          <w:color w:val="auto"/>
        </w:rPr>
        <w:t>”), of Green Thumb Industries Inc. (the “</w:t>
      </w:r>
      <w:r>
        <w:rPr>
          <w:rFonts w:ascii="Arial" w:cs="Arial" w:eastAsia="Arial" w:hAnsi="Arial"/>
          <w:sz w:val="17"/>
          <w:szCs w:val="17"/>
          <w:b w:val="1"/>
          <w:bCs w:val="1"/>
          <w:color w:val="auto"/>
        </w:rPr>
        <w:t>Registrant</w:t>
      </w:r>
      <w:r>
        <w:rPr>
          <w:rFonts w:ascii="Arial" w:cs="Arial" w:eastAsia="Arial" w:hAnsi="Arial"/>
          <w:sz w:val="17"/>
          <w:szCs w:val="17"/>
          <w:color w:val="auto"/>
        </w:rPr>
        <w:t>”) available for issuance pursuant to awards under the Green Thumb Industries Inc. 2018 Stock and Incentive Plan, as amended (the “</w:t>
      </w:r>
      <w:r>
        <w:rPr>
          <w:rFonts w:ascii="Arial" w:cs="Arial" w:eastAsia="Arial" w:hAnsi="Arial"/>
          <w:sz w:val="17"/>
          <w:szCs w:val="17"/>
          <w:b w:val="1"/>
          <w:bCs w:val="1"/>
          <w:color w:val="auto"/>
        </w:rPr>
        <w:t>Stock and Incentive Plan</w:t>
      </w:r>
      <w:r>
        <w:rPr>
          <w:rFonts w:ascii="Arial" w:cs="Arial" w:eastAsia="Arial" w:hAnsi="Arial"/>
          <w:sz w:val="17"/>
          <w:szCs w:val="17"/>
          <w:color w:val="auto"/>
        </w:rPr>
        <w:t>”). Pursuant to Rule 416(a)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this registration statement also covers any additional Subordinate Voting Shares that become issuable pursuant to awards by reason of any stock dividend, stock split, recapitalization or other similar transaction effected without the receipt of consideration that results in an increase in the number of outstanding Subordinate Voting Shares.</w:t>
      </w:r>
    </w:p>
    <w:p>
      <w:pPr>
        <w:ind w:left="440" w:right="80" w:hanging="436"/>
        <w:spacing w:after="0" w:line="253"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and (h) under the Securities Act, solely for the purpose of calculating the registration fee on the basis of an assumed price of $8.34 per share, which is the average of the high (C$11.13) and low (C$10.97) prices of the Registrant’s Subordinate Voting Shares in Canadian dollars (“C$”) as reported on the Canadian Securities Exchange on February 12, 2020, which date is within five business days prior to filing this registration statement, and as converted from Canadian dollars to United States dollars based on the foreign exchange rate (0.7545) as published by the Bank of Canada on 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182245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1"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information called for by Part I of Form S-8 is omitted from this registration statement in accordance with Rule 428 of the Securities Act and the instructions to Form S-8. In accordance with the rules and regulations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and the instructions to Form S-8, the documents containing such information are not required to be, and are not, filed with the Commission either as part of this registration statement or as prospectuses or prospectus supplements pursuant to Rule 424 under the Securities Act. These documents will be sent or given to participants of the Stock and Incentive Plan,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by it with the Commission:</w:t>
      </w:r>
    </w:p>
    <w:p>
      <w:pPr>
        <w:spacing w:after="0" w:line="225" w:lineRule="exact"/>
        <w:rPr>
          <w:sz w:val="20"/>
          <w:szCs w:val="20"/>
          <w:color w:val="auto"/>
        </w:rPr>
      </w:pPr>
    </w:p>
    <w:p>
      <w:pPr>
        <w:jc w:val="both"/>
        <w:ind w:right="120" w:firstLine="4"/>
        <w:spacing w:after="0" w:line="264"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effective registration statement on Form 10 (File No. 000-56132), as amended, filed with the Commission on </w:t>
      </w:r>
      <w:hyperlink r:id="rId18">
        <w:r>
          <w:rPr>
            <w:rFonts w:ascii="Arial" w:cs="Arial" w:eastAsia="Arial" w:hAnsi="Arial"/>
            <w:sz w:val="18"/>
            <w:szCs w:val="18"/>
            <w:u w:val="single" w:color="auto"/>
            <w:color w:val="0000EE"/>
          </w:rPr>
          <w:t>December 20, 2020</w:t>
        </w:r>
      </w:hyperlink>
      <w:r>
        <w:rPr>
          <w:rFonts w:ascii="Arial" w:cs="Arial" w:eastAsia="Arial" w:hAnsi="Arial"/>
          <w:sz w:val="18"/>
          <w:szCs w:val="18"/>
          <w:color w:val="auto"/>
        </w:rPr>
        <w:t xml:space="preserve"> and </w:t>
      </w:r>
      <w:hyperlink r:id="rId19">
        <w:r>
          <w:rPr>
            <w:rFonts w:ascii="Arial" w:cs="Arial" w:eastAsia="Arial" w:hAnsi="Arial"/>
            <w:sz w:val="18"/>
            <w:szCs w:val="18"/>
            <w:u w:val="single" w:color="auto"/>
            <w:color w:val="0000EE"/>
          </w:rPr>
          <w:t>February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Section 12(g)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which contains audited financial statements for the Registrant’s latest fiscal year.</w:t>
      </w:r>
    </w:p>
    <w:p>
      <w:pPr>
        <w:spacing w:after="0" w:line="181" w:lineRule="exact"/>
        <w:rPr>
          <w:rFonts w:ascii="Arial" w:cs="Arial" w:eastAsia="Arial" w:hAnsi="Arial"/>
          <w:sz w:val="18"/>
          <w:szCs w:val="18"/>
          <w:color w:val="auto"/>
        </w:rPr>
      </w:pPr>
    </w:p>
    <w:p>
      <w:pPr>
        <w:ind w:right="20" w:firstLine="4"/>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Subordinate Voting Shares contained in the Registrant’s effective registration statement on Form 10 (File No. 000-56132), as amended, filed with the Commission on </w:t>
      </w:r>
      <w:hyperlink r:id="rId18">
        <w:r>
          <w:rPr>
            <w:rFonts w:ascii="Arial" w:cs="Arial" w:eastAsia="Arial" w:hAnsi="Arial"/>
            <w:sz w:val="18"/>
            <w:szCs w:val="18"/>
            <w:u w:val="single" w:color="auto"/>
            <w:color w:val="0000EE"/>
          </w:rPr>
          <w:t>December 20,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February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Section 12(g) of the Exchange Act, including any amendments or reports filed for the purpose of updating such description.</w:t>
      </w:r>
    </w:p>
    <w:p>
      <w:pPr>
        <w:spacing w:after="0" w:line="181" w:lineRule="exact"/>
        <w:rPr>
          <w:rFonts w:ascii="Arial" w:cs="Arial" w:eastAsia="Arial" w:hAnsi="Arial"/>
          <w:sz w:val="18"/>
          <w:szCs w:val="18"/>
          <w:color w:val="auto"/>
        </w:rPr>
      </w:pPr>
    </w:p>
    <w:p>
      <w:pPr>
        <w:ind w:firstLine="4"/>
        <w:spacing w:after="0" w:line="259"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documents filed by the Registrant pursuant to Section 13(a), 13(c), 14 or 15(d) of the Exchange Act subsequent to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commencing on the respective dates on which such documents are filed.</w:t>
      </w:r>
    </w:p>
    <w:p>
      <w:pPr>
        <w:spacing w:after="0" w:line="331"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117"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xml:space="preserve">The Registrant is subject to the provisions of Part 5, Division 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b w:val="1"/>
          <w:bCs w:val="1"/>
          <w:color w:val="auto"/>
        </w:rPr>
        <w:t>BCBCA</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Under Section 160 of the BCBCA, we may, subject to Section 163 of the BCBCA:</w:t>
      </w:r>
    </w:p>
    <w:p>
      <w:pPr>
        <w:spacing w:after="0" w:line="131" w:lineRule="exact"/>
        <w:rPr>
          <w:rFonts w:ascii="Arial" w:cs="Arial" w:eastAsia="Arial" w:hAnsi="Arial"/>
          <w:sz w:val="18"/>
          <w:szCs w:val="18"/>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indemnify an individual who:</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is or was a director or officer of our company,</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is or was a director or officer of another corporation (A) at a time when such corporation is or was an affiliate of our company; or</w:t>
      </w:r>
    </w:p>
    <w:p>
      <w:pPr>
        <w:spacing w:after="0" w:line="34"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8"/>
          <w:szCs w:val="18"/>
          <w:color w:val="auto"/>
        </w:rPr>
        <w:t>(B) at our request, or</w:t>
      </w:r>
    </w:p>
    <w:p>
      <w:pPr>
        <w:spacing w:after="0" w:line="116" w:lineRule="exact"/>
        <w:rPr>
          <w:rFonts w:ascii="Arial" w:cs="Arial" w:eastAsia="Arial" w:hAnsi="Arial"/>
          <w:sz w:val="17"/>
          <w:szCs w:val="17"/>
          <w:color w:val="auto"/>
        </w:rPr>
      </w:pPr>
    </w:p>
    <w:p>
      <w:pPr>
        <w:ind w:left="1420" w:right="140" w:hanging="430"/>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at our request, is or was, or holds or held a position equivalent to that of, a director or officer of a partnership, trust, joint venture or other unincorporated entity,</w:t>
      </w:r>
    </w:p>
    <w:p>
      <w:pPr>
        <w:spacing w:after="0" w:line="62" w:lineRule="exact"/>
        <w:rPr>
          <w:rFonts w:ascii="Arial" w:cs="Arial" w:eastAsia="Arial" w:hAnsi="Arial"/>
          <w:sz w:val="18"/>
          <w:szCs w:val="18"/>
          <w:color w:val="auto"/>
        </w:rPr>
      </w:pPr>
    </w:p>
    <w:p>
      <w:pPr>
        <w:ind w:left="1000" w:right="380"/>
        <w:spacing w:after="0" w:line="308" w:lineRule="auto"/>
        <w:rPr>
          <w:sz w:val="20"/>
          <w:szCs w:val="20"/>
          <w:color w:val="auto"/>
        </w:rPr>
      </w:pPr>
      <w:r>
        <w:rPr>
          <w:rFonts w:ascii="Arial" w:cs="Arial" w:eastAsia="Arial" w:hAnsi="Arial"/>
          <w:sz w:val="17"/>
          <w:szCs w:val="17"/>
          <w:color w:val="auto"/>
        </w:rPr>
        <w:t>including, subject to certain limited exceptions, the heirs and personal or other legal representatives of that individual (collectively, an “eligible party”), against all eligible penalties, defined below, to which the eligible party is or may be liable; and</w:t>
      </w:r>
    </w:p>
    <w:p>
      <w:pPr>
        <w:sectPr>
          <w:pgSz w:w="11900" w:h="16838" w:orient="portrait"/>
          <w:cols w:equalWidth="0" w:num="1">
            <w:col w:w="11020"/>
          </w:cols>
          <w:pgMar w:left="440" w:top="270" w:right="439" w:bottom="1440" w:gutter="0" w:footer="0" w:header="0"/>
        </w:sectPr>
      </w:pPr>
    </w:p>
    <w:bookmarkStart w:id="3" w:name="page4"/>
    <w:bookmarkEnd w:id="3"/>
    <w:p>
      <w:pPr>
        <w:ind w:left="980" w:right="280" w:hanging="54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final disposition of an eligible proceeding, pay the expenses actually and reasonably incurred by an eligible party in respect of that proceeding, where:</w:t>
      </w:r>
    </w:p>
    <w:p>
      <w:pPr>
        <w:spacing w:after="0" w:line="75" w:lineRule="exact"/>
        <w:rPr>
          <w:rFonts w:ascii="Arial" w:cs="Arial" w:eastAsia="Arial" w:hAnsi="Arial"/>
          <w:sz w:val="18"/>
          <w:szCs w:val="18"/>
          <w:color w:val="auto"/>
        </w:rPr>
      </w:pPr>
    </w:p>
    <w:p>
      <w:pPr>
        <w:ind w:left="1420" w:right="740" w:hanging="430"/>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“eligible penalty” means a judgment, penalty or fine awarded or imposed in, or an amount paid in settlement of, an eligible proceeding,</w:t>
      </w:r>
    </w:p>
    <w:p>
      <w:pPr>
        <w:spacing w:after="0" w:line="75" w:lineRule="exact"/>
        <w:rPr>
          <w:rFonts w:ascii="Arial" w:cs="Arial" w:eastAsia="Arial" w:hAnsi="Arial"/>
          <w:sz w:val="18"/>
          <w:szCs w:val="18"/>
          <w:color w:val="auto"/>
        </w:rPr>
      </w:pPr>
    </w:p>
    <w:p>
      <w:pPr>
        <w:ind w:left="1420" w:right="60" w:hanging="430"/>
        <w:spacing w:after="0" w:line="302" w:lineRule="auto"/>
        <w:tabs>
          <w:tab w:leader="none" w:pos="1420" w:val="left"/>
        </w:tabs>
        <w:numPr>
          <w:ilvl w:val="1"/>
          <w:numId w:val="4"/>
        </w:numPr>
        <w:rPr>
          <w:rFonts w:ascii="Arial" w:cs="Arial" w:eastAsia="Arial" w:hAnsi="Arial"/>
          <w:sz w:val="16"/>
          <w:szCs w:val="16"/>
          <w:color w:val="auto"/>
        </w:rPr>
      </w:pPr>
      <w:r>
        <w:rPr>
          <w:rFonts w:ascii="Arial" w:cs="Arial" w:eastAsia="Arial" w:hAnsi="Arial"/>
          <w:sz w:val="16"/>
          <w:szCs w:val="16"/>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our company or an associated corporation (A) is or may be joined as a party, or (B) is or may be liable for or in respect of a judgment, penalty or fine in, or expenses related to, the proceeding,</w:t>
      </w:r>
    </w:p>
    <w:p>
      <w:pPr>
        <w:spacing w:after="0" w:line="59" w:lineRule="exact"/>
        <w:rPr>
          <w:rFonts w:ascii="Arial" w:cs="Arial" w:eastAsia="Arial" w:hAnsi="Arial"/>
          <w:sz w:val="16"/>
          <w:szCs w:val="16"/>
          <w:color w:val="auto"/>
        </w:rPr>
      </w:pPr>
    </w:p>
    <w:p>
      <w:pPr>
        <w:ind w:left="1420" w:right="180" w:hanging="430"/>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includes costs, charges and expenses, including legal and other fees, but does not include judgments, penalties, fines or amounts paid in settlement of a proceeding, and</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“proceeding” includes any legal proceeding or investigative action, whether current, threatened, pending or completed.</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Under Section 161 of the BCBCA, and subject to Section 163 of the BCBCA, we must, after the final disposition of an eligible proceeding, pay the expenses actually and reasonably incurred by an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Under Section 162 of the BCBCA, and subject to Section 163 of the BCBCA, we may pay, as they are incurred in advance of the final disposition of an eligible proceeding, the expenses actually and reasonably incurred by an eligible party in respect of the proceeding, provided that we must not make such payments unless we first receive from the eligible party a written undertaking that, if it is ultimately determined that the payment of expenses is prohibited under Section 163 of the BCBCA, the eligible party will repay the amounts advanced.</w:t>
      </w:r>
    </w:p>
    <w:p>
      <w:pPr>
        <w:spacing w:after="0" w:line="17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Under Section 163 of the BCBCA, we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w:t>
      </w:r>
    </w:p>
    <w:p>
      <w:pPr>
        <w:spacing w:after="0" w:line="87" w:lineRule="exact"/>
        <w:rPr>
          <w:sz w:val="20"/>
          <w:szCs w:val="20"/>
          <w:color w:val="auto"/>
        </w:rPr>
      </w:pPr>
    </w:p>
    <w:p>
      <w:pPr>
        <w:ind w:left="980" w:right="500" w:hanging="54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indemnity or payment is made under an earlier agreement to indemnify or pay expenses and, at the time that the agreement to indemnify or pay expenses was made, we were prohibited from giving the indemnity or paying the expenses by our memorandum or articles of the Registrant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left="980" w:right="460" w:hanging="54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we are prohibited from giving the indemnity or paying the expenses by our memorandum or Articles;</w:t>
      </w:r>
    </w:p>
    <w:p>
      <w:pPr>
        <w:spacing w:after="0" w:line="29" w:lineRule="exact"/>
        <w:rPr>
          <w:rFonts w:ascii="Arial" w:cs="Arial" w:eastAsia="Arial" w:hAnsi="Arial"/>
          <w:sz w:val="16"/>
          <w:szCs w:val="16"/>
          <w:color w:val="auto"/>
        </w:rPr>
      </w:pPr>
    </w:p>
    <w:p>
      <w:pPr>
        <w:ind w:left="98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in relation to the subject matter of the eligible proceeding, the eligible party did not act honestly and in good faith with a view to the best interests of our company or the associated corporation, as the case may be; or</w:t>
      </w:r>
    </w:p>
    <w:p>
      <w:pPr>
        <w:spacing w:after="0" w:line="75" w:lineRule="exact"/>
        <w:rPr>
          <w:rFonts w:ascii="Arial" w:cs="Arial" w:eastAsia="Arial" w:hAnsi="Arial"/>
          <w:sz w:val="18"/>
          <w:szCs w:val="18"/>
          <w:color w:val="auto"/>
        </w:rPr>
      </w:pPr>
    </w:p>
    <w:p>
      <w:pPr>
        <w:ind w:left="980" w:right="22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70"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If an eligible proceeding is brought against an eligible party by or on behalf of our company or by or on behalf of an associated corporation, we must not either indemnify the eligible party under Section 160(a) of the BCBCA against eligible penalties to which the eligible party is or may be liable, or pay the expenses of the eligible party under Sections 160(b), 161 or 162 of the BCBCA, as the case may be, in respect of the proceeding.</w:t>
      </w:r>
    </w:p>
    <w:p>
      <w:pPr>
        <w:spacing w:after="0" w:line="147"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Under Section 164 of the BCBCA, and despite any other provision of Part 5, Division 5 of the BCBCA and whether or not payment of expenses or indemnification has been sought, authorized or declined under Part 5, Division 5 of the BCBCA, on application of our company or an eligible party, the court may do one or more of the following:</w:t>
      </w:r>
    </w:p>
    <w:p>
      <w:pPr>
        <w:spacing w:after="0" w:line="87" w:lineRule="exact"/>
        <w:rPr>
          <w:sz w:val="20"/>
          <w:szCs w:val="20"/>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 us to indemnify an eligible party against any liability incurred by the eligible party in respect of an eligible proceeding;</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 us to pay some or all of the expenses incurred by an eligible party in respect of an eligible proceeding;</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 the enforcement of, or any payment under, an agreement of indemnification entered into by us;</w:t>
      </w:r>
    </w:p>
    <w:p>
      <w:pPr>
        <w:sectPr>
          <w:pgSz w:w="11900" w:h="16838" w:orient="portrait"/>
          <w:cols w:equalWidth="0" w:num="1">
            <w:col w:w="11020"/>
          </w:cols>
          <w:pgMar w:left="440" w:top="274" w:right="439" w:bottom="1440" w:gutter="0" w:footer="0" w:header="0"/>
        </w:sectPr>
      </w:pPr>
    </w:p>
    <w:bookmarkStart w:id="4" w:name="page5"/>
    <w:bookmarkEnd w:id="4"/>
    <w:p>
      <w:pPr>
        <w:ind w:left="980" w:right="140" w:hanging="54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order us to pay some or all of the expenses actually and reasonably incurred by any person in obtaining an order under Section 164 of the BCBCA; or</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any other order the court considers appropriate.</w:t>
      </w:r>
    </w:p>
    <w:p>
      <w:pPr>
        <w:spacing w:after="0" w:line="225" w:lineRule="exact"/>
        <w:rPr>
          <w:sz w:val="20"/>
          <w:szCs w:val="20"/>
          <w:color w:val="auto"/>
        </w:rPr>
      </w:pPr>
    </w:p>
    <w:p>
      <w:pPr>
        <w:jc w:val="both"/>
        <w:ind w:right="120" w:firstLine="441"/>
        <w:spacing w:after="0" w:line="312" w:lineRule="auto"/>
        <w:rPr>
          <w:sz w:val="20"/>
          <w:szCs w:val="20"/>
          <w:color w:val="auto"/>
        </w:rPr>
      </w:pPr>
      <w:r>
        <w:rPr>
          <w:rFonts w:ascii="Arial" w:cs="Arial" w:eastAsia="Arial" w:hAnsi="Arial"/>
          <w:sz w:val="16"/>
          <w:szCs w:val="16"/>
          <w:color w:val="auto"/>
        </w:rPr>
        <w:t>Section 165 of the BCBCA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our company or an associated corporation.</w:t>
      </w:r>
    </w:p>
    <w:p>
      <w:pPr>
        <w:spacing w:after="0" w:line="147"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Under Part 21.2 of our Articles, and subject to the BCBCA,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the Registrant on the terms of the indemnity contained in our Articles.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Part 21.3 of our Articles, and subject to any restrictions in the BCBCA, we may indemnify any person.</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indemnification agreements, each director and executive officer is entitled, subject to the terms and conditions thereof, to the right of indemnification and contribution for certain expenses to the fullest extent permitted by applicable law. We believe that these indemnification agreements are necessary to attract and retain qualified individuals to serve as directors and executive officers.</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Part 21.4 of our Articles, the failure of an eligible party to comply with the BCBCA or our Articles does not invalidate any indemnity to which he or she is entitled under our Articles.</w:t>
      </w:r>
    </w:p>
    <w:p>
      <w:pPr>
        <w:spacing w:after="0" w:line="170" w:lineRule="exact"/>
        <w:rPr>
          <w:sz w:val="20"/>
          <w:szCs w:val="20"/>
          <w:color w:val="auto"/>
        </w:rPr>
      </w:pPr>
    </w:p>
    <w:p>
      <w:pPr>
        <w:ind w:right="100" w:firstLine="441"/>
        <w:spacing w:after="0" w:line="286" w:lineRule="auto"/>
        <w:rPr>
          <w:sz w:val="20"/>
          <w:szCs w:val="20"/>
          <w:color w:val="auto"/>
        </w:rPr>
      </w:pPr>
      <w:r>
        <w:rPr>
          <w:rFonts w:ascii="Arial" w:cs="Arial" w:eastAsia="Arial" w:hAnsi="Arial"/>
          <w:sz w:val="16"/>
          <w:szCs w:val="16"/>
          <w:color w:val="auto"/>
        </w:rPr>
        <w:t>Under Part 21.5 of our Articles, we may purchase and maintain insurance for the benefit of any person (or his or her heirs or legal personal representatives) who: (1) is or was a director, alternate director, officer, employee or agent of the Registrant; (2) is or was a director, alternate director, officer, employee or agent of a corporation at a time when the corporation is or was an affiliate of the Registrant; (3) at the request of the Registrant, is or was a director, alternate director, officer, employee or agent of a corporation or of a partnership, trust, joint venture or other unincorporated entity; or</w:t>
      </w:r>
    </w:p>
    <w:p>
      <w:pPr>
        <w:spacing w:after="0" w:line="2" w:lineRule="exact"/>
        <w:rPr>
          <w:sz w:val="20"/>
          <w:szCs w:val="20"/>
          <w:color w:val="auto"/>
        </w:rPr>
      </w:pPr>
    </w:p>
    <w:p>
      <w:pPr>
        <w:ind w:right="500" w:firstLine="4"/>
        <w:spacing w:after="0" w:line="255"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request of the Registrant, holds or held a position equivalent to that of a director, alternate director or officer of a partnership, trust, joint venture or other unincorporated entity, against any liability incurred by him or her by reason of having been a director, alternate director, officer, employee or agent or person who holds or held such equivalent position.</w:t>
      </w:r>
    </w:p>
    <w:p>
      <w:pPr>
        <w:spacing w:after="0" w:line="190"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We have an insurance policy covering our directors and officers, within the limits and subject to the limitations of the policy, with respect to certain liabilities arising out of claims based on acts or omissions in their capacities as directors or officers.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4"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ITEM 8.</w:t>
            </w:r>
          </w:p>
        </w:tc>
        <w:tc>
          <w:tcPr>
            <w:tcW w:w="10080" w:type="dxa"/>
            <w:vAlign w:val="bottom"/>
            <w:gridSpan w:val="21"/>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980" w:type="dxa"/>
            <w:vAlign w:val="bottom"/>
            <w:gridSpan w:val="24"/>
          </w:tcPr>
          <w:p>
            <w:pPr>
              <w:spacing w:after="0"/>
              <w:rPr>
                <w:sz w:val="20"/>
                <w:szCs w:val="20"/>
                <w:color w:val="auto"/>
              </w:rPr>
            </w:pPr>
            <w:r>
              <w:rPr>
                <w:rFonts w:ascii="Arial" w:cs="Arial" w:eastAsia="Arial" w:hAnsi="Arial"/>
                <w:sz w:val="18"/>
                <w:szCs w:val="18"/>
                <w:color w:val="auto"/>
              </w:rPr>
              <w:t>The exhibits to this registration statement are listed below:</w:t>
            </w:r>
          </w:p>
        </w:tc>
        <w:tc>
          <w:tcPr>
            <w:tcW w:w="0" w:type="dxa"/>
            <w:vAlign w:val="bottom"/>
          </w:tcPr>
          <w:p>
            <w:pPr>
              <w:spacing w:after="0"/>
              <w:rPr>
                <w:sz w:val="1"/>
                <w:szCs w:val="1"/>
                <w:color w:val="auto"/>
              </w:rPr>
            </w:pPr>
          </w:p>
        </w:tc>
      </w:tr>
      <w:tr>
        <w:trPr>
          <w:trHeight w:val="369"/>
        </w:trPr>
        <w:tc>
          <w:tcPr>
            <w:tcW w:w="80" w:type="dxa"/>
            <w:vAlign w:val="bottom"/>
          </w:tcPr>
          <w:p>
            <w:pPr>
              <w:spacing w:after="0"/>
              <w:rPr>
                <w:sz w:val="24"/>
                <w:szCs w:val="2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1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466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00" w:type="dxa"/>
            <w:vAlign w:val="bottom"/>
            <w:gridSpan w:val="2"/>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9860" w:type="dxa"/>
            <w:vAlign w:val="bottom"/>
            <w:tcBorders>
              <w:bottom w:val="single" w:sz="8" w:color="0000EE"/>
            </w:tcBorders>
            <w:gridSpan w:val="17"/>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Amended and Restated Articles of Green Thumb Industries Inc. (incorporated by reference to Exhibit 3.1 to the registration statement on</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Form 10 of Green Thumb Industries Inc., filed on December 20, 2019) (File No. 000-56132).</w:t>
              </w:r>
            </w:hyperlink>
          </w:p>
        </w:tc>
        <w:tc>
          <w:tcPr>
            <w:tcW w:w="3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9660" w:type="dxa"/>
            <w:vAlign w:val="bottom"/>
            <w:tcBorders>
              <w:bottom w:val="single" w:sz="8" w:color="0000EE"/>
            </w:tcBorders>
            <w:gridSpan w:val="16"/>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Coattail Agreement, dated June 12, 2018, by and among the Shareholders, Green Thumb Industries Inc. and Odyssey Trust Company</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(incorporated by reference to Exhibit 4.1 to the registration statement on Form 10 of Green Thumb Industries Inc., filed on December 20,</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2019) (File No. 000-56132).</w:t>
              </w:r>
            </w:hyperlink>
          </w:p>
        </w:tc>
        <w:tc>
          <w:tcPr>
            <w:tcW w:w="80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24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Opinion of Dentons Canada LLP.</w:t>
              </w:r>
            </w:hyperlink>
          </w:p>
        </w:tc>
        <w:tc>
          <w:tcPr>
            <w:tcW w:w="76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Consent of Dentons Canada LLP (included in Exhibit 5.1 to this registration statement).</w:t>
              </w:r>
            </w:hyperlink>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6320" w:type="dxa"/>
            <w:vAlign w:val="bottom"/>
            <w:tcBorders>
              <w:top w:val="single" w:sz="8" w:color="0000EE"/>
            </w:tcBorders>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Consent of MNP LLP.</w:t>
              </w:r>
            </w:hyperlink>
          </w:p>
        </w:tc>
        <w:tc>
          <w:tcPr>
            <w:tcW w:w="37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4"/>
                <w:szCs w:val="24"/>
                <w:color w:val="auto"/>
              </w:rPr>
            </w:pPr>
          </w:p>
        </w:tc>
        <w:tc>
          <w:tcPr>
            <w:tcW w:w="31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Consent of Macias Gini &amp; O’Connell LLP.</w:t>
              </w:r>
            </w:hyperlink>
          </w:p>
        </w:tc>
        <w:tc>
          <w:tcPr>
            <w:tcW w:w="69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Power of Attorney (included on the signature page of this registration statement).</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Green Thumb Industries Inc. 2018 Stock and Incentive Plan, dated June 11, 2018 (incorporated by reference to Exhibit 10.8 to the</w:t>
              </w:r>
            </w:hyperlink>
          </w:p>
        </w:tc>
        <w:tc>
          <w:tcPr>
            <w:tcW w:w="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80" w:type="dxa"/>
            <w:vAlign w:val="bottom"/>
            <w:gridSpan w:val="21"/>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registration statement on Form 10 of Green Thumb Industries Inc., filed on December 20, 2019) (File No. 000-56132).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160" w:type="dxa"/>
            <w:vAlign w:val="bottom"/>
            <w:gridSpan w:val="5"/>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4"/>
                <w:szCs w:val="24"/>
                <w:color w:val="auto"/>
              </w:rPr>
            </w:pPr>
          </w:p>
        </w:tc>
        <w:tc>
          <w:tcPr>
            <w:tcW w:w="10060" w:type="dxa"/>
            <w:vAlign w:val="bottom"/>
            <w:tcBorders>
              <w:bottom w:val="single" w:sz="8" w:color="0000EE"/>
            </w:tcBorders>
            <w:gridSpan w:val="20"/>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Amendment No. 1 to the Green Thumb Industries Inc. 2018 Stock and Incentive Plan, dated August 30, 2019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80" w:type="dxa"/>
            <w:vAlign w:val="bottom"/>
            <w:gridSpan w:val="21"/>
          </w:tcPr>
          <w:p>
            <w:pPr>
              <w:spacing w:after="0" w:line="196" w:lineRule="exact"/>
              <w:rPr>
                <w:rFonts w:ascii="Arial" w:cs="Arial" w:eastAsia="Arial" w:hAnsi="Arial"/>
                <w:sz w:val="18"/>
                <w:szCs w:val="18"/>
                <w:color w:val="0000EE"/>
                <w:w w:val="92"/>
              </w:rPr>
            </w:pPr>
            <w:hyperlink r:id="rId25">
              <w:r>
                <w:rPr>
                  <w:rFonts w:ascii="Arial" w:cs="Arial" w:eastAsia="Arial" w:hAnsi="Arial"/>
                  <w:sz w:val="18"/>
                  <w:szCs w:val="18"/>
                  <w:color w:val="0000EE"/>
                  <w:w w:val="92"/>
                </w:rPr>
                <w:t>Exhibit 10.9 to the registration statement on Form 10 of Green Thumb Industries Inc., filed on December 20, 2019) (File No. 000-56132).</w:t>
              </w:r>
            </w:hyperlink>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99.3</w:t>
            </w:r>
          </w:p>
        </w:tc>
        <w:tc>
          <w:tcPr>
            <w:tcW w:w="300" w:type="dxa"/>
            <w:vAlign w:val="bottom"/>
          </w:tcPr>
          <w:p>
            <w:pPr>
              <w:spacing w:after="0"/>
              <w:rPr>
                <w:sz w:val="24"/>
                <w:szCs w:val="24"/>
                <w:color w:val="auto"/>
              </w:rPr>
            </w:pPr>
          </w:p>
        </w:tc>
        <w:tc>
          <w:tcPr>
            <w:tcW w:w="9920" w:type="dxa"/>
            <w:vAlign w:val="bottom"/>
            <w:tcBorders>
              <w:top w:val="single" w:sz="8" w:color="0000EE"/>
            </w:tcBorders>
            <w:gridSpan w:val="18"/>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Form of Notice of Option Grant (incorporated by reference to Exhibit 10.10 to the registration statement on Form 10 of Green Thumb</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Industries Inc., filed on December 20, 2019) (File No. 000-56132).</w:t>
              </w:r>
            </w:hyperlink>
          </w:p>
        </w:tc>
        <w:tc>
          <w:tcPr>
            <w:tcW w:w="4820" w:type="dxa"/>
            <w:vAlign w:val="bottom"/>
            <w:tcBorders>
              <w:top w:val="single" w:sz="8" w:color="0000EE"/>
            </w:tcBorders>
            <w:gridSpan w:val="8"/>
          </w:tcPr>
          <w:p>
            <w:pPr>
              <w:spacing w:after="0"/>
              <w:rPr>
                <w:sz w:val="17"/>
                <w:szCs w:val="17"/>
                <w:color w:val="auto"/>
              </w:rPr>
            </w:pPr>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Form of Option Agreement (incorporated by reference to Exhibit 10.11 to the registration statement on Form 10 of Green Thumb Industries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Inc., filed on December 20, 2019) (File No. 000-56132).</w:t>
              </w:r>
            </w:hyperlink>
          </w:p>
        </w:tc>
        <w:tc>
          <w:tcPr>
            <w:tcW w:w="600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24"/>
                <w:szCs w:val="24"/>
                <w:color w:val="auto"/>
              </w:rPr>
            </w:pPr>
          </w:p>
        </w:tc>
        <w:tc>
          <w:tcPr>
            <w:tcW w:w="10080" w:type="dxa"/>
            <w:vAlign w:val="bottom"/>
            <w:tcBorders>
              <w:bottom w:val="single" w:sz="8" w:color="0000EE"/>
            </w:tcBorders>
            <w:gridSpan w:val="21"/>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Form of Notice of RSU Grant and Agreement (incorporated by reference to Exhibit 10.12 to the registration statement on Form 10 of Green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Thumb Industries Inc., filed on December 20, 2019) (File No. 000-56132).</w:t>
              </w:r>
            </w:hyperlink>
          </w:p>
        </w:tc>
        <w:tc>
          <w:tcPr>
            <w:tcW w:w="47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6"/>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160" w:firstLine="4"/>
        <w:spacing w:after="0" w:line="293"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320" w:firstLine="4"/>
        <w:spacing w:after="0" w:line="277"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ind w:right="180" w:firstLine="4"/>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4"/>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20" w:firstLine="4"/>
        <w:spacing w:after="0" w:line="25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220" w:hanging="216"/>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right="80" w:firstLine="4"/>
        <w:spacing w:after="0" w:line="277"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380" w:firstLine="4"/>
        <w:spacing w:after="0" w:line="277"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00" w:hanging="296"/>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0"/>
          </w:cols>
          <w:pgMar w:left="440" w:top="270"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February 19, 2020.</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620"/>
        <w:spacing w:after="0"/>
        <w:tabs>
          <w:tab w:leader="none" w:pos="7040" w:val="left"/>
        </w:tabs>
        <w:rPr>
          <w:sz w:val="20"/>
          <w:szCs w:val="20"/>
          <w:color w:val="auto"/>
        </w:rPr>
      </w:pPr>
      <w:r>
        <w:rPr>
          <w:rFonts w:ascii="Arial" w:cs="Arial" w:eastAsia="Arial" w:hAnsi="Arial"/>
          <w:sz w:val="18"/>
          <w:szCs w:val="18"/>
          <w:color w:val="auto"/>
        </w:rPr>
        <w:t>By:</w:t>
        <w:tab/>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14605</wp:posOffset>
            </wp:positionV>
            <wp:extent cx="2512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Benjamin Kovler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 Chairman of the Board and Chief Executive</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person whose signature appears below constitutes and appoints each of Benjamin Kovler and Anthony Georgiadis,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or her substitute or substitutes, may lawfully do or cause to be done by virtue hereof.</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 and Signature</w:t>
            </w:r>
          </w:p>
        </w:tc>
        <w:tc>
          <w:tcPr>
            <w:tcW w:w="120" w:type="dxa"/>
            <w:vAlign w:val="bottom"/>
          </w:tcPr>
          <w:p>
            <w:pPr>
              <w:spacing w:after="0"/>
              <w:rPr>
                <w:sz w:val="16"/>
                <w:szCs w:val="16"/>
                <w:color w:val="auto"/>
              </w:rPr>
            </w:pPr>
          </w:p>
        </w:tc>
        <w:tc>
          <w:tcPr>
            <w:tcW w:w="4300" w:type="dxa"/>
            <w:vAlign w:val="bottom"/>
          </w:tcPr>
          <w:p>
            <w:pPr>
              <w:ind w:left="20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3080" w:type="dxa"/>
            <w:vAlign w:val="bottom"/>
          </w:tcPr>
          <w:p>
            <w:pPr>
              <w:ind w:left="1380"/>
              <w:spacing w:after="0"/>
              <w:rPr>
                <w:sz w:val="20"/>
                <w:szCs w:val="20"/>
                <w:color w:val="auto"/>
              </w:rPr>
            </w:pPr>
            <w:r>
              <w:rPr>
                <w:rFonts w:ascii="Arial" w:cs="Arial" w:eastAsia="Arial" w:hAnsi="Arial"/>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412"/>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Benjamin Kovler</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Chairman of the Board and Chief Executive Officer</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February 19, 2020</w:t>
            </w:r>
          </w:p>
        </w:tc>
      </w:tr>
      <w:tr>
        <w:trPr>
          <w:trHeight w:val="224"/>
        </w:trPr>
        <w:tc>
          <w:tcPr>
            <w:tcW w:w="342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1"/>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Georgiadis</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Director and Chief Financial Officer</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February 19, 2020</w:t>
            </w:r>
          </w:p>
        </w:tc>
      </w:tr>
      <w:tr>
        <w:trPr>
          <w:trHeight w:val="224"/>
        </w:trPr>
        <w:tc>
          <w:tcPr>
            <w:tcW w:w="3420" w:type="dxa"/>
            <w:vAlign w:val="bottom"/>
            <w:gridSpan w:val="2"/>
          </w:tcPr>
          <w:p>
            <w:pPr>
              <w:spacing w:after="0"/>
              <w:rPr>
                <w:sz w:val="20"/>
                <w:szCs w:val="20"/>
                <w:color w:val="auto"/>
              </w:rPr>
            </w:pPr>
            <w:r>
              <w:rPr>
                <w:rFonts w:ascii="Arial" w:cs="Arial" w:eastAsia="Arial" w:hAnsi="Arial"/>
                <w:sz w:val="18"/>
                <w:szCs w:val="18"/>
                <w:color w:val="auto"/>
              </w:rPr>
              <w:t>Anthony Georgiadis</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1"/>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Wendy Berger</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February 19, 2020</w:t>
            </w:r>
          </w:p>
        </w:tc>
      </w:tr>
      <w:tr>
        <w:trPr>
          <w:trHeight w:val="224"/>
        </w:trPr>
        <w:tc>
          <w:tcPr>
            <w:tcW w:w="3420" w:type="dxa"/>
            <w:vAlign w:val="bottom"/>
            <w:gridSpan w:val="2"/>
          </w:tcPr>
          <w:p>
            <w:pPr>
              <w:spacing w:after="0"/>
              <w:rPr>
                <w:sz w:val="20"/>
                <w:szCs w:val="20"/>
                <w:color w:val="auto"/>
              </w:rPr>
            </w:pPr>
            <w:r>
              <w:rPr>
                <w:rFonts w:ascii="Arial" w:cs="Arial" w:eastAsia="Arial" w:hAnsi="Arial"/>
                <w:sz w:val="18"/>
                <w:szCs w:val="18"/>
                <w:color w:val="auto"/>
              </w:rPr>
              <w:t>Wendy Berger</w:t>
            </w:r>
          </w:p>
        </w:tc>
        <w:tc>
          <w:tcPr>
            <w:tcW w:w="1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1"/>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Glen Senk</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February 19, 2020</w:t>
            </w:r>
          </w:p>
        </w:tc>
      </w:tr>
      <w:tr>
        <w:trPr>
          <w:trHeight w:val="224"/>
        </w:trPr>
        <w:tc>
          <w:tcPr>
            <w:tcW w:w="342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1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1"/>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Wes Moore</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February 19, 2020</w:t>
            </w:r>
          </w:p>
        </w:tc>
      </w:tr>
      <w:tr>
        <w:trPr>
          <w:trHeight w:val="224"/>
        </w:trPr>
        <w:tc>
          <w:tcPr>
            <w:tcW w:w="3420" w:type="dxa"/>
            <w:vAlign w:val="bottom"/>
            <w:gridSpan w:val="2"/>
          </w:tcPr>
          <w:p>
            <w:pPr>
              <w:spacing w:after="0"/>
              <w:rPr>
                <w:sz w:val="20"/>
                <w:szCs w:val="20"/>
                <w:color w:val="auto"/>
              </w:rPr>
            </w:pPr>
            <w:r>
              <w:rPr>
                <w:rFonts w:ascii="Arial" w:cs="Arial" w:eastAsia="Arial" w:hAnsi="Arial"/>
                <w:sz w:val="18"/>
                <w:szCs w:val="18"/>
                <w:color w:val="auto"/>
              </w:rPr>
              <w:t>Wes Moore</w:t>
            </w:r>
          </w:p>
        </w:tc>
        <w:tc>
          <w:tcPr>
            <w:tcW w:w="1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1"/>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Gruver</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February 19, 2020</w:t>
            </w:r>
          </w:p>
        </w:tc>
      </w:tr>
      <w:tr>
        <w:trPr>
          <w:trHeight w:val="224"/>
        </w:trPr>
        <w:tc>
          <w:tcPr>
            <w:tcW w:w="342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1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1"/>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Alex Yemenidjian</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February 19, 2020</w:t>
            </w:r>
          </w:p>
        </w:tc>
      </w:tr>
      <w:tr>
        <w:trPr>
          <w:trHeight w:val="224"/>
        </w:trPr>
        <w:tc>
          <w:tcPr>
            <w:tcW w:w="3420" w:type="dxa"/>
            <w:vAlign w:val="bottom"/>
            <w:gridSpan w:val="2"/>
          </w:tcPr>
          <w:p>
            <w:pPr>
              <w:spacing w:after="0"/>
              <w:rPr>
                <w:sz w:val="20"/>
                <w:szCs w:val="20"/>
                <w:color w:val="auto"/>
              </w:rPr>
            </w:pPr>
            <w:r>
              <w:rPr>
                <w:rFonts w:ascii="Arial" w:cs="Arial" w:eastAsia="Arial" w:hAnsi="Arial"/>
                <w:sz w:val="18"/>
                <w:szCs w:val="18"/>
                <w:color w:val="auto"/>
              </w:rPr>
              <w:t>Alex Yemenidjian</w:t>
            </w:r>
          </w:p>
        </w:tc>
        <w:tc>
          <w:tcPr>
            <w:tcW w:w="1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325 West Huron Street, Suite 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60654</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 Registration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acted as counsel to Green Thumb Industries Inc., a corporation organized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on the date hereof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covering the issuance of 19,511,409 Subordinate Voting Shares, no par value per share (“</w:t>
      </w:r>
      <w:r>
        <w:rPr>
          <w:rFonts w:ascii="Arial" w:cs="Arial" w:eastAsia="Arial" w:hAnsi="Arial"/>
          <w:sz w:val="18"/>
          <w:szCs w:val="18"/>
          <w:b w:val="1"/>
          <w:bCs w:val="1"/>
          <w:i w:val="1"/>
          <w:iCs w:val="1"/>
          <w:color w:val="auto"/>
        </w:rPr>
        <w:t>Subordinate Voting Shares</w:t>
      </w:r>
      <w:r>
        <w:rPr>
          <w:rFonts w:ascii="Arial" w:cs="Arial" w:eastAsia="Arial" w:hAnsi="Arial"/>
          <w:sz w:val="18"/>
          <w:szCs w:val="18"/>
          <w:color w:val="auto"/>
        </w:rPr>
        <w:t>”), available for issuance pursuant to awards under the Green Thumb Industries Inc. 2018 Stock and Incentive Plan, as amended (the “</w:t>
      </w:r>
      <w:r>
        <w:rPr>
          <w:rFonts w:ascii="Arial" w:cs="Arial" w:eastAsia="Arial" w:hAnsi="Arial"/>
          <w:sz w:val="18"/>
          <w:szCs w:val="18"/>
          <w:b w:val="1"/>
          <w:bCs w:val="1"/>
          <w:i w:val="1"/>
          <w:iCs w:val="1"/>
          <w:color w:val="auto"/>
        </w:rPr>
        <w:t>Stock and Incentive Plan</w:t>
      </w:r>
      <w:r>
        <w:rPr>
          <w:rFonts w:ascii="Arial" w:cs="Arial" w:eastAsia="Arial" w:hAnsi="Arial"/>
          <w:sz w:val="18"/>
          <w:szCs w:val="18"/>
          <w:color w:val="auto"/>
        </w:rPr>
        <w:t>”). This opinion letter is being furnished to the Company in accordance with the requirements of Item 601(b)(5) of Regulation S-K of the Securities Act, and no opinion is expressed herein as to any matter other than as to the legality of the shares of Subordinate Voting Shares to be issued and sold pursuant to the Stock and Incentive Plan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this opinion,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this opinion, including the Registration Statement, the Stock and Incentive Plan, the Company’s Amended and Restated Articles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and the Company’s Notice of Articles, as amended (the “</w:t>
      </w:r>
      <w:r>
        <w:rPr>
          <w:rFonts w:ascii="Arial" w:cs="Arial" w:eastAsia="Arial" w:hAnsi="Arial"/>
          <w:sz w:val="18"/>
          <w:szCs w:val="18"/>
          <w:b w:val="1"/>
          <w:bCs w:val="1"/>
          <w:i w:val="1"/>
          <w:iCs w:val="1"/>
          <w:color w:val="auto"/>
        </w:rPr>
        <w:t>Notice of Articles</w:t>
      </w:r>
      <w:r>
        <w:rPr>
          <w:rFonts w:ascii="Arial" w:cs="Arial" w:eastAsia="Arial" w:hAnsi="Arial"/>
          <w:sz w:val="18"/>
          <w:szCs w:val="18"/>
          <w:color w:val="auto"/>
        </w:rPr>
        <w:t>”). We have assumed the genuineness of all signatures, the authenticity of all documents submitted to us as original documents, and the conformity to original documents of all documents submitted to us as copies, the legal capacity of natural persons who are signatories to the documents examined by us, and the legal power and authority of all persons signing on behalf of parties to all documents.</w:t>
      </w:r>
    </w:p>
    <w:p>
      <w:pPr>
        <w:spacing w:after="0" w:line="19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rendering the opinion expressed below, we have assumed that prior to the issuance of any of the Shares; there will exist under the Articles and the Notice of Articles the requisite number of authorized but unissued Subordinate Voting Shares. In addition, we have assumed that (i) option grants or stock awards under the Stock and Incentive Plan will have been duly authorized and issued by the Company in accordance with the terms of the Stock and Incentive Plan and any relevant agreements thereunder and in accordance with the Articles and the Notice of Articles and applicable British Columbia law, (ii) the resolutions authorizing the Company to issue the Shares in accordance with the terms and conditions of the Stock and Incentive Plan will remain in effect and unchanged at all times during which the Shares are issued by the Company, and (iii) the Registration Statement, and any amendments thereto, at the time of issuance of the Shares, will continue to be effective under the Securities Act.</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Our opinion is expressed only with respect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We express no opinion to the extent that any other laws are applicable to the subject matter hereof and express no opinion and provide no assurance as to compliance with any federal, provincial or state securities law, rule or regulation.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the basis of the foregoing and subject to the assumptions and qualifications set forth in this letter, we are of the opinion that when (i) the Registration Statement has become effective under the Securities Act, and (ii) the Shares are issued and delivered against receipt by the Company of payment therefor in accordance with the terms of the Stock and Incentive Plan and any relevant agreements thereunder, the Shares will be validly issued, fully paid and nonassessable.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date hereof.</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wherever appearing in the Registration Statement. In giving such consent, we do not thereby admit that we are in the category of persons whose consent is required under Section 7 of the Securities Act or the rules and regulations of the Commission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Dentons Canada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Dentons Canada LLP</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172085</wp:posOffset>
            </wp:positionV>
            <wp:extent cx="146621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4662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We hereby consent to the incorporation by reference in the Registration Statement on Form S-8 of Green Thumb Industries Inc. (“</w:t>
      </w:r>
      <w:r>
        <w:rPr>
          <w:rFonts w:ascii="Arial" w:cs="Arial" w:eastAsia="Arial" w:hAnsi="Arial"/>
          <w:sz w:val="17"/>
          <w:szCs w:val="17"/>
          <w:b w:val="1"/>
          <w:bCs w:val="1"/>
          <w:color w:val="auto"/>
        </w:rPr>
        <w:t>GTI</w:t>
      </w:r>
      <w:r>
        <w:rPr>
          <w:rFonts w:ascii="Arial" w:cs="Arial" w:eastAsia="Arial" w:hAnsi="Arial"/>
          <w:sz w:val="17"/>
          <w:szCs w:val="17"/>
          <w:color w:val="auto"/>
        </w:rPr>
        <w:t>”) of our report dated December 16, 2019, relating to the consolidated financial statements and financial statement schedules, which appears in Item 15 of GTI’s Amendment No. 1 to the Form 10 under the heading “Financial Statement and Exhibits” dated February 5,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1363345"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6334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MNP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97700"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6997700" cy="54038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hereby consent to the incorporation by reference of our report dated December 20, 2019, relating to the combined financial statements of Green Thumb Industries, Inc., included in its Form 10 and Form 10/A as of and for the years ended December 31, 2017 and 2016.</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hereby consent to the incorporation by reference of our report dated December 20, 2019, relating to the financial statements of Advanced Grow Labs, LLC and Subsidiaries included in its Form 10 and Form 10/A as of and for the year ended December 31, 2018.</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hereby consent to the incorporation by reference of our report dated December 20, 2019, relating to the consolidated financial statements of Integral Associates, LLC, included in its Form 10 and Form 10/A as of and for the years ended December 31, 2018 and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Macias, Gini &amp; O’Connell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Macias, Gini &amp; O’Connell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lvl w:ilvl="1">
      <w:lvlJc w:val="left"/>
      <w:lvlText w:val="(%2)"/>
      <w:numFmt w:val="lowerRoman"/>
      <w:start w:val="1"/>
    </w:lvl>
  </w:abstractNum>
  <w:abstractNum w:abstractNumId="3">
    <w:nsid w:val="7545E146"/>
    <w:multiLevelType w:val="hybridMultilevel"/>
    <w:lvl w:ilvl="0">
      <w:lvlJc w:val="left"/>
      <w:lvlText w:val="(%1)"/>
      <w:numFmt w:val="lowerLetter"/>
      <w:start w:val="2"/>
    </w:lvl>
    <w:lvl w:ilvl="1">
      <w:lvlJc w:val="left"/>
      <w:lvlText w:val="(%2)"/>
      <w:numFmt w:val="lowerRoman"/>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4"/>
    </w:lvl>
  </w:abstractNum>
  <w:abstractNum w:abstractNumId="7">
    <w:nsid w:val="4DB127F8"/>
    <w:multiLevelType w:val="hybridMultilevel"/>
    <w:lvl w:ilvl="0">
      <w:lvlJc w:val="left"/>
      <w:lvlText w:val="(%1)"/>
      <w:numFmt w:val="decimal"/>
      <w:start w:val="4"/>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png"/><Relationship Id="rId18" Type="http://schemas.openxmlformats.org/officeDocument/2006/relationships/hyperlink" Target="http://www.sec.gov/Archives/edgar/data/1795139/000119312519320787/d845813d1012g.htm" TargetMode="External"/><Relationship Id="rId19" Type="http://schemas.openxmlformats.org/officeDocument/2006/relationships/hyperlink" Target="http://www.sec.gov/Archives/edgar/data/1795139/000119312520025712/d845813d1012ga.htm" TargetMode="External"/><Relationship Id="rId22" Type="http://schemas.openxmlformats.org/officeDocument/2006/relationships/hyperlink" Target="http://www.sec.gov/Archives/edgar/data/1795139/000119312519320787/d845813dex31.htm" TargetMode="External"/><Relationship Id="rId23" Type="http://schemas.openxmlformats.org/officeDocument/2006/relationships/hyperlink" Target="http://www.sec.gov/Archives/edgar/data/1795139/000119312519320787/d845813dex41.htm" TargetMode="External"/><Relationship Id="rId24" Type="http://schemas.openxmlformats.org/officeDocument/2006/relationships/hyperlink" Target="http://www.sec.gov/Archives/edgar/data/1795139/000119312519320787/d845813dex108.htm" TargetMode="External"/><Relationship Id="rId25" Type="http://schemas.openxmlformats.org/officeDocument/2006/relationships/hyperlink" Target="http://www.sec.gov/Archives/edgar/data/1795139/000119312519320787/d845813dex109.htm" TargetMode="External"/><Relationship Id="rId26" Type="http://schemas.openxmlformats.org/officeDocument/2006/relationships/hyperlink" Target="http://www.sec.gov/Archives/edgar/data/1795139/000119312519320787/d845813dex1010.htm" TargetMode="External"/><Relationship Id="rId27" Type="http://schemas.openxmlformats.org/officeDocument/2006/relationships/hyperlink" Target="http://www.sec.gov/Archives/edgar/data/1795139/000119312519320787/d845813dex1011.htm" TargetMode="External"/><Relationship Id="rId28" Type="http://schemas.openxmlformats.org/officeDocument/2006/relationships/hyperlink" Target="http://www.sec.gov/Archives/edgar/data/1795139/000119312519320787/d845813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2020-02-19T15:47:36Z</dcterms:created>
  <dcterms:modified xsi:type="dcterms:W3CDTF">2020-02-19T15:47:36Z</dcterms:modified>
</cp:coreProperties>
</file>