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200" w:lineRule="exact"/>
        <w:rPr>
          <w:sz w:val="24"/>
          <w:szCs w:val="24"/>
          <w:color w:val="auto"/>
        </w:rPr>
      </w:pPr>
    </w:p>
    <w:p>
      <w:pPr>
        <w:spacing w:after="0" w:line="20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325 West Huron Street, Suit 700</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At the 2024 Annual General Meeting of Shareholders of Green Thumb Industries Inc. (the “Company”) held on June 12, 2024, the Company’s shareholders:</w:t>
      </w:r>
    </w:p>
    <w:p>
      <w:pPr>
        <w:spacing w:after="0" w:line="270"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number of directors of the Company at seven;</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the seven director nominees named in the Company’s 2024 Proxy Statement (the “Proxy Statement”) to serve as directors until the Company’s 2025 annual general meeting of shareholders or the date on which they otherwise cease to hold office under the British Columbia Corporations Act or under the Company’s articles;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compensation of the Company’s named executive officers as disclosed in the Proxy Statement;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appointment of Baker Tilly US, LLP as auditors for the Company and authorized the Board to fix the auditors’ remuneration and terms of engagement.</w:t>
      </w:r>
    </w:p>
    <w:p>
      <w:pPr>
        <w:spacing w:after="0" w:line="158"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b w:val="1"/>
          <w:bCs w:val="1"/>
          <w:u w:val="single" w:color="auto"/>
          <w:color w:val="auto"/>
        </w:rPr>
        <w:t>Proposal No.</w:t>
      </w:r>
      <w:r>
        <w:rPr>
          <w:rFonts w:ascii="Times New Roman" w:cs="Times New Roman" w:eastAsia="Times New Roman" w:hAnsi="Times New Roman"/>
          <w:sz w:val="18"/>
          <w:szCs w:val="18"/>
          <w:b w:val="1"/>
          <w:bCs w:val="1"/>
          <w:color w:val="auto"/>
        </w:rPr>
        <w:t xml:space="preserve"> 1:</w:t>
      </w:r>
      <w:r>
        <w:rPr>
          <w:sz w:val="20"/>
          <w:szCs w:val="20"/>
          <w:color w:val="auto"/>
        </w:rPr>
        <w:tab/>
      </w:r>
      <w:r>
        <w:rPr>
          <w:rFonts w:ascii="Times New Roman" w:cs="Times New Roman" w:eastAsia="Times New Roman" w:hAnsi="Times New Roman"/>
          <w:sz w:val="17"/>
          <w:szCs w:val="17"/>
          <w:color w:val="auto"/>
        </w:rPr>
        <w:t>Setting the number of directors of the Company at seven:</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34"/>
        </w:trPr>
        <w:tc>
          <w:tcPr>
            <w:tcW w:w="1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299,954,219</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329,578</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603"/>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Election of directors:</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73"/>
        </w:trPr>
        <w:tc>
          <w:tcPr>
            <w:tcW w:w="112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22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 VOTES</w:t>
            </w:r>
          </w:p>
        </w:tc>
      </w:tr>
      <w:tr>
        <w:trPr>
          <w:trHeight w:val="211"/>
        </w:trPr>
        <w:tc>
          <w:tcPr>
            <w:tcW w:w="3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Dawn Wilson Barnes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252,999,079</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4,657,428</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42,627,290</w:t>
            </w:r>
          </w:p>
        </w:tc>
      </w:tr>
      <w:tr>
        <w:trPr>
          <w:trHeight w:val="230"/>
        </w:trPr>
        <w:tc>
          <w:tcPr>
            <w:tcW w:w="3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Anthony Georgiadis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252,343,468</w:t>
            </w:r>
          </w:p>
        </w:tc>
        <w:tc>
          <w:tcPr>
            <w:tcW w:w="2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5,313,039</w:t>
            </w:r>
          </w:p>
        </w:tc>
        <w:tc>
          <w:tcPr>
            <w:tcW w:w="2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42,627,290</w:t>
            </w:r>
          </w:p>
        </w:tc>
      </w:tr>
      <w:tr>
        <w:trPr>
          <w:trHeight w:val="230"/>
        </w:trPr>
        <w:tc>
          <w:tcPr>
            <w:tcW w:w="3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Jeffrey Goldman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250,558,594</w:t>
            </w:r>
          </w:p>
        </w:tc>
        <w:tc>
          <w:tcPr>
            <w:tcW w:w="2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7,097,913</w:t>
            </w:r>
          </w:p>
        </w:tc>
        <w:tc>
          <w:tcPr>
            <w:tcW w:w="2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42,627,290</w:t>
            </w:r>
          </w:p>
        </w:tc>
      </w:tr>
      <w:tr>
        <w:trPr>
          <w:trHeight w:val="230"/>
        </w:trPr>
        <w:tc>
          <w:tcPr>
            <w:tcW w:w="3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Benjamin Kovler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250,532,116</w:t>
            </w:r>
          </w:p>
        </w:tc>
        <w:tc>
          <w:tcPr>
            <w:tcW w:w="2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7,124,391</w:t>
            </w:r>
          </w:p>
        </w:tc>
        <w:tc>
          <w:tcPr>
            <w:tcW w:w="2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42,627,290</w:t>
            </w:r>
          </w:p>
        </w:tc>
      </w:tr>
      <w:tr>
        <w:trPr>
          <w:trHeight w:val="229"/>
        </w:trPr>
        <w:tc>
          <w:tcPr>
            <w:tcW w:w="3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Ethan Nadelmann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253,003,857</w:t>
            </w:r>
          </w:p>
        </w:tc>
        <w:tc>
          <w:tcPr>
            <w:tcW w:w="2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4,652,650</w:t>
            </w:r>
          </w:p>
        </w:tc>
        <w:tc>
          <w:tcPr>
            <w:tcW w:w="2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42,627,290</w:t>
            </w:r>
          </w:p>
        </w:tc>
      </w:tr>
      <w:tr>
        <w:trPr>
          <w:trHeight w:val="230"/>
        </w:trPr>
        <w:tc>
          <w:tcPr>
            <w:tcW w:w="3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Richard Reisin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257,426,459</w:t>
            </w:r>
          </w:p>
        </w:tc>
        <w:tc>
          <w:tcPr>
            <w:tcW w:w="24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230,048</w:t>
            </w:r>
          </w:p>
        </w:tc>
        <w:tc>
          <w:tcPr>
            <w:tcW w:w="2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42,627,290</w:t>
            </w:r>
          </w:p>
        </w:tc>
      </w:tr>
      <w:tr>
        <w:trPr>
          <w:trHeight w:val="234"/>
        </w:trPr>
        <w:tc>
          <w:tcPr>
            <w:tcW w:w="3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Hannah Ross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257,427,660</w:t>
            </w:r>
          </w:p>
        </w:tc>
        <w:tc>
          <w:tcPr>
            <w:tcW w:w="24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228,847</w:t>
            </w:r>
          </w:p>
        </w:tc>
        <w:tc>
          <w:tcPr>
            <w:tcW w:w="2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42,627,290</w:t>
            </w:r>
          </w:p>
        </w:tc>
      </w:tr>
    </w:tbl>
    <w:p>
      <w:pPr>
        <w:spacing w:after="0" w:line="200" w:lineRule="exact"/>
        <w:rPr>
          <w:sz w:val="20"/>
          <w:szCs w:val="20"/>
          <w:color w:val="auto"/>
        </w:rPr>
      </w:pPr>
    </w:p>
    <w:p>
      <w:pPr>
        <w:spacing w:after="0" w:line="223" w:lineRule="exact"/>
        <w:rPr>
          <w:sz w:val="20"/>
          <w:szCs w:val="20"/>
          <w:color w:val="auto"/>
        </w:rPr>
      </w:pPr>
    </w:p>
    <w:p>
      <w:pPr>
        <w:ind w:left="1500" w:right="200" w:hanging="1471"/>
        <w:spacing w:after="0" w:line="282" w:lineRule="auto"/>
        <w:tabs>
          <w:tab w:leader="none" w:pos="1480" w:val="left"/>
        </w:tabs>
        <w:rPr>
          <w:sz w:val="20"/>
          <w:szCs w:val="20"/>
          <w:color w:val="auto"/>
        </w:rPr>
      </w:pPr>
      <w:r>
        <w:rPr>
          <w:rFonts w:ascii="Times New Roman" w:cs="Times New Roman" w:eastAsia="Times New Roman" w:hAnsi="Times New Roman"/>
          <w:sz w:val="18"/>
          <w:szCs w:val="18"/>
          <w:b w:val="1"/>
          <w:bCs w:val="1"/>
          <w:u w:val="single" w:color="auto"/>
          <w:color w:val="auto"/>
        </w:rPr>
        <w:t>Proposal No. 3</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The approval, on an advisory basis, of the compensation paid to the Company’s named executive officers, as disclosed in the Proxy Statement.</w:t>
      </w:r>
    </w:p>
    <w:p>
      <w:pPr>
        <w:spacing w:after="0" w:line="175" w:lineRule="exact"/>
        <w:rPr>
          <w:sz w:val="20"/>
          <w:szCs w:val="20"/>
          <w:color w:val="auto"/>
        </w:rPr>
      </w:pPr>
    </w:p>
    <w:tbl>
      <w:tblPr>
        <w:tblLayout w:type="fixed"/>
        <w:tblInd w:w="3040" w:type="dxa"/>
        <w:tblCellMar>
          <w:top w:w="0" w:type="dxa"/>
          <w:left w:w="0" w:type="dxa"/>
          <w:bottom w:w="0" w:type="dxa"/>
          <w:right w:w="0" w:type="dxa"/>
        </w:tblCellMar>
      </w:tblPr>
      <w:tr>
        <w:trPr>
          <w:trHeight w:val="245"/>
        </w:trPr>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20" w:type="dxa"/>
            <w:vAlign w:val="bottom"/>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r>
      <w:tr>
        <w:trPr>
          <w:trHeight w:val="234"/>
        </w:trPr>
        <w:tc>
          <w:tcPr>
            <w:tcW w:w="2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256,333,181</w:t>
            </w:r>
          </w:p>
        </w:tc>
        <w:tc>
          <w:tcPr>
            <w:tcW w:w="220" w:type="dxa"/>
            <w:vAlign w:val="bottom"/>
          </w:tcPr>
          <w:p>
            <w:pPr>
              <w:spacing w:after="0"/>
              <w:rPr>
                <w:sz w:val="20"/>
                <w:szCs w:val="20"/>
                <w:color w:val="auto"/>
              </w:rPr>
            </w:pPr>
          </w:p>
        </w:tc>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1,050,326</w:t>
            </w:r>
          </w:p>
        </w:tc>
        <w:tc>
          <w:tcPr>
            <w:tcW w:w="220" w:type="dxa"/>
            <w:vAlign w:val="bottom"/>
          </w:tcPr>
          <w:p>
            <w:pPr>
              <w:spacing w:after="0"/>
              <w:rPr>
                <w:sz w:val="20"/>
                <w:szCs w:val="20"/>
                <w:color w:val="auto"/>
              </w:rPr>
            </w:pPr>
          </w:p>
        </w:tc>
        <w:tc>
          <w:tcPr>
            <w:tcW w:w="22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273,000</w:t>
            </w:r>
          </w:p>
        </w:tc>
      </w:tr>
    </w:tbl>
    <w:p>
      <w:pPr>
        <w:spacing w:after="0" w:line="200" w:lineRule="exact"/>
        <w:rPr>
          <w:sz w:val="20"/>
          <w:szCs w:val="20"/>
          <w:color w:val="auto"/>
        </w:rPr>
      </w:pPr>
    </w:p>
    <w:p>
      <w:pPr>
        <w:spacing w:after="0" w:line="205" w:lineRule="exact"/>
        <w:rPr>
          <w:sz w:val="20"/>
          <w:szCs w:val="20"/>
          <w:color w:val="auto"/>
        </w:rPr>
      </w:pPr>
    </w:p>
    <w:p>
      <w:pPr>
        <w:ind w:left="1500" w:right="20" w:hanging="1471"/>
        <w:spacing w:after="0" w:line="282" w:lineRule="auto"/>
        <w:tabs>
          <w:tab w:leader="none" w:pos="1480" w:val="left"/>
        </w:tabs>
        <w:rPr>
          <w:sz w:val="20"/>
          <w:szCs w:val="20"/>
          <w:color w:val="auto"/>
        </w:rPr>
      </w:pPr>
      <w:r>
        <w:rPr>
          <w:rFonts w:ascii="Times New Roman" w:cs="Times New Roman" w:eastAsia="Times New Roman" w:hAnsi="Times New Roman"/>
          <w:sz w:val="18"/>
          <w:szCs w:val="18"/>
          <w:b w:val="1"/>
          <w:bCs w:val="1"/>
          <w:u w:val="single" w:color="auto"/>
          <w:color w:val="auto"/>
        </w:rPr>
        <w:t>Proposal No. 4</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The appointment of Baker Tilly US, LLP as auditors for the Company and authorization of the Board to fix the auditors’ remuneration and terms of engagement:</w:t>
      </w:r>
    </w:p>
    <w:p>
      <w:pPr>
        <w:spacing w:after="0" w:line="175" w:lineRule="exact"/>
        <w:rPr>
          <w:sz w:val="20"/>
          <w:szCs w:val="20"/>
          <w:color w:val="auto"/>
        </w:rPr>
      </w:pPr>
    </w:p>
    <w:p>
      <w:pPr>
        <w:ind w:left="3960"/>
        <w:spacing w:after="0"/>
        <w:tabs>
          <w:tab w:leader="none" w:pos="608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b w:val="1"/>
          <w:bCs w:val="1"/>
          <w:color w:val="auto"/>
        </w:rPr>
        <w:t>WITHHOLD</w:t>
      </w:r>
    </w:p>
    <w:p>
      <w:pPr>
        <w:spacing w:after="0" w:line="40" w:lineRule="exact"/>
        <w:rPr>
          <w:sz w:val="20"/>
          <w:szCs w:val="20"/>
          <w:color w:val="auto"/>
        </w:rPr>
      </w:pPr>
    </w:p>
    <w:p>
      <w:pPr>
        <w:ind w:left="3700"/>
        <w:spacing w:after="0"/>
        <w:tabs>
          <w:tab w:leader="none" w:pos="6300" w:val="left"/>
        </w:tabs>
        <w:rPr>
          <w:sz w:val="20"/>
          <w:szCs w:val="20"/>
          <w:color w:val="auto"/>
        </w:rPr>
      </w:pPr>
      <w:r>
        <w:rPr>
          <w:rFonts w:ascii="Times New Roman" w:cs="Times New Roman" w:eastAsia="Times New Roman" w:hAnsi="Times New Roman"/>
          <w:sz w:val="18"/>
          <w:szCs w:val="18"/>
          <w:color w:val="auto"/>
        </w:rPr>
        <w:t>299,755,645</w:t>
      </w:r>
      <w:r>
        <w:rPr>
          <w:sz w:val="20"/>
          <w:szCs w:val="20"/>
          <w:color w:val="auto"/>
        </w:rPr>
        <w:tab/>
      </w:r>
      <w:r>
        <w:rPr>
          <w:rFonts w:ascii="Times New Roman" w:cs="Times New Roman" w:eastAsia="Times New Roman" w:hAnsi="Times New Roman"/>
          <w:sz w:val="18"/>
          <w:szCs w:val="18"/>
          <w:color w:val="auto"/>
        </w:rPr>
        <w:t>528,152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-127635</wp:posOffset>
            </wp:positionV>
            <wp:extent cx="2974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 Kravitz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Bret Kravitz</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2024-06-14T06:11:11Z</dcterms:created>
  <dcterms:modified xsi:type="dcterms:W3CDTF">2024-06-14T06:11:11Z</dcterms:modified>
</cp:coreProperties>
</file>