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7957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7957820"/>
                    </a:xfrm>
                    <a:prstGeom prst="rect">
                      <a:avLst/>
                    </a:prstGeom>
                    <a:noFill/>
                  </pic:spPr>
                </pic:pic>
              </a:graphicData>
            </a:graphic>
          </wp:anchor>
        </w:drawing>
      </w:r>
    </w:p>
    <w:p>
      <w:pPr>
        <w:spacing w:after="0" w:line="1162" w:lineRule="exact"/>
        <w:rPr>
          <w:sz w:val="24"/>
          <w:szCs w:val="24"/>
          <w:color w:val="auto"/>
        </w:rPr>
      </w:pPr>
    </w:p>
    <w:p>
      <w:pPr>
        <w:sectPr>
          <w:pgSz w:w="11900" w:h="16884" w:orient="portrait"/>
          <w:cols w:equalWidth="0" w:num="2">
            <w:col w:w="2300" w:space="320"/>
            <w:col w:w="8460"/>
          </w:cols>
          <w:pgMar w:left="460" w:top="216"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00" w:type="dxa"/>
            <w:vAlign w:val="bottom"/>
            <w:gridSpan w:val="10"/>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RSLGH, LLC</w:t>
              </w:r>
            </w:hyperlink>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0" w:type="dxa"/>
            <w:vAlign w:val="bottom"/>
            <w:gridSpan w:val="9"/>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RYTHM,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RYM</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64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40" w:type="dxa"/>
            <w:vAlign w:val="bottom"/>
            <w:gridSpan w:val="5"/>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60" w:type="dxa"/>
            <w:vAlign w:val="bottom"/>
            <w:tcBorders>
              <w:bottom w:val="single" w:sz="8" w:color="0000EE"/>
            </w:tcBorders>
            <w:gridSpan w:val="2"/>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160" w:type="dxa"/>
            <w:vAlign w:val="bottom"/>
            <w:gridSpan w:val="2"/>
          </w:tcPr>
          <w:p>
            <w:pPr>
              <w:spacing w:after="0"/>
              <w:rPr>
                <w:sz w:val="6"/>
                <w:szCs w:val="6"/>
                <w:color w:val="auto"/>
              </w:rPr>
            </w:pPr>
          </w:p>
        </w:tc>
        <w:tc>
          <w:tcPr>
            <w:tcW w:w="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9"/>
                <w:szCs w:val="9"/>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60" w:type="dxa"/>
            <w:vAlign w:val="bottom"/>
            <w:tcBorders>
              <w:top w:val="single" w:sz="8" w:color="EEEEEE"/>
            </w:tcBorders>
          </w:tcPr>
          <w:p>
            <w:pPr>
              <w:spacing w:after="0" w:line="20" w:lineRule="exact"/>
              <w:rPr>
                <w:sz w:val="1"/>
                <w:szCs w:val="1"/>
                <w:color w:val="auto"/>
              </w:rPr>
            </w:pPr>
          </w:p>
        </w:tc>
        <w:tc>
          <w:tcPr>
            <w:tcW w:w="1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00" w:type="dxa"/>
            <w:vAlign w:val="bottom"/>
            <w:gridSpan w:val="10"/>
          </w:tcPr>
          <w:p>
            <w:pPr>
              <w:ind w:left="80"/>
              <w:spacing w:after="0"/>
              <w:rPr>
                <w:sz w:val="20"/>
                <w:szCs w:val="20"/>
                <w:color w:val="auto"/>
              </w:rPr>
            </w:pPr>
            <w:r>
              <w:rPr>
                <w:rFonts w:ascii="Arial" w:cs="Arial" w:eastAsia="Arial" w:hAnsi="Arial"/>
                <w:sz w:val="13"/>
                <w:szCs w:val="13"/>
                <w:color w:val="auto"/>
                <w:w w:val="99"/>
              </w:rPr>
              <w:t>3. Date of Earliest Transaction (Month/Day/Year)</w:t>
            </w: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325 WEST HURON STREET,</w:t>
            </w:r>
          </w:p>
        </w:tc>
        <w:tc>
          <w:tcPr>
            <w:tcW w:w="1060" w:type="dxa"/>
            <w:vAlign w:val="bottom"/>
          </w:tcPr>
          <w:p>
            <w:pPr>
              <w:spacing w:after="0"/>
              <w:rPr>
                <w:sz w:val="18"/>
                <w:szCs w:val="18"/>
                <w:color w:val="auto"/>
              </w:rPr>
            </w:pPr>
          </w:p>
        </w:tc>
        <w:tc>
          <w:tcPr>
            <w:tcW w:w="1420" w:type="dxa"/>
            <w:vAlign w:val="bottom"/>
            <w:gridSpan w:val="7"/>
          </w:tcPr>
          <w:p>
            <w:pPr>
              <w:ind w:left="320"/>
              <w:spacing w:after="0"/>
              <w:rPr>
                <w:sz w:val="20"/>
                <w:szCs w:val="20"/>
                <w:color w:val="auto"/>
              </w:rPr>
            </w:pPr>
            <w:r>
              <w:rPr>
                <w:rFonts w:ascii="Times New Roman" w:cs="Times New Roman" w:eastAsia="Times New Roman" w:hAnsi="Times New Roman"/>
                <w:sz w:val="17"/>
                <w:szCs w:val="17"/>
                <w:color w:val="0000FF"/>
              </w:rPr>
              <w:t>10/20/2025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40" w:type="dxa"/>
            <w:vAlign w:val="bottom"/>
            <w:gridSpan w:val="7"/>
            <w:vMerge w:val="continue"/>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3560" w:type="dxa"/>
            <w:vAlign w:val="bottom"/>
            <w:gridSpan w:val="11"/>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6"/>
                <w:szCs w:val="6"/>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11"/>
            <w:vMerge w:val="continue"/>
          </w:tcPr>
          <w:p>
            <w:pPr>
              <w:spacing w:after="0"/>
              <w:rPr>
                <w:sz w:val="8"/>
                <w:szCs w:val="8"/>
                <w:color w:val="auto"/>
              </w:rPr>
            </w:pPr>
          </w:p>
        </w:tc>
        <w:tc>
          <w:tcPr>
            <w:tcW w:w="280" w:type="dxa"/>
            <w:vAlign w:val="bottom"/>
          </w:tcPr>
          <w:p>
            <w:pPr>
              <w:spacing w:after="0"/>
              <w:rPr>
                <w:sz w:val="8"/>
                <w:szCs w:val="8"/>
                <w:color w:val="auto"/>
              </w:rPr>
            </w:pPr>
          </w:p>
        </w:tc>
        <w:tc>
          <w:tcPr>
            <w:tcW w:w="34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96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vMerge w:val="restart"/>
          </w:tcPr>
          <w:p>
            <w:pPr>
              <w:spacing w:after="0"/>
              <w:rPr>
                <w:sz w:val="3"/>
                <w:szCs w:val="3"/>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3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4"/>
          </w:tcPr>
          <w:p>
            <w:pPr>
              <w:ind w:left="20"/>
              <w:spacing w:after="0" w:line="178" w:lineRule="exact"/>
              <w:rPr>
                <w:sz w:val="20"/>
                <w:szCs w:val="20"/>
                <w:color w:val="auto"/>
              </w:rPr>
            </w:pPr>
            <w:r>
              <w:rPr>
                <w:rFonts w:ascii="Times New Roman" w:cs="Times New Roman" w:eastAsia="Times New Roman" w:hAnsi="Times New Roman"/>
                <w:sz w:val="17"/>
                <w:szCs w:val="17"/>
                <w:color w:val="0000FF"/>
              </w:rPr>
              <w:t>CHICAGO</w:t>
            </w:r>
          </w:p>
        </w:tc>
        <w:tc>
          <w:tcPr>
            <w:tcW w:w="18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color w:val="0000FF"/>
                <w:w w:val="86"/>
              </w:rPr>
              <w:t>IL</w:t>
            </w: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color w:val="0000FF"/>
              </w:rPr>
              <w:t>60654</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6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9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960" w:type="dxa"/>
            <w:vAlign w:val="bottom"/>
            <w:tcBorders>
              <w:bottom w:val="single" w:sz="8" w:color="2C2C2C"/>
            </w:tcBorders>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3"/>
          </w:tcPr>
          <w:p>
            <w:pPr>
              <w:spacing w:after="0"/>
              <w:rPr>
                <w:sz w:val="10"/>
                <w:szCs w:val="10"/>
                <w:color w:val="auto"/>
              </w:rPr>
            </w:pPr>
          </w:p>
        </w:tc>
        <w:tc>
          <w:tcPr>
            <w:tcW w:w="380" w:type="dxa"/>
            <w:vAlign w:val="bottom"/>
            <w:tcBorders>
              <w:bottom w:val="single" w:sz="8" w:color="2C2C2C"/>
            </w:tcBorders>
            <w:gridSpan w:val="2"/>
          </w:tcPr>
          <w:p>
            <w:pPr>
              <w:spacing w:after="0"/>
              <w:rPr>
                <w:sz w:val="10"/>
                <w:szCs w:val="10"/>
                <w:color w:val="auto"/>
              </w:rPr>
            </w:pPr>
          </w:p>
        </w:tc>
        <w:tc>
          <w:tcPr>
            <w:tcW w:w="2260" w:type="dxa"/>
            <w:vAlign w:val="bottom"/>
            <w:tcBorders>
              <w:bottom w:val="single" w:sz="8" w:color="2C2C2C"/>
            </w:tcBorders>
            <w:gridSpan w:val="4"/>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21"/>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380" w:type="dxa"/>
            <w:vAlign w:val="bottom"/>
            <w:tcBorders>
              <w:bottom w:val="single" w:sz="8" w:color="2C2C2C"/>
            </w:tcBorders>
            <w:gridSpan w:val="4"/>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7"/>
          </w:tcPr>
          <w:p>
            <w:pPr>
              <w:ind w:left="800"/>
              <w:spacing w:after="0"/>
              <w:rPr>
                <w:sz w:val="20"/>
                <w:szCs w:val="20"/>
                <w:color w:val="auto"/>
              </w:rPr>
            </w:pPr>
            <w:r>
              <w:rPr>
                <w:rFonts w:ascii="Arial" w:cs="Arial" w:eastAsia="Arial" w:hAnsi="Arial"/>
                <w:sz w:val="11"/>
                <w:szCs w:val="11"/>
                <w:b w:val="1"/>
                <w:bCs w:val="1"/>
                <w:color w:val="auto"/>
              </w:rPr>
              <w:t>2. Transaction</w:t>
            </w: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tcPr>
          <w:p>
            <w:pPr>
              <w:ind w:left="2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gridSpan w:val="7"/>
          </w:tcPr>
          <w:p>
            <w:pPr>
              <w:ind w:left="80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60" w:type="dxa"/>
            <w:vAlign w:val="bottom"/>
            <w:gridSpan w:val="5"/>
          </w:tcPr>
          <w:p>
            <w:pPr>
              <w:ind w:left="2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3"/>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gridSpan w:val="4"/>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gridSpan w:val="3"/>
          </w:tcPr>
          <w:p>
            <w:pPr>
              <w:spacing w:after="0"/>
              <w:rPr>
                <w:sz w:val="6"/>
                <w:szCs w:val="6"/>
                <w:color w:val="auto"/>
              </w:rPr>
            </w:pPr>
          </w:p>
        </w:tc>
        <w:tc>
          <w:tcPr>
            <w:tcW w:w="380" w:type="dxa"/>
            <w:vAlign w:val="bottom"/>
            <w:tcBorders>
              <w:bottom w:val="single" w:sz="8" w:color="2C2C2C"/>
            </w:tcBorders>
            <w:gridSpan w:val="2"/>
          </w:tcPr>
          <w:p>
            <w:pPr>
              <w:spacing w:after="0"/>
              <w:rPr>
                <w:sz w:val="6"/>
                <w:szCs w:val="6"/>
                <w:color w:val="auto"/>
              </w:rPr>
            </w:pPr>
          </w:p>
        </w:tc>
        <w:tc>
          <w:tcPr>
            <w:tcW w:w="2600" w:type="dxa"/>
            <w:vAlign w:val="bottom"/>
            <w:tcBorders>
              <w:bottom w:val="single" w:sz="8" w:color="2C2C2C"/>
            </w:tcBorders>
            <w:gridSpan w:val="5"/>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96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9"/>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20" w:type="dxa"/>
            <w:vAlign w:val="bottom"/>
            <w:gridSpan w:val="17"/>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Conversion</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3"/>
          </w:tcPr>
          <w:p>
            <w:pPr>
              <w:ind w:left="60"/>
              <w:spacing w:after="0"/>
              <w:rPr>
                <w:sz w:val="20"/>
                <w:szCs w:val="20"/>
                <w:color w:val="auto"/>
              </w:rPr>
            </w:pPr>
            <w:r>
              <w:rPr>
                <w:rFonts w:ascii="Arial" w:cs="Arial" w:eastAsia="Arial" w:hAnsi="Arial"/>
                <w:sz w:val="11"/>
                <w:szCs w:val="11"/>
                <w:b w:val="1"/>
                <w:bCs w:val="1"/>
                <w:color w:val="auto"/>
              </w:rPr>
              <w:t>or Exercise</w:t>
            </w: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6"/>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3"/>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gridSpan w:val="6"/>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gridSpan w:val="2"/>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Pre-</w:t>
            </w: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Funded</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141,343</w:t>
            </w:r>
          </w:p>
        </w:tc>
        <w:tc>
          <w:tcPr>
            <w:tcW w:w="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26.68</w:t>
            </w:r>
            <w:r>
              <w:rPr>
                <w:rFonts w:ascii="Times New Roman" w:cs="Times New Roman" w:eastAsia="Times New Roman" w:hAnsi="Times New Roman"/>
                <w:sz w:val="21"/>
                <w:szCs w:val="21"/>
                <w:color w:val="008000"/>
                <w:vertAlign w:val="superscript"/>
              </w:rPr>
              <w:t>(1)</w:t>
            </w: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vMerge w:val="restart"/>
          </w:tcPr>
          <w:p>
            <w:pPr>
              <w:ind w:left="260"/>
              <w:spacing w:after="0" w:line="268"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line="128" w:lineRule="exact"/>
              <w:rPr>
                <w:sz w:val="20"/>
                <w:szCs w:val="20"/>
                <w:color w:val="auto"/>
              </w:rPr>
            </w:pPr>
            <w:r>
              <w:rPr>
                <w:rFonts w:ascii="Times New Roman" w:cs="Times New Roman" w:eastAsia="Times New Roman" w:hAnsi="Times New Roman"/>
                <w:sz w:val="13"/>
                <w:szCs w:val="13"/>
                <w:color w:val="0000FF"/>
              </w:rPr>
              <w:t>Warrants</w:t>
            </w:r>
          </w:p>
        </w:tc>
        <w:tc>
          <w:tcPr>
            <w:tcW w:w="580" w:type="dxa"/>
            <w:vAlign w:val="bottom"/>
          </w:tcPr>
          <w:p>
            <w:pPr>
              <w:ind w:left="20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0.001</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ind w:left="220"/>
              <w:spacing w:after="0" w:line="128" w:lineRule="exact"/>
              <w:rPr>
                <w:sz w:val="20"/>
                <w:szCs w:val="20"/>
                <w:color w:val="auto"/>
              </w:rPr>
            </w:pPr>
            <w:r>
              <w:rPr>
                <w:rFonts w:ascii="Times New Roman" w:cs="Times New Roman" w:eastAsia="Times New Roman" w:hAnsi="Times New Roman"/>
                <w:sz w:val="13"/>
                <w:szCs w:val="13"/>
                <w:color w:val="0000FF"/>
              </w:rPr>
              <w:t>10/20/2025</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5"/>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0000FF"/>
              </w:rPr>
              <w:t>141,343</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141,343</w:t>
            </w: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11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8"/>
          </w:tcPr>
          <w:p>
            <w:pPr>
              <w:ind w:left="60"/>
              <w:spacing w:after="0" w:line="228"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4"/>
          </w:tcPr>
          <w:p>
            <w:pPr>
              <w:ind w:left="20"/>
              <w:spacing w:after="0" w:line="216"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RSLGH, LLC</w:t>
              </w:r>
            </w:hyperlink>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9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38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4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325 WEST HURON STREET,</w:t>
            </w: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60654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38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160" w:type="dxa"/>
            <w:vAlign w:val="bottom"/>
            <w:tcBorders>
              <w:bottom w:val="single" w:sz="8" w:color="2C2C2C"/>
            </w:tcBorders>
            <w:gridSpan w:val="2"/>
          </w:tcPr>
          <w:p>
            <w:pPr>
              <w:spacing w:after="0"/>
              <w:rPr>
                <w:sz w:val="6"/>
                <w:szCs w:val="6"/>
                <w:color w:val="auto"/>
              </w:rPr>
            </w:pPr>
          </w:p>
        </w:tc>
        <w:tc>
          <w:tcPr>
            <w:tcW w:w="1180" w:type="dxa"/>
            <w:vAlign w:val="bottom"/>
            <w:tcBorders>
              <w:bottom w:val="single" w:sz="8" w:color="2C2C2C"/>
            </w:tcBorders>
            <w:gridSpan w:val="3"/>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20" w:type="dxa"/>
            <w:vAlign w:val="bottom"/>
            <w:gridSpan w:val="8"/>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gridSpan w:val="7"/>
          </w:tcPr>
          <w:p>
            <w:pPr>
              <w:ind w:left="20"/>
              <w:spacing w:after="0" w:line="216"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Green Thumb Industries Inc.</w:t>
              </w:r>
            </w:hyperlink>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4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96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38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40" w:type="dxa"/>
            <w:vAlign w:val="bottom"/>
            <w:gridSpan w:val="7"/>
          </w:tcPr>
          <w:p>
            <w:pPr>
              <w:ind w:left="20"/>
              <w:spacing w:after="0"/>
              <w:rPr>
                <w:sz w:val="20"/>
                <w:szCs w:val="20"/>
                <w:color w:val="auto"/>
              </w:rPr>
            </w:pPr>
            <w:r>
              <w:rPr>
                <w:rFonts w:ascii="Times New Roman" w:cs="Times New Roman" w:eastAsia="Times New Roman" w:hAnsi="Times New Roman"/>
                <w:sz w:val="17"/>
                <w:szCs w:val="17"/>
                <w:color w:val="0000FF"/>
              </w:rPr>
              <w:t>325 WEST HURON STREET</w:t>
            </w:r>
          </w:p>
        </w:tc>
        <w:tc>
          <w:tcPr>
            <w:tcW w:w="10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SUITE 700</w:t>
            </w: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8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0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60654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38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-5285105</wp:posOffset>
            </wp:positionV>
            <wp:extent cx="28575" cy="1925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575" cy="1925320"/>
                    </a:xfrm>
                    <a:prstGeom prst="rect">
                      <a:avLst/>
                    </a:prstGeom>
                    <a:noFill/>
                  </pic:spPr>
                </pic:pic>
              </a:graphicData>
            </a:graphic>
          </wp:anchor>
        </w:drawing>
      </w:r>
    </w:p>
    <w:p>
      <w:pPr>
        <w:spacing w:after="0" w:line="10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40" w:right="220"/>
        <w:spacing w:after="0" w:line="235"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141,343 Pre-Funded Warrants issued as payment of amounts due pursuant to the Amended and Restated Shared Services Agreement, dated May 20, 2025 (the "SSA"), between the Issuer and Vision Management Services, LLC ("VMS"), subject to a 49.99% beneficial ownership limitation and with exercise being subject to stockholder approval under applicable Nasdaq listing rules, to the extent required. The number of Pre-Funded Warrants was determined pursuant to the SSA by dividing the dollar amount of the applicable payments due by $26.68. VMS assigned its right to receive the Pre-Funded Warrants to RSLGH, LLC ("RSLGH").</w:t>
      </w:r>
    </w:p>
    <w:p>
      <w:pPr>
        <w:spacing w:after="0" w:line="25" w:lineRule="exact"/>
        <w:rPr>
          <w:rFonts w:ascii="Times New Roman" w:cs="Times New Roman" w:eastAsia="Times New Roman" w:hAnsi="Times New Roman"/>
          <w:sz w:val="13"/>
          <w:szCs w:val="13"/>
          <w:color w:val="008000"/>
        </w:rPr>
      </w:pPr>
    </w:p>
    <w:p>
      <w:pPr>
        <w:ind w:left="40" w:right="240"/>
        <w:spacing w:after="0" w:line="291" w:lineRule="auto"/>
        <w:tabs>
          <w:tab w:leader="none" w:pos="167"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RSLGH is the direct beneficial owner of the Pre-Funded Warrants. RSLGH is an indirectly wholly-owned subsidiary of Green Thumb Industries Inc. ("Green Thumb"). Green Thumb is the sole shareholder of GTI23, Inc., which is the sole member of VCP23, LLC, which is the sole shareholder of For Success Holdings Company. For Success Holdings Company is the sole member of Wellness Mgmt, LLC, which is the</w:t>
      </w:r>
    </w:p>
    <w:p>
      <w:pPr>
        <w:sectPr>
          <w:pgSz w:w="11900" w:h="16884"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sole member of RSLGH</w:t>
      </w:r>
    </w:p>
    <w:p>
      <w:pPr>
        <w:spacing w:after="0" w:line="6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Bret Kravitz,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-10160</wp:posOffset>
            </wp:positionV>
            <wp:extent cx="11207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 on behalf of RSLGH, 10/20/2025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877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987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19875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Bret Kravitz, Corporate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-10160</wp:posOffset>
            </wp:positionV>
            <wp:extent cx="11207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120775"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Secretary, on behalf of Green</w:t>
      </w:r>
      <w:r>
        <w:rPr>
          <w:sz w:val="20"/>
          <w:szCs w:val="20"/>
          <w:color w:val="auto"/>
        </w:rPr>
        <w:tab/>
      </w:r>
      <w:r>
        <w:rPr>
          <w:rFonts w:ascii="Times New Roman" w:cs="Times New Roman" w:eastAsia="Times New Roman" w:hAnsi="Times New Roman"/>
          <w:sz w:val="16"/>
          <w:szCs w:val="16"/>
          <w:color w:val="0000FF"/>
        </w:rPr>
        <w:t>10/20/2025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877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Thumb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9315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spacing w:after="0" w:line="27"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619"/>
        <w:spacing w:after="0" w:line="332"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13" Type="http://schemas.openxmlformats.org/officeDocument/2006/relationships/hyperlink" Target="http://www.sec.gov/cgi-bin/browse-edgar?action=getcompany&amp;CIK=0002043397" TargetMode="External"/><Relationship Id="rId14" Type="http://schemas.openxmlformats.org/officeDocument/2006/relationships/hyperlink" Target="http://www.sec.gov/cgi-bin/browse-edgar?action=getcompany&amp;CIK=0001800637" TargetMode="External"/><Relationship Id="rId15"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2025-10-20T17:46:52Z</dcterms:created>
  <dcterms:modified xsi:type="dcterms:W3CDTF">2025-10-20T17:46:52Z</dcterms:modified>
</cp:coreProperties>
</file>