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8422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42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2320" w:space="280"/>
            <w:col w:w="848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Georgiadis Anthony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48" w:orient="portrait"/>
          <w:cols w:equalWidth="0" w:num="2">
            <w:col w:w="7680" w:space="59"/>
            <w:col w:w="3341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ectPr>
          <w:pgSz w:w="11900" w:h="16848" w:orient="portrait"/>
          <w:cols w:equalWidth="0" w:num="2">
            <w:col w:w="3760" w:space="14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11/08/2024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9.2616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11/08/2024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8.6538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11/08/2024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9.2616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Four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11/08/2024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8.6538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Four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922,559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Super Voting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37,682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Super Voting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Super Voting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Four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8.6538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Subordinate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11/09/2019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Subordinate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8.6538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One Four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11/09/2019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11/09/2024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-2525395</wp:posOffset>
            </wp:positionV>
            <wp:extent cx="29210" cy="253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3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November 8, 2024, the reporting person exercised warrants to purchase 951 Subordinate Voting Shares of the Issuer for $8.6538 per share (CAN$12.0384). The reporting person paid the exercise price on a</w:t>
      </w:r>
    </w:p>
    <w:p>
      <w:pPr>
        <w:sectPr>
          <w:pgSz w:w="11900" w:h="1684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cashless basis, resulting in the Issuer withholding 889 of the warrant shares to pay the exercise price and issuing to the reporting person the remaining 62 shares.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firstLine="1"/>
        <w:spacing w:after="0" w:line="247" w:lineRule="auto"/>
        <w:tabs>
          <w:tab w:leader="none" w:pos="12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8, 2024, the reporting person exercised warrants to purchase 267 Subordinate Voting Shares of the Issuer for $8.6538 per share (CAN$12.0384). The reporting person paid the exercise price on a cashless basis, resulting in the Issuer withholding 249 of the warrant shares to pay the exercise price and issuing to the reporting person the remaining 18 shares.</w:t>
      </w:r>
    </w:p>
    <w:p>
      <w:pPr>
        <w:ind w:left="656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Kathryn A. Lloyd,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11/12/2024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-26670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-20955</wp:posOffset>
            </wp:positionV>
            <wp:extent cx="300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-86360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3440" w:firstLine="1"/>
        <w:spacing w:after="0" w:line="335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855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2024-11-12T15:45:57Z</dcterms:created>
  <dcterms:modified xsi:type="dcterms:W3CDTF">2024-11-12T15:45:57Z</dcterms:modified>
</cp:coreProperties>
</file>