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534035</wp:posOffset>
            </wp:positionH>
            <wp:positionV relativeFrom="page">
              <wp:posOffset>706120</wp:posOffset>
            </wp:positionV>
            <wp:extent cx="68065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723265</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155575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7"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2024</w:t>
      </w:r>
    </w:p>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1" w:lineRule="exact"/>
        <w:rPr>
          <w:sz w:val="24"/>
          <w:szCs w:val="24"/>
          <w:color w:val="auto"/>
        </w:rPr>
      </w:pPr>
    </w:p>
    <w:p>
      <w:pPr>
        <w:ind w:left="520" w:right="140" w:hanging="512"/>
        <w:spacing w:after="0" w:line="286" w:lineRule="auto"/>
        <w:tabs>
          <w:tab w:leader="none" w:pos="44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1530985</wp:posOffset>
            </wp:positionH>
            <wp:positionV relativeFrom="paragraph">
              <wp:posOffset>35560</wp:posOffset>
            </wp:positionV>
            <wp:extent cx="4088765" cy="60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88765"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192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340" w:type="dxa"/>
            <w:vAlign w:val="bottom"/>
            <w:gridSpan w:val="2"/>
          </w:tcPr>
          <w:p>
            <w:pPr>
              <w:jc w:val="center"/>
              <w:ind w:right="2066"/>
              <w:spacing w:after="0"/>
              <w:rPr>
                <w:sz w:val="20"/>
                <w:szCs w:val="20"/>
                <w:color w:val="auto"/>
              </w:rPr>
            </w:pPr>
            <w:r>
              <w:rPr>
                <w:rFonts w:ascii="Times New Roman" w:cs="Times New Roman" w:eastAsia="Times New Roman" w:hAnsi="Times New Roman"/>
                <w:sz w:val="14"/>
                <w:szCs w:val="14"/>
                <w:b w:val="1"/>
                <w:bCs w:val="1"/>
                <w:color w:val="auto"/>
              </w:rPr>
              <w:t>Commission file number 000-56132</w:t>
            </w:r>
          </w:p>
        </w:tc>
      </w:tr>
      <w:tr>
        <w:trPr>
          <w:trHeight w:val="185"/>
        </w:trPr>
        <w:tc>
          <w:tcPr>
            <w:tcW w:w="2580" w:type="dxa"/>
            <w:vAlign w:val="bottom"/>
            <w:gridSpan w:val="2"/>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2100" w:type="dxa"/>
            <w:vAlign w:val="bottom"/>
          </w:tcPr>
          <w:p>
            <w:pPr>
              <w:spacing w:after="0"/>
              <w:rPr>
                <w:sz w:val="16"/>
                <w:szCs w:val="16"/>
                <w:color w:val="auto"/>
              </w:rPr>
            </w:pPr>
          </w:p>
        </w:tc>
      </w:tr>
      <w:tr>
        <w:trPr>
          <w:trHeight w:val="495"/>
        </w:trPr>
        <w:tc>
          <w:tcPr>
            <w:tcW w:w="6920" w:type="dxa"/>
            <w:vAlign w:val="bottom"/>
            <w:gridSpan w:val="4"/>
          </w:tcPr>
          <w:p>
            <w:pPr>
              <w:ind w:left="440"/>
              <w:spacing w:after="0"/>
              <w:rPr>
                <w:sz w:val="20"/>
                <w:szCs w:val="20"/>
                <w:color w:val="auto"/>
              </w:rPr>
            </w:pPr>
            <w:r>
              <w:rPr>
                <w:rFonts w:ascii="Times New Roman" w:cs="Times New Roman" w:eastAsia="Times New Roman" w:hAnsi="Times New Roman"/>
                <w:sz w:val="40"/>
                <w:szCs w:val="40"/>
                <w:b w:val="1"/>
                <w:bCs w:val="1"/>
                <w:color w:val="auto"/>
                <w:w w:val="99"/>
              </w:rPr>
              <w:t>GREEN THUMB INDUSTRIES INC.</w:t>
            </w:r>
          </w:p>
        </w:tc>
      </w:tr>
      <w:tr>
        <w:trPr>
          <w:trHeight w:val="190"/>
        </w:trPr>
        <w:tc>
          <w:tcPr>
            <w:tcW w:w="1940" w:type="dxa"/>
            <w:vAlign w:val="bottom"/>
          </w:tcPr>
          <w:p>
            <w:pPr>
              <w:spacing w:after="0"/>
              <w:rPr>
                <w:sz w:val="16"/>
                <w:szCs w:val="16"/>
                <w:color w:val="auto"/>
              </w:rPr>
            </w:pPr>
          </w:p>
        </w:tc>
        <w:tc>
          <w:tcPr>
            <w:tcW w:w="4980" w:type="dxa"/>
            <w:vAlign w:val="bottom"/>
            <w:gridSpan w:val="3"/>
          </w:tcPr>
          <w:p>
            <w:pPr>
              <w:jc w:val="center"/>
              <w:ind w:right="1426"/>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185"/>
        </w:trPr>
        <w:tc>
          <w:tcPr>
            <w:tcW w:w="1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2100" w:type="dxa"/>
            <w:vAlign w:val="bottom"/>
          </w:tcPr>
          <w:p>
            <w:pPr>
              <w:spacing w:after="0"/>
              <w:rPr>
                <w:sz w:val="16"/>
                <w:szCs w:val="16"/>
                <w:color w:val="auto"/>
              </w:rPr>
            </w:pPr>
          </w:p>
        </w:tc>
      </w:tr>
      <w:tr>
        <w:trPr>
          <w:trHeight w:val="261"/>
        </w:trPr>
        <w:tc>
          <w:tcPr>
            <w:tcW w:w="19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British Columbia</w:t>
            </w:r>
          </w:p>
        </w:tc>
        <w:tc>
          <w:tcPr>
            <w:tcW w:w="4980" w:type="dxa"/>
            <w:vAlign w:val="bottom"/>
            <w:gridSpan w:val="3"/>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98-1437430</w:t>
            </w:r>
          </w:p>
        </w:tc>
      </w:tr>
      <w:tr>
        <w:trPr>
          <w:trHeight w:val="121"/>
        </w:trPr>
        <w:tc>
          <w:tcPr>
            <w:tcW w:w="1940" w:type="dxa"/>
            <w:vAlign w:val="bottom"/>
          </w:tcPr>
          <w:p>
            <w:pPr>
              <w:jc w:val="center"/>
              <w:ind w:right="58"/>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6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100" w:type="dxa"/>
            <w:vAlign w:val="bottom"/>
          </w:tcPr>
          <w:p>
            <w:pPr>
              <w:jc w:val="center"/>
              <w:ind w:left="1226"/>
              <w:spacing w:after="0" w:line="122" w:lineRule="exact"/>
              <w:rPr>
                <w:sz w:val="20"/>
                <w:szCs w:val="20"/>
                <w:color w:val="auto"/>
              </w:rPr>
            </w:pPr>
            <w:r>
              <w:rPr>
                <w:rFonts w:ascii="Times New Roman" w:cs="Times New Roman" w:eastAsia="Times New Roman" w:hAnsi="Times New Roman"/>
                <w:sz w:val="11"/>
                <w:szCs w:val="11"/>
                <w:b w:val="1"/>
                <w:bCs w:val="1"/>
                <w:color w:val="auto"/>
                <w:w w:val="96"/>
              </w:rPr>
              <w:t>(I.R.S. employer</w:t>
            </w:r>
          </w:p>
        </w:tc>
      </w:tr>
      <w:tr>
        <w:trPr>
          <w:trHeight w:val="142"/>
        </w:trPr>
        <w:tc>
          <w:tcPr>
            <w:tcW w:w="194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7"/>
              </w:rPr>
              <w:t>incorporation or organization)</w:t>
            </w:r>
          </w:p>
        </w:tc>
        <w:tc>
          <w:tcPr>
            <w:tcW w:w="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jc w:val="center"/>
              <w:ind w:left="1226"/>
              <w:spacing w:after="0"/>
              <w:rPr>
                <w:sz w:val="20"/>
                <w:szCs w:val="20"/>
                <w:color w:val="auto"/>
              </w:rPr>
            </w:pPr>
            <w:r>
              <w:rPr>
                <w:rFonts w:ascii="Times New Roman" w:cs="Times New Roman" w:eastAsia="Times New Roman" w:hAnsi="Times New Roman"/>
                <w:sz w:val="11"/>
                <w:szCs w:val="11"/>
                <w:b w:val="1"/>
                <w:bCs w:val="1"/>
                <w:color w:val="auto"/>
                <w:w w:val="98"/>
              </w:rPr>
              <w:t>identification no.)</w:t>
            </w:r>
          </w:p>
        </w:tc>
      </w:tr>
      <w:tr>
        <w:trPr>
          <w:trHeight w:val="294"/>
        </w:trPr>
        <w:tc>
          <w:tcPr>
            <w:tcW w:w="19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325 West Huron Street,</w:t>
            </w:r>
          </w:p>
        </w:tc>
        <w:tc>
          <w:tcPr>
            <w:tcW w:w="6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98"/>
        </w:trPr>
        <w:tc>
          <w:tcPr>
            <w:tcW w:w="19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Suite 700 Chicago, Illinois</w:t>
            </w:r>
          </w:p>
        </w:tc>
        <w:tc>
          <w:tcPr>
            <w:tcW w:w="4980" w:type="dxa"/>
            <w:vAlign w:val="bottom"/>
            <w:gridSpan w:val="3"/>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60654</w:t>
            </w:r>
          </w:p>
        </w:tc>
      </w:tr>
      <w:tr>
        <w:trPr>
          <w:trHeight w:val="142"/>
        </w:trPr>
        <w:tc>
          <w:tcPr>
            <w:tcW w:w="1940" w:type="dxa"/>
            <w:vAlign w:val="bottom"/>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jc w:val="center"/>
              <w:ind w:left="1226"/>
              <w:spacing w:after="0"/>
              <w:rPr>
                <w:sz w:val="20"/>
                <w:szCs w:val="20"/>
                <w:color w:val="auto"/>
              </w:rPr>
            </w:pPr>
            <w:r>
              <w:rPr>
                <w:rFonts w:ascii="Times New Roman" w:cs="Times New Roman" w:eastAsia="Times New Roman" w:hAnsi="Times New Roman"/>
                <w:sz w:val="11"/>
                <w:szCs w:val="11"/>
                <w:b w:val="1"/>
                <w:bCs w:val="1"/>
                <w:color w:val="auto"/>
              </w:rPr>
              <w:t>(zip code)</w:t>
            </w:r>
          </w:p>
        </w:tc>
      </w:tr>
    </w:tbl>
    <w:p>
      <w:pPr>
        <w:spacing w:after="0" w:line="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 (312) 471-6720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ind w:left="4780"/>
        <w:spacing w:after="0" w:line="229" w:lineRule="auto"/>
        <w:rPr>
          <w:sz w:val="20"/>
          <w:szCs w:val="20"/>
          <w:color w:val="auto"/>
        </w:rPr>
      </w:pPr>
      <w:r>
        <w:rPr>
          <w:rFonts w:ascii="Times New Roman" w:cs="Times New Roman" w:eastAsia="Times New Roman" w:hAnsi="Times New Roman"/>
          <w:sz w:val="14"/>
          <w:szCs w:val="14"/>
          <w:b w:val="1"/>
          <w:bCs w:val="1"/>
          <w:color w:val="auto"/>
        </w:rPr>
        <w:t>Subordinate Voting Shares</w:t>
      </w:r>
    </w:p>
    <w:p>
      <w:pPr>
        <w:ind w:left="4900"/>
        <w:spacing w:after="0" w:line="221" w:lineRule="auto"/>
        <w:rPr>
          <w:sz w:val="20"/>
          <w:szCs w:val="20"/>
          <w:color w:val="auto"/>
        </w:rPr>
      </w:pPr>
      <w:r>
        <w:rPr>
          <w:rFonts w:ascii="Times New Roman" w:cs="Times New Roman" w:eastAsia="Times New Roman" w:hAnsi="Times New Roman"/>
          <w:sz w:val="14"/>
          <w:szCs w:val="14"/>
          <w:b w:val="1"/>
          <w:bCs w:val="1"/>
          <w:color w:val="auto"/>
        </w:rPr>
        <w:t>Multiple Voting Shares</w:t>
      </w:r>
    </w:p>
    <w:p>
      <w:pPr>
        <w:ind w:left="5000"/>
        <w:spacing w:after="0" w:line="229" w:lineRule="auto"/>
        <w:rPr>
          <w:sz w:val="20"/>
          <w:szCs w:val="20"/>
          <w:color w:val="auto"/>
        </w:rPr>
      </w:pPr>
      <w:r>
        <w:rPr>
          <w:rFonts w:ascii="Times New Roman" w:cs="Times New Roman" w:eastAsia="Times New Roman" w:hAnsi="Times New Roman"/>
          <w:sz w:val="14"/>
          <w:szCs w:val="14"/>
          <w:b w:val="1"/>
          <w:bCs w:val="1"/>
          <w:color w:val="auto"/>
        </w:rPr>
        <w:t>Super Voting Shares</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1"/>
          <w:szCs w:val="11"/>
          <w:b w:val="1"/>
          <w:bCs w:val="1"/>
          <w:color w:val="auto"/>
        </w:rPr>
        <w:t>(Title of each Class)</w:t>
      </w:r>
    </w:p>
    <w:p>
      <w:pPr>
        <w:spacing w:after="0" w:line="69"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ind w:right="3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1222" w:right="439" w:bottom="1440" w:gutter="0" w:footer="0" w:header="0"/>
        </w:sectPr>
      </w:pPr>
    </w:p>
    <w:p>
      <w:pPr>
        <w:spacing w:after="0" w:line="37"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Accelerated filer</w:t>
            </w:r>
          </w:p>
        </w:tc>
      </w:tr>
      <w:tr>
        <w:trPr>
          <w:trHeight w:val="310"/>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Smaller reporting company</w:t>
            </w:r>
          </w:p>
        </w:tc>
      </w:tr>
      <w:tr>
        <w:trPr>
          <w:trHeight w:val="310"/>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spacing w:after="0"/>
              <w:rPr>
                <w:sz w:val="24"/>
                <w:szCs w:val="24"/>
                <w:color w:val="auto"/>
              </w:rPr>
            </w:pPr>
          </w:p>
        </w:tc>
      </w:tr>
    </w:tbl>
    <w:p>
      <w:pPr>
        <w:spacing w:after="0" w:line="60"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 w:lineRule="exact"/>
        <w:rPr>
          <w:sz w:val="24"/>
          <w:szCs w:val="24"/>
          <w:color w:val="auto"/>
        </w:rPr>
      </w:pPr>
    </w:p>
    <w:p>
      <w:pPr>
        <w:spacing w:after="0" w:line="161" w:lineRule="exact"/>
        <w:tabs>
          <w:tab w:leader="none" w:pos="65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6" w:lineRule="exact"/>
        <w:rPr>
          <w:sz w:val="24"/>
          <w:szCs w:val="24"/>
          <w:color w:val="auto"/>
        </w:rPr>
      </w:pPr>
    </w:p>
    <w:p>
      <w:pPr>
        <w:sectPr>
          <w:pgSz w:w="11900" w:h="16838" w:orient="portrait"/>
          <w:cols w:equalWidth="0" w:num="2">
            <w:col w:w="10680" w:space="240"/>
            <w:col w:w="220"/>
          </w:cols>
          <w:pgMar w:left="320" w:top="1222" w:right="439" w:bottom="1440" w:gutter="0" w:footer="0" w:header="0"/>
          <w:type w:val="continuous"/>
        </w:sectPr>
      </w:pPr>
    </w:p>
    <w:p>
      <w:pPr>
        <w:ind w:right="520"/>
        <w:spacing w:after="0" w:line="261" w:lineRule="auto"/>
        <w:rPr>
          <w:sz w:val="20"/>
          <w:szCs w:val="20"/>
          <w:color w:val="auto"/>
        </w:rPr>
      </w:pPr>
      <w:r>
        <w:rPr>
          <w:rFonts w:ascii="Times New Roman" w:cs="Times New Roman" w:eastAsia="Times New Roman" w:hAnsi="Times New Roman"/>
          <w:sz w:val="14"/>
          <w:szCs w:val="14"/>
          <w:color w:val="auto"/>
        </w:rPr>
        <w:t>As of November 1, 2024 there were 212,043,394 shares of the registrant’s Subordinate Voting Shares, 37,623 shares of the registrant’s Multiple Voting Shares and 206,690 shares of the registrant’s Super Voting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756920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2" w:right="43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4"/>
          <w:szCs w:val="14"/>
          <w:b w:val="1"/>
          <w:bCs w:val="1"/>
          <w:color w:val="auto"/>
        </w:rPr>
        <w:t>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539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975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518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8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5"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25"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20" w:type="dxa"/>
            <w:vAlign w:val="bottom"/>
            <w:vMerge w:val="restart"/>
          </w:tcPr>
          <w:p>
            <w:pPr>
              <w:ind w:left="418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6"/>
        </w:trPr>
        <w:tc>
          <w:tcPr>
            <w:tcW w:w="892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Unaudited Interim Condensed Consolidated Balance Sheets as of September 30, 2024 and December 31, 2023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Unaudited Interim Condensed Consolidated Statements of Operations for the three and nine months ended September 30,</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2024 and 2023</w:t>
            </w:r>
          </w:p>
        </w:tc>
        <w:tc>
          <w:tcPr>
            <w:tcW w:w="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Unaudited Interim Condensed Consolidated Statements of Changes in Shareholders’ Equity for the three and nine months</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ended September 30, 2024 and 2023</w:t>
            </w:r>
          </w:p>
        </w:tc>
        <w:tc>
          <w:tcPr>
            <w:tcW w:w="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Unaudited Interim Condensed Consolidated Statements of Cash Flows for the nine months ended September 30, 2024 and</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4"/>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Notes to Unaudited Interim Condensed Consolidated Financial Statements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7"/>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7"/>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Quantitative and Qualitative Disclosure About Market Risk</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7"/>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972"/>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Legal Proceedings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7"/>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7"/>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Mine Safety Disclosures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7"/>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8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-1175385</wp:posOffset>
            </wp:positionH>
            <wp:positionV relativeFrom="paragraph">
              <wp:posOffset>758825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320" w:space="500"/>
            <w:col w:w="9380"/>
          </w:cols>
          <w:pgMar w:left="340" w:top="98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Use of Names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this Quarterly Report on Form 10-Q, unless the context otherwise requires, the terms “we,” “us,” “our,” “Company,” “Corporation” or “Green Thumb” refer to Green Thumb Industries Inc. together with its wholly-owned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Unless otherwise indicated, all references to “$” or “US$” in this document refer to United States dollars, and all references to “C$” refer to Canadian dollars.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2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on Form 10-Q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“believe,” “plan,” “forecast,” “continue” or “could” or the negative of these terms or variations of them or similar terms or expressions of similar meaning.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U.S. federal law, and enforcement of cannabis laws could change; state regulation of cannabis is uncertain; the Company may not be able to obtain or maintain necessary permits and authorizations; the Company may be subject to heightened scrutiny by Canadian regulatory authorities; the Company may face limitations on ownership of cannabis licenses; the Company may become subject to U.S. Food and Drug Administration or the U.S. Bureau of Alcohol, Tobacco Firearms and Explosives regulation; as a cannabis business, the Company is subject to applicable anti-money laundering laws and regulations and has restricted access to banking and other financial services; the Company may face difficulties acquiring additional financing; the Company lacks access to U.S. bankruptcy protections; the Company operates in a highly regulated sector and may not always succeed in complying fully with application regulatory requirements in all jurisdictions where the Company carries business; the Company faces intense competition; the Company faces competition from the illicit market as well as actual or purported Farm Bill compliant hemp products; the Company is dependent upon the popularity and consumer acceptance of its brand portfolio; the Company has limited trademark protection; cannabis businesses are subject to unfavorable tax treatment and may incur significant tax liability; the Company is subject to proceeds of crime statutes; the Company faces exposure to fraudulent or illegal activity; the Company faces risks due to industry immaturity or limited comparable, competitive or established industry best practices; the Company faces risks related to its products; the Company’s business is subject to the risks inherent in agricultural operations; the Company may adversely be impacted by rising or volatile energy costs and availability; the Company faces risks related to its information technology systems and potential cyber-attacks and security breaches; the Company relies on third-party software providers for numerous capabilities that it depends upon to operate, and a disruption of one or more systems could adversely affect the business; the Company relies on the expertise of the Company management team and other employees experienced in the cannabis industry, and the loss of key personnel could negatively affect the Company’s business, financial condition and results of operations; the Company faces an inherent risk of product liability or similar claims; the Company’s products may be subject to product recalls; the Company may face unfavorable publicity or consumer perception; and the Company’s voting control is concentrated; the Company’s capital structure and voting control may cause unpredictability; sales of substantial amounts of Subordinate Voting Shares by our shareholders in the public market may have an adverse effect on the market price of our Subordinate Voting Shares and could affect the Company’s business and financial condition and the results of operations. These and other risks are further described in the “Risk Factors” section of the Company’s Annual Report on Form 10-K for the year ended December 31, 2023, and elsewhere in the Company’s filings with the SEC, which are available on the SEC’s website or at </w:t>
      </w:r>
      <w:r>
        <w:rPr>
          <w:rFonts w:ascii="Times New Roman" w:cs="Times New Roman" w:eastAsia="Times New Roman" w:hAnsi="Times New Roman"/>
          <w:sz w:val="18"/>
          <w:szCs w:val="18"/>
          <w:i w:val="1"/>
          <w:iCs w:val="1"/>
          <w:u w:val="single" w:color="auto"/>
          <w:color w:val="auto"/>
        </w:rPr>
        <w:t>https://investors.gtigrows.com</w:t>
      </w:r>
      <w:r>
        <w:rPr>
          <w:rFonts w:ascii="Times New Roman" w:cs="Times New Roman" w:eastAsia="Times New Roman" w:hAnsi="Times New Roman"/>
          <w:sz w:val="18"/>
          <w:szCs w:val="18"/>
          <w:i w:val="1"/>
          <w:iCs w:val="1"/>
          <w:color w:val="auto"/>
        </w:rPr>
        <w:t>.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September 30, 2024 and December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58"/>
        </w:trPr>
        <w:tc>
          <w:tcPr>
            <w:tcW w:w="8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104"/>
              <w:spacing w:after="0" w:line="158" w:lineRule="exact"/>
              <w:rPr>
                <w:sz w:val="20"/>
                <w:szCs w:val="20"/>
                <w:color w:val="auto"/>
              </w:rPr>
            </w:pPr>
            <w:r>
              <w:rPr>
                <w:rFonts w:ascii="Times New Roman" w:cs="Times New Roman" w:eastAsia="Times New Roman" w:hAnsi="Times New Roman"/>
                <w:sz w:val="14"/>
                <w:szCs w:val="14"/>
                <w:i w:val="1"/>
                <w:iCs w:val="1"/>
                <w:color w:val="auto"/>
              </w:rPr>
              <w:t>(Audited)</w:t>
            </w:r>
          </w:p>
        </w:tc>
        <w:tc>
          <w:tcPr>
            <w:tcW w:w="100" w:type="dxa"/>
            <w:vAlign w:val="bottom"/>
          </w:tcPr>
          <w:p>
            <w:pPr>
              <w:spacing w:after="0"/>
              <w:rPr>
                <w:sz w:val="13"/>
                <w:szCs w:val="13"/>
                <w:color w:val="auto"/>
              </w:rPr>
            </w:pPr>
          </w:p>
        </w:tc>
      </w:tr>
      <w:tr>
        <w:trPr>
          <w:trHeight w:val="187"/>
        </w:trPr>
        <w:tc>
          <w:tcPr>
            <w:tcW w:w="8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5"/>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83"/>
        </w:trPr>
        <w:tc>
          <w:tcPr>
            <w:tcW w:w="8200" w:type="dxa"/>
            <w:vAlign w:val="bottom"/>
            <w:shd w:val="clear" w:color="auto" w:fill="CFF0FC"/>
          </w:tcPr>
          <w:p>
            <w:pPr>
              <w:ind w:left="374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173,641</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161,634</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Accounts Receivable, Net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48,962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42,975</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Income Tax Receivable</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5,487</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Inventories, Net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138,283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112,970</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Prepaid Expenses</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18,164</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19,801</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Other Current Assets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7,337</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5,382</w:t>
            </w:r>
          </w:p>
        </w:tc>
        <w:tc>
          <w:tcPr>
            <w:tcW w:w="100" w:type="dxa"/>
            <w:vAlign w:val="bottom"/>
          </w:tcPr>
          <w:p>
            <w:pPr>
              <w:spacing w:after="0"/>
              <w:rPr>
                <w:sz w:val="16"/>
                <w:szCs w:val="16"/>
                <w:color w:val="auto"/>
              </w:rPr>
            </w:pPr>
          </w:p>
        </w:tc>
      </w:tr>
      <w:tr>
        <w:trPr>
          <w:trHeight w:val="183"/>
        </w:trPr>
        <w:tc>
          <w:tcPr>
            <w:tcW w:w="8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391,874</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342,762</w:t>
            </w:r>
          </w:p>
        </w:tc>
        <w:tc>
          <w:tcPr>
            <w:tcW w:w="100" w:type="dxa"/>
            <w:vAlign w:val="bottom"/>
            <w:shd w:val="clear" w:color="auto" w:fill="CFF0FC"/>
          </w:tcPr>
          <w:p>
            <w:pPr>
              <w:spacing w:after="0"/>
              <w:rPr>
                <w:sz w:val="15"/>
                <w:szCs w:val="15"/>
                <w:color w:val="auto"/>
              </w:rPr>
            </w:pPr>
          </w:p>
        </w:tc>
      </w:tr>
      <w:tr>
        <w:trPr>
          <w:trHeight w:val="189"/>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695,666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687,106</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Right of Use Assets, Net</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245,978</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238,369</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Investments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61,422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64,361</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Investments in Associates</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21,934</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24,942</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 Receivable</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550</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500,860</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538,678</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589,691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589,691</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Deferred Tax Assets</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1,041</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1,041</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Deposits and Other Assets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2,513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2,557</w:t>
            </w:r>
          </w:p>
        </w:tc>
        <w:tc>
          <w:tcPr>
            <w:tcW w:w="100" w:type="dxa"/>
            <w:vAlign w:val="bottom"/>
          </w:tcPr>
          <w:p>
            <w:pPr>
              <w:spacing w:after="0"/>
              <w:rPr>
                <w:sz w:val="16"/>
                <w:szCs w:val="16"/>
                <w:color w:val="auto"/>
              </w:rPr>
            </w:pPr>
          </w:p>
        </w:tc>
      </w:tr>
      <w:tr>
        <w:trPr>
          <w:trHeight w:val="222"/>
        </w:trPr>
        <w:tc>
          <w:tcPr>
            <w:tcW w:w="8200" w:type="dxa"/>
            <w:vAlign w:val="bottom"/>
            <w:tcBorders>
              <w:bottom w:val="single" w:sz="8" w:color="CFF0FC"/>
            </w:tcBorders>
            <w:shd w:val="clear" w:color="auto" w:fill="CFF0FC"/>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TOTAL ASSETS</w:t>
            </w:r>
          </w:p>
        </w:tc>
        <w:tc>
          <w:tcPr>
            <w:tcW w:w="1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2,514,872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2,490,057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70"/>
        </w:trPr>
        <w:tc>
          <w:tcPr>
            <w:tcW w:w="8200" w:type="dxa"/>
            <w:vAlign w:val="bottom"/>
          </w:tcPr>
          <w:p>
            <w:pPr>
              <w:ind w:left="2360"/>
              <w:spacing w:after="0" w:line="169" w:lineRule="exact"/>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Accounts Payable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19,848</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24,495</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Accrued Liabilities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75,584</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59,552</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Compensation Payable</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19,295</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16,005</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Current Portion of Notes Payable</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9,397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2,996</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Current Portion of Lease Liabilities</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13,329</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12,297</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Income Tax Payable</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23,216</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10,705</w:t>
            </w:r>
          </w:p>
        </w:tc>
        <w:tc>
          <w:tcPr>
            <w:tcW w:w="100" w:type="dxa"/>
            <w:vAlign w:val="bottom"/>
          </w:tcPr>
          <w:p>
            <w:pPr>
              <w:spacing w:after="0"/>
              <w:rPr>
                <w:sz w:val="16"/>
                <w:szCs w:val="16"/>
                <w:color w:val="auto"/>
              </w:rPr>
            </w:pPr>
          </w:p>
        </w:tc>
      </w:tr>
      <w:tr>
        <w:trPr>
          <w:trHeight w:val="183"/>
        </w:trPr>
        <w:tc>
          <w:tcPr>
            <w:tcW w:w="8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160,669</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126,050</w:t>
            </w:r>
          </w:p>
        </w:tc>
        <w:tc>
          <w:tcPr>
            <w:tcW w:w="100" w:type="dxa"/>
            <w:vAlign w:val="bottom"/>
            <w:shd w:val="clear" w:color="auto" w:fill="CFF0FC"/>
          </w:tcPr>
          <w:p>
            <w:pPr>
              <w:spacing w:after="0"/>
              <w:rPr>
                <w:sz w:val="15"/>
                <w:szCs w:val="15"/>
                <w:color w:val="auto"/>
              </w:rPr>
            </w:pPr>
          </w:p>
        </w:tc>
      </w:tr>
      <w:tr>
        <w:trPr>
          <w:trHeight w:val="189"/>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Liabilities: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Lease Liabilities, Net of Current Portion</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260,790</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249,464</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Notes Payable, Net of Current Portion and Debt Discount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246,182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305,527</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Contingent Consideration Payable</w:t>
            </w:r>
          </w:p>
        </w:tc>
        <w:tc>
          <w:tcPr>
            <w:tcW w:w="16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33,250</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Deferred Income Taxes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72,510</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72,510</w:t>
            </w:r>
          </w:p>
        </w:tc>
        <w:tc>
          <w:tcPr>
            <w:tcW w:w="100" w:type="dxa"/>
            <w:vAlign w:val="bottom"/>
          </w:tcPr>
          <w:p>
            <w:pPr>
              <w:spacing w:after="0"/>
              <w:rPr>
                <w:sz w:val="16"/>
                <w:szCs w:val="16"/>
                <w:color w:val="auto"/>
              </w:rPr>
            </w:pPr>
          </w:p>
        </w:tc>
      </w:tr>
      <w:tr>
        <w:trPr>
          <w:trHeight w:val="183"/>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740,151</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786,801</w:t>
            </w:r>
          </w:p>
        </w:tc>
        <w:tc>
          <w:tcPr>
            <w:tcW w:w="100" w:type="dxa"/>
            <w:vAlign w:val="bottom"/>
            <w:shd w:val="clear" w:color="auto" w:fill="CFF0FC"/>
          </w:tcPr>
          <w:p>
            <w:pPr>
              <w:spacing w:after="0"/>
              <w:rPr>
                <w:sz w:val="15"/>
                <w:szCs w:val="15"/>
                <w:color w:val="auto"/>
              </w:rPr>
            </w:pPr>
          </w:p>
        </w:tc>
      </w:tr>
      <w:tr>
        <w:trPr>
          <w:trHeight w:val="189"/>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SHAREHOLDERS' EQUITY</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58"/>
        </w:trPr>
        <w:tc>
          <w:tcPr>
            <w:tcW w:w="820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Subordinate Voting Shares (Shares Authorized, Issued and Outstanding at September 30, 2024:</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82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Unlimited, 211,718,705, and 211,718,705, respectively, at December 31, 2023:</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8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Unlimited, 209,871,792, and 209,871,792, respectively)</w:t>
            </w:r>
          </w:p>
        </w:tc>
        <w:tc>
          <w:tcPr>
            <w:tcW w:w="160" w:type="dxa"/>
            <w:vAlign w:val="bottom"/>
          </w:tcPr>
          <w:p>
            <w:pPr>
              <w:spacing w:after="0"/>
              <w:rPr>
                <w:sz w:val="16"/>
                <w:szCs w:val="16"/>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58"/>
        </w:trPr>
        <w:tc>
          <w:tcPr>
            <w:tcW w:w="820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5"/>
                <w:szCs w:val="15"/>
                <w:color w:val="auto"/>
              </w:rPr>
              <w:t>Multiple Voting Shares (Shares Authorized, Issued and Outstanding at September 30, 2024:</w:t>
            </w: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2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Unlimited, 37,683 and 37,683, respectively, at December 31, 2023:</w:t>
            </w: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93"/>
        </w:trPr>
        <w:tc>
          <w:tcPr>
            <w:tcW w:w="8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Unlimited, 38,531 and 38,531, respectively)</w:t>
            </w:r>
          </w:p>
        </w:tc>
        <w:tc>
          <w:tcPr>
            <w:tcW w:w="16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58"/>
        </w:trPr>
        <w:tc>
          <w:tcPr>
            <w:tcW w:w="820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Super Voting Shares (Shares Authorized, Issued and Outstanding at September 30, 2024:</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82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Unlimited, 206,690 and 206,690, respectively, at December 31, 2023:</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8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Unlimited, 216,690 and 216,690, respectively)</w:t>
            </w:r>
          </w:p>
        </w:tc>
        <w:tc>
          <w:tcPr>
            <w:tcW w:w="160" w:type="dxa"/>
            <w:vAlign w:val="bottom"/>
          </w:tcPr>
          <w:p>
            <w:pPr>
              <w:spacing w:after="0"/>
              <w:rPr>
                <w:sz w:val="16"/>
                <w:szCs w:val="16"/>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Share Capital</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1,748,788</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1,703,852</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Contributed (Deficit) Surplus</w:t>
            </w:r>
          </w:p>
        </w:tc>
        <w:tc>
          <w:tcPr>
            <w:tcW w:w="16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(25,520 )</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7,871</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Deferred Share Issuances</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12,973</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12,973</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Accumulated Earnings (Deficit)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38,586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(21,818 )</w:t>
            </w:r>
          </w:p>
        </w:tc>
      </w:tr>
      <w:tr>
        <w:trPr>
          <w:trHeight w:val="183"/>
        </w:trPr>
        <w:tc>
          <w:tcPr>
            <w:tcW w:w="8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Equity of Green Thumb Industries Inc.</w:t>
            </w:r>
          </w:p>
        </w:tc>
        <w:tc>
          <w:tcPr>
            <w:tcW w:w="1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1,774,827</w:t>
            </w:r>
          </w:p>
        </w:tc>
        <w:tc>
          <w:tcPr>
            <w:tcW w:w="24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1,702,878</w:t>
            </w:r>
          </w:p>
        </w:tc>
        <w:tc>
          <w:tcPr>
            <w:tcW w:w="100" w:type="dxa"/>
            <w:vAlign w:val="bottom"/>
            <w:shd w:val="clear" w:color="auto" w:fill="CFF0FC"/>
          </w:tcPr>
          <w:p>
            <w:pPr>
              <w:spacing w:after="0"/>
              <w:rPr>
                <w:sz w:val="15"/>
                <w:szCs w:val="15"/>
                <w:color w:val="auto"/>
              </w:rPr>
            </w:pPr>
          </w:p>
        </w:tc>
      </w:tr>
      <w:tr>
        <w:trPr>
          <w:trHeight w:val="189"/>
        </w:trPr>
        <w:tc>
          <w:tcPr>
            <w:tcW w:w="82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Noncontrolling interests</w:t>
            </w:r>
          </w:p>
        </w:tc>
        <w:tc>
          <w:tcPr>
            <w:tcW w:w="16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(106 )</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378</w:t>
            </w:r>
          </w:p>
        </w:tc>
        <w:tc>
          <w:tcPr>
            <w:tcW w:w="100" w:type="dxa"/>
            <w:vAlign w:val="bottom"/>
          </w:tcPr>
          <w:p>
            <w:pPr>
              <w:spacing w:after="0"/>
              <w:rPr>
                <w:sz w:val="16"/>
                <w:szCs w:val="16"/>
                <w:color w:val="auto"/>
              </w:rPr>
            </w:pPr>
          </w:p>
        </w:tc>
      </w:tr>
      <w:tr>
        <w:trPr>
          <w:trHeight w:val="183"/>
        </w:trPr>
        <w:tc>
          <w:tcPr>
            <w:tcW w:w="8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1,774,721</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1,703,256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8200" w:type="dxa"/>
            <w:vAlign w:val="bottom"/>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TOTAL LIABILITIES AND SHAREHOLDERS' EQUITY</w:t>
            </w:r>
          </w:p>
        </w:tc>
        <w:tc>
          <w:tcPr>
            <w:tcW w:w="1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2,514,872</w:t>
            </w:r>
          </w:p>
        </w:tc>
        <w:tc>
          <w:tcPr>
            <w:tcW w:w="240" w:type="dxa"/>
            <w:vAlign w:val="bottom"/>
          </w:tcPr>
          <w:p>
            <w:pPr>
              <w:spacing w:after="0"/>
              <w:rPr>
                <w:sz w:val="15"/>
                <w:szCs w:val="15"/>
                <w:color w:val="auto"/>
              </w:rPr>
            </w:pPr>
          </w:p>
        </w:tc>
        <w:tc>
          <w:tcPr>
            <w:tcW w:w="180" w:type="dxa"/>
            <w:vAlign w:val="bottom"/>
            <w:tcBorders>
              <w:bottom w:val="single" w:sz="8" w:color="auto"/>
            </w:tcBorders>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2,490,057</w:t>
            </w:r>
          </w:p>
        </w:tc>
        <w:tc>
          <w:tcPr>
            <w:tcW w:w="100" w:type="dxa"/>
            <w:vAlign w:val="bottom"/>
          </w:tcPr>
          <w:p>
            <w:pPr>
              <w:spacing w:after="0"/>
              <w:rPr>
                <w:sz w:val="15"/>
                <w:szCs w:val="15"/>
                <w:color w:val="auto"/>
              </w:rPr>
            </w:pPr>
          </w:p>
        </w:tc>
      </w:tr>
      <w:tr>
        <w:trPr>
          <w:trHeight w:val="20"/>
        </w:trPr>
        <w:tc>
          <w:tcPr>
            <w:tcW w:w="8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-4191000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-4173855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-4173855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-153670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tbl>
      <w:tblPr>
        <w:tblLayout w:type="fixed"/>
        <w:tblInd w:w="120" w:type="dxa"/>
        <w:tblCellMar>
          <w:top w:w="0" w:type="dxa"/>
          <w:left w:w="0" w:type="dxa"/>
          <w:bottom w:w="0" w:type="dxa"/>
          <w:right w:w="0" w:type="dxa"/>
        </w:tblCellMar>
      </w:tblPr>
      <w:tr>
        <w:trPr>
          <w:trHeight w:val="245"/>
        </w:trPr>
        <w:tc>
          <w:tcPr>
            <w:tcW w:w="4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300" w:type="dxa"/>
            <w:vAlign w:val="bottom"/>
          </w:tcPr>
          <w:p>
            <w:pPr>
              <w:spacing w:after="0"/>
              <w:rPr>
                <w:sz w:val="21"/>
                <w:szCs w:val="21"/>
                <w:color w:val="auto"/>
              </w:rPr>
            </w:pPr>
          </w:p>
        </w:tc>
        <w:tc>
          <w:tcPr>
            <w:tcW w:w="32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41"/>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tcBorders>
              <w:bottom w:val="single" w:sz="8" w:color="auto"/>
            </w:tcBorders>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286,865</w:t>
            </w:r>
          </w:p>
        </w:tc>
        <w:tc>
          <w:tcPr>
            <w:tcW w:w="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275,398</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842,818</w:t>
            </w: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776,322</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(139,274)</w:t>
            </w:r>
          </w:p>
        </w:tc>
        <w:tc>
          <w:tcPr>
            <w:tcW w:w="1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(141,592)</w:t>
            </w:r>
          </w:p>
        </w:tc>
        <w:tc>
          <w:tcPr>
            <w:tcW w:w="30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(399,778)</w:t>
            </w:r>
          </w:p>
        </w:tc>
        <w:tc>
          <w:tcPr>
            <w:tcW w:w="1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(392,515)</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147,591</w:t>
            </w:r>
          </w:p>
        </w:tc>
        <w:tc>
          <w:tcPr>
            <w:tcW w:w="1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133,806</w:t>
            </w:r>
          </w:p>
        </w:tc>
        <w:tc>
          <w:tcPr>
            <w:tcW w:w="30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443,040</w:t>
            </w:r>
          </w:p>
        </w:tc>
        <w:tc>
          <w:tcPr>
            <w:tcW w:w="1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383,807</w:t>
            </w:r>
          </w:p>
        </w:tc>
        <w:tc>
          <w:tcPr>
            <w:tcW w:w="0" w:type="dxa"/>
            <w:vAlign w:val="bottom"/>
          </w:tcPr>
          <w:p>
            <w:pPr>
              <w:spacing w:after="0"/>
              <w:rPr>
                <w:sz w:val="1"/>
                <w:szCs w:val="1"/>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CFF0FC"/>
            </w:tcBorders>
            <w:shd w:val="clear" w:color="auto" w:fill="CFF0FC"/>
          </w:tcPr>
          <w:p>
            <w:pPr>
              <w:spacing w:after="0"/>
              <w:rPr>
                <w:sz w:val="23"/>
                <w:szCs w:val="23"/>
                <w:color w:val="auto"/>
              </w:rPr>
            </w:pP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104,967</w:t>
            </w:r>
          </w:p>
        </w:tc>
        <w:tc>
          <w:tcPr>
            <w:tcW w:w="18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84,779</w:t>
            </w:r>
          </w:p>
        </w:tc>
        <w:tc>
          <w:tcPr>
            <w:tcW w:w="300" w:type="dxa"/>
            <w:vAlign w:val="bottom"/>
            <w:tcBorders>
              <w:bottom w:val="single" w:sz="8" w:color="CFF0FC"/>
            </w:tcBorders>
            <w:shd w:val="clear" w:color="auto" w:fill="CFF0FC"/>
          </w:tcPr>
          <w:p>
            <w:pPr>
              <w:spacing w:after="0"/>
              <w:rPr>
                <w:sz w:val="23"/>
                <w:szCs w:val="23"/>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275,725</w:t>
            </w:r>
          </w:p>
        </w:tc>
        <w:tc>
          <w:tcPr>
            <w:tcW w:w="16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249,515</w:t>
            </w:r>
          </w:p>
        </w:tc>
        <w:tc>
          <w:tcPr>
            <w:tcW w:w="0" w:type="dxa"/>
            <w:vAlign w:val="bottom"/>
          </w:tcPr>
          <w:p>
            <w:pPr>
              <w:spacing w:after="0"/>
              <w:rPr>
                <w:sz w:val="1"/>
                <w:szCs w:val="1"/>
                <w:color w:val="auto"/>
              </w:rPr>
            </w:pPr>
          </w:p>
        </w:tc>
      </w:tr>
      <w:tr>
        <w:trPr>
          <w:trHeight w:val="230"/>
        </w:trPr>
        <w:tc>
          <w:tcPr>
            <w:tcW w:w="40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60" w:type="dxa"/>
            <w:vAlign w:val="bottom"/>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104,967</w:t>
            </w:r>
          </w:p>
        </w:tc>
        <w:tc>
          <w:tcPr>
            <w:tcW w:w="180" w:type="dxa"/>
            <w:vAlign w:val="bottom"/>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84,779</w:t>
            </w:r>
          </w:p>
        </w:tc>
        <w:tc>
          <w:tcPr>
            <w:tcW w:w="300" w:type="dxa"/>
            <w:vAlign w:val="bottom"/>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275,725</w:t>
            </w: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249,515</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6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42,624</w:t>
            </w:r>
          </w:p>
        </w:tc>
        <w:tc>
          <w:tcPr>
            <w:tcW w:w="1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49,027</w:t>
            </w:r>
          </w:p>
        </w:tc>
        <w:tc>
          <w:tcPr>
            <w:tcW w:w="30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167,315</w:t>
            </w:r>
          </w:p>
        </w:tc>
        <w:tc>
          <w:tcPr>
            <w:tcW w:w="1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134,292</w:t>
            </w:r>
          </w:p>
        </w:tc>
        <w:tc>
          <w:tcPr>
            <w:tcW w:w="0" w:type="dxa"/>
            <w:vAlign w:val="bottom"/>
          </w:tcPr>
          <w:p>
            <w:pPr>
              <w:spacing w:after="0"/>
              <w:rPr>
                <w:sz w:val="1"/>
                <w:szCs w:val="1"/>
                <w:color w:val="auto"/>
              </w:rPr>
            </w:pPr>
          </w:p>
        </w:tc>
      </w:tr>
      <w:tr>
        <w:trPr>
          <w:trHeight w:val="232"/>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30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9"/>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3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0" w:type="dxa"/>
            <w:vAlign w:val="bottom"/>
          </w:tcPr>
          <w:p>
            <w:pPr>
              <w:spacing w:after="0"/>
              <w:rPr>
                <w:sz w:val="1"/>
                <w:szCs w:val="1"/>
                <w:color w:val="auto"/>
              </w:rPr>
            </w:pPr>
          </w:p>
        </w:tc>
      </w:tr>
      <w:tr>
        <w:trPr>
          <w:trHeight w:val="247"/>
        </w:trPr>
        <w:tc>
          <w:tcPr>
            <w:tcW w:w="4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3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(18,791)</w:t>
            </w:r>
          </w:p>
        </w:tc>
        <w:tc>
          <w:tcPr>
            <w:tcW w:w="1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(11,324)</w:t>
            </w:r>
          </w:p>
        </w:tc>
        <w:tc>
          <w:tcPr>
            <w:tcW w:w="0" w:type="dxa"/>
            <w:vAlign w:val="bottom"/>
          </w:tcPr>
          <w:p>
            <w:pPr>
              <w:spacing w:after="0"/>
              <w:rPr>
                <w:sz w:val="1"/>
                <w:szCs w:val="1"/>
                <w:color w:val="auto"/>
              </w:rPr>
            </w:pPr>
          </w:p>
        </w:tc>
      </w:tr>
      <w:tr>
        <w:trPr>
          <w:trHeight w:val="237"/>
        </w:trPr>
        <w:tc>
          <w:tcPr>
            <w:tcW w:w="40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16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30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(11,298)</w:t>
            </w: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0" w:type="dxa"/>
            <w:vAlign w:val="bottom"/>
          </w:tcPr>
          <w:p>
            <w:pPr>
              <w:spacing w:after="0"/>
              <w:rPr>
                <w:sz w:val="1"/>
                <w:szCs w:val="1"/>
                <w:color w:val="auto"/>
              </w:rPr>
            </w:pPr>
          </w:p>
        </w:tc>
      </w:tr>
      <w:tr>
        <w:trPr>
          <w:trHeight w:val="201"/>
        </w:trPr>
        <w:tc>
          <w:tcPr>
            <w:tcW w:w="4080" w:type="dxa"/>
            <w:vAlign w:val="bottom"/>
            <w:shd w:val="clear" w:color="auto" w:fill="CFF0FC"/>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Income Before Provision for Income Taxes And</w:t>
            </w:r>
          </w:p>
        </w:tc>
        <w:tc>
          <w:tcPr>
            <w:tcW w:w="1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w:t>
            </w:r>
          </w:p>
        </w:tc>
        <w:tc>
          <w:tcPr>
            <w:tcW w:w="16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39,703</w:t>
            </w: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45,333</w:t>
            </w:r>
          </w:p>
        </w:tc>
        <w:tc>
          <w:tcPr>
            <w:tcW w:w="30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156,017</w:t>
            </w:r>
          </w:p>
        </w:tc>
        <w:tc>
          <w:tcPr>
            <w:tcW w:w="1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127,829</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60" w:type="dxa"/>
            <w:vAlign w:val="bottom"/>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30,922</w:t>
            </w:r>
          </w:p>
        </w:tc>
        <w:tc>
          <w:tcPr>
            <w:tcW w:w="1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34,526</w:t>
            </w:r>
          </w:p>
        </w:tc>
        <w:tc>
          <w:tcPr>
            <w:tcW w:w="30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94,970</w:t>
            </w:r>
          </w:p>
        </w:tc>
        <w:tc>
          <w:tcPr>
            <w:tcW w:w="1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93,927</w:t>
            </w:r>
          </w:p>
        </w:tc>
        <w:tc>
          <w:tcPr>
            <w:tcW w:w="0" w:type="dxa"/>
            <w:vAlign w:val="bottom"/>
          </w:tcPr>
          <w:p>
            <w:pPr>
              <w:spacing w:after="0"/>
              <w:rPr>
                <w:sz w:val="1"/>
                <w:szCs w:val="1"/>
                <w:color w:val="auto"/>
              </w:rPr>
            </w:pPr>
          </w:p>
        </w:tc>
      </w:tr>
      <w:tr>
        <w:trPr>
          <w:trHeight w:val="23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Non-Controlling Interest</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1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10,807</w:t>
            </w:r>
          </w:p>
        </w:tc>
        <w:tc>
          <w:tcPr>
            <w:tcW w:w="30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61,047</w:t>
            </w:r>
          </w:p>
        </w:tc>
        <w:tc>
          <w:tcPr>
            <w:tcW w:w="1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33,902</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Net Income Attributable to Non-Controlling Interest</w:t>
            </w:r>
          </w:p>
        </w:tc>
        <w:tc>
          <w:tcPr>
            <w:tcW w:w="160" w:type="dxa"/>
            <w:vAlign w:val="bottom"/>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30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01"/>
        </w:trPr>
        <w:tc>
          <w:tcPr>
            <w:tcW w:w="4080" w:type="dxa"/>
            <w:vAlign w:val="bottom"/>
            <w:shd w:val="clear" w:color="auto" w:fill="CFF0FC"/>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Net Income Attributable To Green Thumb</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1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10,512</w:t>
            </w:r>
          </w:p>
        </w:tc>
        <w:tc>
          <w:tcPr>
            <w:tcW w:w="300" w:type="dxa"/>
            <w:vAlign w:val="bottom"/>
            <w:shd w:val="clear" w:color="auto" w:fill="CFF0FC"/>
          </w:tcPr>
          <w:p>
            <w:pPr>
              <w:spacing w:after="0"/>
              <w:rPr>
                <w:sz w:val="17"/>
                <w:szCs w:val="17"/>
                <w:color w:val="auto"/>
              </w:rPr>
            </w:pPr>
          </w:p>
        </w:tc>
        <w:tc>
          <w:tcPr>
            <w:tcW w:w="1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60,404</w:t>
            </w:r>
          </w:p>
        </w:tc>
        <w:tc>
          <w:tcPr>
            <w:tcW w:w="1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33,051</w:t>
            </w:r>
          </w:p>
        </w:tc>
        <w:tc>
          <w:tcPr>
            <w:tcW w:w="0" w:type="dxa"/>
            <w:vAlign w:val="bottom"/>
          </w:tcPr>
          <w:p>
            <w:pPr>
              <w:spacing w:after="0"/>
              <w:rPr>
                <w:sz w:val="1"/>
                <w:szCs w:val="1"/>
                <w:color w:val="auto"/>
              </w:rPr>
            </w:pPr>
          </w:p>
        </w:tc>
      </w:tr>
      <w:tr>
        <w:trPr>
          <w:trHeight w:val="130"/>
        </w:trPr>
        <w:tc>
          <w:tcPr>
            <w:tcW w:w="40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Industries Inc.</w:t>
            </w:r>
          </w:p>
        </w:tc>
        <w:tc>
          <w:tcPr>
            <w:tcW w:w="160" w:type="dxa"/>
            <w:vAlign w:val="bottom"/>
            <w:vMerge w:val="continue"/>
            <w:shd w:val="clear" w:color="auto" w:fill="CFF0FC"/>
          </w:tcPr>
          <w:p>
            <w:pPr>
              <w:spacing w:after="0"/>
              <w:rPr>
                <w:sz w:val="11"/>
                <w:szCs w:val="11"/>
                <w:color w:val="auto"/>
              </w:rPr>
            </w:pPr>
          </w:p>
        </w:tc>
        <w:tc>
          <w:tcPr>
            <w:tcW w:w="1540" w:type="dxa"/>
            <w:vAlign w:val="bottom"/>
            <w:vMerge w:val="continue"/>
            <w:shd w:val="clear" w:color="auto" w:fill="CFF0FC"/>
          </w:tcPr>
          <w:p>
            <w:pPr>
              <w:spacing w:after="0"/>
              <w:rPr>
                <w:sz w:val="11"/>
                <w:szCs w:val="11"/>
                <w:color w:val="auto"/>
              </w:rPr>
            </w:pPr>
          </w:p>
        </w:tc>
        <w:tc>
          <w:tcPr>
            <w:tcW w:w="180" w:type="dxa"/>
            <w:vAlign w:val="bottom"/>
            <w:vMerge w:val="continue"/>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20" w:type="dxa"/>
            <w:vAlign w:val="bottom"/>
            <w:vMerge w:val="continue"/>
            <w:shd w:val="clear" w:color="auto" w:fill="CFF0FC"/>
          </w:tcPr>
          <w:p>
            <w:pPr>
              <w:spacing w:after="0"/>
              <w:rPr>
                <w:sz w:val="11"/>
                <w:szCs w:val="11"/>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vMerge w:val="continue"/>
            <w:shd w:val="clear" w:color="auto" w:fill="CFF0FC"/>
          </w:tcPr>
          <w:p>
            <w:pPr>
              <w:spacing w:after="0"/>
              <w:rPr>
                <w:sz w:val="11"/>
                <w:szCs w:val="11"/>
                <w:color w:val="auto"/>
              </w:rPr>
            </w:pPr>
          </w:p>
        </w:tc>
        <w:tc>
          <w:tcPr>
            <w:tcW w:w="160" w:type="dxa"/>
            <w:vAlign w:val="bottom"/>
            <w:vMerge w:val="continue"/>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2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80" w:type="dxa"/>
            <w:vAlign w:val="bottom"/>
            <w:tcBorders>
              <w:bottom w:val="single" w:sz="8" w:color="CFF0FC"/>
            </w:tcBorders>
            <w:vMerge w:val="continue"/>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1540" w:type="dxa"/>
            <w:vAlign w:val="bottom"/>
            <w:tcBorders>
              <w:bottom w:val="single" w:sz="8" w:color="auto"/>
            </w:tcBorders>
            <w:vMerge w:val="continue"/>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spacing w:after="0"/>
              <w:rPr>
                <w:sz w:val="10"/>
                <w:szCs w:val="10"/>
                <w:color w:val="auto"/>
              </w:rPr>
            </w:pPr>
          </w:p>
        </w:tc>
        <w:tc>
          <w:tcPr>
            <w:tcW w:w="1020" w:type="dxa"/>
            <w:vAlign w:val="bottom"/>
            <w:tcBorders>
              <w:bottom w:val="single" w:sz="8" w:color="auto"/>
            </w:tcBorders>
            <w:vMerge w:val="continue"/>
            <w:shd w:val="clear" w:color="auto" w:fill="CFF0FC"/>
          </w:tcPr>
          <w:p>
            <w:pPr>
              <w:spacing w:after="0"/>
              <w:rPr>
                <w:sz w:val="10"/>
                <w:szCs w:val="10"/>
                <w:color w:val="auto"/>
              </w:rPr>
            </w:pPr>
          </w:p>
        </w:tc>
        <w:tc>
          <w:tcPr>
            <w:tcW w:w="300" w:type="dxa"/>
            <w:vAlign w:val="bottom"/>
            <w:tcBorders>
              <w:bottom w:val="single" w:sz="8" w:color="CFF0FC"/>
            </w:tcBorders>
            <w:vMerge w:val="continue"/>
            <w:shd w:val="clear" w:color="auto" w:fill="CFF0FC"/>
          </w:tcPr>
          <w:p>
            <w:pPr>
              <w:spacing w:after="0"/>
              <w:rPr>
                <w:sz w:val="10"/>
                <w:szCs w:val="10"/>
                <w:color w:val="auto"/>
              </w:rPr>
            </w:pPr>
          </w:p>
        </w:tc>
        <w:tc>
          <w:tcPr>
            <w:tcW w:w="1520" w:type="dxa"/>
            <w:vAlign w:val="bottom"/>
            <w:tcBorders>
              <w:bottom w:val="single" w:sz="8" w:color="auto"/>
            </w:tcBorders>
            <w:vMerge w:val="continue"/>
            <w:shd w:val="clear" w:color="auto" w:fill="CFF0FC"/>
          </w:tcPr>
          <w:p>
            <w:pPr>
              <w:spacing w:after="0"/>
              <w:rPr>
                <w:sz w:val="10"/>
                <w:szCs w:val="10"/>
                <w:color w:val="auto"/>
              </w:rPr>
            </w:pPr>
          </w:p>
        </w:tc>
        <w:tc>
          <w:tcPr>
            <w:tcW w:w="160" w:type="dxa"/>
            <w:vAlign w:val="bottom"/>
            <w:tcBorders>
              <w:bottom w:val="single" w:sz="8" w:color="CFF0FC"/>
            </w:tcBorders>
            <w:vMerge w:val="continue"/>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spacing w:after="0"/>
              <w:rPr>
                <w:sz w:val="10"/>
                <w:szCs w:val="10"/>
                <w:color w:val="auto"/>
              </w:rPr>
            </w:pPr>
          </w:p>
        </w:tc>
        <w:tc>
          <w:tcPr>
            <w:tcW w:w="1020" w:type="dxa"/>
            <w:vAlign w:val="bottom"/>
            <w:tcBorders>
              <w:bottom w:val="single" w:sz="8" w:color="auto"/>
            </w:tcBorders>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 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 Diluted</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188"/>
        </w:trPr>
        <w:tc>
          <w:tcPr>
            <w:tcW w:w="40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 Number of Shares Outstanding -</w:t>
            </w:r>
          </w:p>
        </w:tc>
        <w:tc>
          <w:tcPr>
            <w:tcW w:w="160" w:type="dxa"/>
            <w:vAlign w:val="bottom"/>
          </w:tcPr>
          <w:p>
            <w:pPr>
              <w:spacing w:after="0"/>
              <w:rPr>
                <w:sz w:val="16"/>
                <w:szCs w:val="16"/>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236,303,348</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239,459,783</w:t>
            </w:r>
          </w:p>
        </w:tc>
        <w:tc>
          <w:tcPr>
            <w:tcW w:w="30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236,821,181</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238,248,852</w:t>
            </w:r>
          </w:p>
        </w:tc>
        <w:tc>
          <w:tcPr>
            <w:tcW w:w="0" w:type="dxa"/>
            <w:vAlign w:val="bottom"/>
          </w:tcPr>
          <w:p>
            <w:pPr>
              <w:spacing w:after="0"/>
              <w:rPr>
                <w:sz w:val="1"/>
                <w:szCs w:val="1"/>
                <w:color w:val="auto"/>
              </w:rPr>
            </w:pPr>
          </w:p>
        </w:tc>
      </w:tr>
      <w:tr>
        <w:trPr>
          <w:trHeight w:val="211"/>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60" w:type="dxa"/>
            <w:vAlign w:val="bottom"/>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8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 Number of Shares Outstanding -</w:t>
            </w:r>
          </w:p>
        </w:tc>
        <w:tc>
          <w:tcPr>
            <w:tcW w:w="160" w:type="dxa"/>
            <w:vAlign w:val="bottom"/>
            <w:shd w:val="clear" w:color="auto" w:fill="CFF0FC"/>
          </w:tcPr>
          <w:p>
            <w:pPr>
              <w:spacing w:after="0"/>
              <w:rPr>
                <w:sz w:val="16"/>
                <w:szCs w:val="16"/>
                <w:color w:val="auto"/>
              </w:rPr>
            </w:pPr>
          </w:p>
        </w:tc>
        <w:tc>
          <w:tcPr>
            <w:tcW w:w="1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238,295,887</w:t>
            </w: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240,289,959</w:t>
            </w:r>
          </w:p>
        </w:tc>
        <w:tc>
          <w:tcPr>
            <w:tcW w:w="300" w:type="dxa"/>
            <w:vAlign w:val="bottom"/>
            <w:shd w:val="clear" w:color="auto" w:fill="CFF0FC"/>
          </w:tcPr>
          <w:p>
            <w:pPr>
              <w:spacing w:after="0"/>
              <w:rPr>
                <w:sz w:val="16"/>
                <w:szCs w:val="16"/>
                <w:color w:val="auto"/>
              </w:rPr>
            </w:pPr>
          </w:p>
        </w:tc>
        <w:tc>
          <w:tcPr>
            <w:tcW w:w="1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239,934,521</w:t>
            </w: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239,827,112</w:t>
            </w:r>
          </w:p>
        </w:tc>
        <w:tc>
          <w:tcPr>
            <w:tcW w:w="0" w:type="dxa"/>
            <w:vAlign w:val="bottom"/>
          </w:tcPr>
          <w:p>
            <w:pPr>
              <w:spacing w:after="0"/>
              <w:rPr>
                <w:sz w:val="1"/>
                <w:szCs w:val="1"/>
                <w:color w:val="auto"/>
              </w:rPr>
            </w:pPr>
          </w:p>
        </w:tc>
      </w:tr>
      <w:tr>
        <w:trPr>
          <w:trHeight w:val="251"/>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6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vMerge w:val="continue"/>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-3453765</wp:posOffset>
            </wp:positionV>
            <wp:extent cx="1111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-3453765</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-3453765</wp:posOffset>
            </wp:positionV>
            <wp:extent cx="1028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-3140710</wp:posOffset>
            </wp:positionV>
            <wp:extent cx="136525" cy="196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6525" cy="196850"/>
                    </a:xfrm>
                    <a:prstGeom prst="rect">
                      <a:avLst/>
                    </a:prstGeom>
                    <a:noFill/>
                  </pic:spPr>
                </pic:pic>
              </a:graphicData>
            </a:graphic>
          </wp:anchor>
        </w:drawing>
        <w:drawing>
          <wp:anchor simplePos="0" relativeHeight="251657728" behindDoc="1" locked="0" layoutInCell="0" allowOverlap="1">
            <wp:simplePos x="0" y="0"/>
            <wp:positionH relativeFrom="column">
              <wp:posOffset>4827270</wp:posOffset>
            </wp:positionH>
            <wp:positionV relativeFrom="paragraph">
              <wp:posOffset>-3140710</wp:posOffset>
            </wp:positionV>
            <wp:extent cx="111125" cy="196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196850"/>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-3140710</wp:posOffset>
            </wp:positionV>
            <wp:extent cx="128270" cy="196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270" cy="19685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-2802890</wp:posOffset>
            </wp:positionV>
            <wp:extent cx="1111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-2802890</wp:posOffset>
            </wp:positionV>
            <wp:extent cx="857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-2802890</wp:posOffset>
            </wp:positionV>
            <wp:extent cx="1028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-2176780</wp:posOffset>
            </wp:positionV>
            <wp:extent cx="1111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-2176780</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-2176780</wp:posOffset>
            </wp:positionV>
            <wp:extent cx="102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-967740</wp:posOffset>
            </wp:positionV>
            <wp:extent cx="1111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-950595</wp:posOffset>
            </wp:positionV>
            <wp:extent cx="1111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-967740</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-950595</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-967740</wp:posOffset>
            </wp:positionV>
            <wp:extent cx="1028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-950595</wp:posOffset>
            </wp:positionV>
            <wp:extent cx="1028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-607695</wp:posOffset>
            </wp:positionV>
            <wp:extent cx="111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-591185</wp:posOffset>
            </wp:positionV>
            <wp:extent cx="1111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-607695</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-591185</wp:posOffset>
            </wp:positionV>
            <wp:extent cx="857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-607695</wp:posOffset>
            </wp:positionV>
            <wp:extent cx="1028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-591185</wp:posOffset>
            </wp:positionV>
            <wp:extent cx="1028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1111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-8255</wp:posOffset>
            </wp:positionV>
            <wp:extent cx="1111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-8255</wp:posOffset>
            </wp:positionV>
            <wp:extent cx="85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1028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1028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3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Changes in Shareholders’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4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Contributed</w:t>
            </w:r>
          </w:p>
        </w:tc>
        <w:tc>
          <w:tcPr>
            <w:tcW w:w="16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6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Non-</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160" w:type="dxa"/>
            <w:vAlign w:val="bottom"/>
          </w:tcPr>
          <w:p>
            <w:pPr>
              <w:spacing w:after="0"/>
              <w:rPr>
                <w:sz w:val="8"/>
                <w:szCs w:val="8"/>
                <w:color w:val="auto"/>
              </w:rPr>
            </w:pPr>
          </w:p>
        </w:tc>
        <w:tc>
          <w:tcPr>
            <w:tcW w:w="11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60" w:type="dxa"/>
            <w:vAlign w:val="bottom"/>
          </w:tcPr>
          <w:p>
            <w:pPr>
              <w:spacing w:after="0"/>
              <w:rPr>
                <w:sz w:val="8"/>
                <w:szCs w:val="8"/>
                <w:color w:val="auto"/>
              </w:rPr>
            </w:pPr>
          </w:p>
        </w:tc>
        <w:tc>
          <w:tcPr>
            <w:tcW w:w="12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60" w:type="dxa"/>
            <w:vAlign w:val="bottom"/>
          </w:tcPr>
          <w:p>
            <w:pPr>
              <w:spacing w:after="0"/>
              <w:rPr>
                <w:sz w:val="8"/>
                <w:szCs w:val="8"/>
                <w:color w:val="auto"/>
              </w:rPr>
            </w:pPr>
          </w:p>
        </w:tc>
        <w:tc>
          <w:tcPr>
            <w:tcW w:w="11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40" w:type="dxa"/>
            <w:vAlign w:val="bottom"/>
            <w:vMerge w:val="restart"/>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5"/>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July 1, 2023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1,693,429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34,421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12,973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(35,546 ) $</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1,705,816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 of contingent consideration</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6,454</w:t>
            </w:r>
          </w:p>
        </w:tc>
        <w:tc>
          <w:tcPr>
            <w:tcW w:w="2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options, RSUs</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(694 )</w:t>
            </w: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(270 )</w:t>
            </w: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(270 )</w:t>
            </w:r>
          </w:p>
        </w:tc>
        <w:tc>
          <w:tcPr>
            <w:tcW w:w="0" w:type="dxa"/>
            <w:vAlign w:val="bottom"/>
          </w:tcPr>
          <w:p>
            <w:pPr>
              <w:spacing w:after="0"/>
              <w:rPr>
                <w:sz w:val="1"/>
                <w:szCs w:val="1"/>
                <w:color w:val="auto"/>
              </w:rPr>
            </w:pPr>
          </w:p>
        </w:tc>
      </w:tr>
      <w:tr>
        <w:trPr>
          <w:trHeight w:val="22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Subordinate Voting Shares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(24,890 )</w:t>
            </w:r>
          </w:p>
        </w:tc>
        <w:tc>
          <w:tcPr>
            <w:tcW w:w="1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(24,890 )</w:t>
            </w:r>
          </w:p>
        </w:tc>
        <w:tc>
          <w:tcPr>
            <w:tcW w:w="0" w:type="dxa"/>
            <w:vAlign w:val="bottom"/>
          </w:tcPr>
          <w:p>
            <w:pPr>
              <w:spacing w:after="0"/>
              <w:rPr>
                <w:sz w:val="1"/>
                <w:szCs w:val="1"/>
                <w:color w:val="auto"/>
              </w:rPr>
            </w:pPr>
          </w:p>
        </w:tc>
      </w:tr>
      <w:tr>
        <w:trPr>
          <w:trHeight w:val="233"/>
        </w:trPr>
        <w:tc>
          <w:tcPr>
            <w:tcW w:w="3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10,512</w:t>
            </w:r>
          </w:p>
        </w:tc>
        <w:tc>
          <w:tcPr>
            <w:tcW w:w="2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10,807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1,702,344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(25,034 )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January 1, 2023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1,663,557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23,233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36,211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(58,085 ) $</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1,665,432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deferred shares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20,454</w:t>
            </w:r>
          </w:p>
        </w:tc>
        <w:tc>
          <w:tcPr>
            <w:tcW w:w="2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(20,454 )</w:t>
            </w:r>
          </w:p>
        </w:tc>
        <w:tc>
          <w:tcPr>
            <w:tcW w:w="16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Distribution of contingent consideration</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12,524</w:t>
            </w: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Indemnification of deferred shares associated</w:t>
            </w:r>
          </w:p>
        </w:tc>
        <w:tc>
          <w:tcPr>
            <w:tcW w:w="18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(2,784 )</w:t>
            </w:r>
          </w:p>
        </w:tc>
        <w:tc>
          <w:tcPr>
            <w:tcW w:w="160" w:type="dxa"/>
            <w:vAlign w:val="bottom"/>
          </w:tcPr>
          <w:p>
            <w:pPr>
              <w:spacing w:after="0"/>
              <w:rPr>
                <w:sz w:val="17"/>
                <w:szCs w:val="17"/>
                <w:color w:val="auto"/>
              </w:rPr>
            </w:pPr>
          </w:p>
        </w:tc>
        <w:tc>
          <w:tcPr>
            <w:tcW w:w="12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(2,784 )</w:t>
            </w:r>
          </w:p>
        </w:tc>
        <w:tc>
          <w:tcPr>
            <w:tcW w:w="0" w:type="dxa"/>
            <w:vAlign w:val="bottom"/>
          </w:tcPr>
          <w:p>
            <w:pPr>
              <w:spacing w:after="0"/>
              <w:rPr>
                <w:sz w:val="1"/>
                <w:szCs w:val="1"/>
                <w:color w:val="auto"/>
              </w:rPr>
            </w:pPr>
          </w:p>
        </w:tc>
      </w:tr>
      <w:tr>
        <w:trPr>
          <w:trHeight w:val="102"/>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with post acquisition costs</w:t>
            </w:r>
          </w:p>
        </w:tc>
        <w:tc>
          <w:tcPr>
            <w:tcW w:w="18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2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options and RSUs</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5,809</w:t>
            </w: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(3,126 )</w:t>
            </w: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(803 )</w:t>
            </w: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(803 )</w:t>
            </w:r>
          </w:p>
        </w:tc>
        <w:tc>
          <w:tcPr>
            <w:tcW w:w="0" w:type="dxa"/>
            <w:vAlign w:val="bottom"/>
          </w:tcPr>
          <w:p>
            <w:pPr>
              <w:spacing w:after="0"/>
              <w:rPr>
                <w:sz w:val="1"/>
                <w:szCs w:val="1"/>
                <w:color w:val="auto"/>
              </w:rPr>
            </w:pPr>
          </w:p>
        </w:tc>
      </w:tr>
      <w:tr>
        <w:trPr>
          <w:trHeight w:val="22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Subordinate Voting Shares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(24,890 )</w:t>
            </w:r>
          </w:p>
        </w:tc>
        <w:tc>
          <w:tcPr>
            <w:tcW w:w="1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(24,890 )</w:t>
            </w:r>
          </w:p>
        </w:tc>
        <w:tc>
          <w:tcPr>
            <w:tcW w:w="0" w:type="dxa"/>
            <w:vAlign w:val="bottom"/>
          </w:tcPr>
          <w:p>
            <w:pPr>
              <w:spacing w:after="0"/>
              <w:rPr>
                <w:sz w:val="1"/>
                <w:szCs w:val="1"/>
                <w:color w:val="auto"/>
              </w:rPr>
            </w:pPr>
          </w:p>
        </w:tc>
      </w:tr>
      <w:tr>
        <w:trPr>
          <w:trHeight w:val="233"/>
        </w:trPr>
        <w:tc>
          <w:tcPr>
            <w:tcW w:w="3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33,051</w:t>
            </w:r>
          </w:p>
        </w:tc>
        <w:tc>
          <w:tcPr>
            <w:tcW w:w="2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33,902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1,702,344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(25,034 )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-1799590</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-1799590</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-1799590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-1799590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-1799590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-179070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-179070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-179070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-179070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-179070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2066290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Changes in Shareholders’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Contributed</w:t>
            </w:r>
          </w:p>
        </w:tc>
        <w:tc>
          <w:tcPr>
            <w:tcW w:w="220" w:type="dxa"/>
            <w:vAlign w:val="bottom"/>
          </w:tcPr>
          <w:p>
            <w:pPr>
              <w:spacing w:after="0"/>
              <w:rPr>
                <w:sz w:val="17"/>
                <w:szCs w:val="17"/>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2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Non-</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3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220" w:type="dxa"/>
            <w:vAlign w:val="bottom"/>
          </w:tcPr>
          <w:p>
            <w:pPr>
              <w:spacing w:after="0"/>
              <w:rPr>
                <w:sz w:val="8"/>
                <w:szCs w:val="8"/>
                <w:color w:val="auto"/>
              </w:rPr>
            </w:pPr>
          </w:p>
        </w:tc>
        <w:tc>
          <w:tcPr>
            <w:tcW w:w="108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00" w:type="dxa"/>
            <w:vAlign w:val="bottom"/>
          </w:tcPr>
          <w:p>
            <w:pPr>
              <w:spacing w:after="0"/>
              <w:rPr>
                <w:sz w:val="8"/>
                <w:szCs w:val="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200" w:type="dxa"/>
            <w:vAlign w:val="bottom"/>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200" w:type="dxa"/>
            <w:vAlign w:val="bottom"/>
          </w:tcPr>
          <w:p>
            <w:pPr>
              <w:spacing w:after="0"/>
              <w:rPr>
                <w:sz w:val="8"/>
                <w:szCs w:val="8"/>
                <w:color w:val="auto"/>
              </w:rPr>
            </w:pPr>
          </w:p>
        </w:tc>
        <w:tc>
          <w:tcPr>
            <w:tcW w:w="112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8"/>
        </w:trPr>
        <w:tc>
          <w:tcPr>
            <w:tcW w:w="3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9"/>
                <w:szCs w:val="9"/>
                <w:color w:val="auto"/>
              </w:rPr>
            </w:pPr>
          </w:p>
        </w:tc>
        <w:tc>
          <w:tcPr>
            <w:tcW w:w="10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200" w:type="dxa"/>
            <w:vAlign w:val="bottom"/>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July 1, 2024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1,742,784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1,753,956</w:t>
            </w:r>
          </w:p>
        </w:tc>
        <w:tc>
          <w:tcPr>
            <w:tcW w:w="0" w:type="dxa"/>
            <w:vAlign w:val="bottom"/>
          </w:tcPr>
          <w:p>
            <w:pPr>
              <w:spacing w:after="0"/>
              <w:rPr>
                <w:sz w:val="1"/>
                <w:szCs w:val="1"/>
                <w:color w:val="auto"/>
              </w:rPr>
            </w:pPr>
          </w:p>
        </w:tc>
      </w:tr>
      <w:tr>
        <w:trPr>
          <w:trHeight w:val="239"/>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options and RSUs</w:t>
            </w: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6,028</w:t>
            </w: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4,024</w:t>
            </w:r>
          </w:p>
        </w:tc>
        <w:tc>
          <w:tcPr>
            <w:tcW w:w="0" w:type="dxa"/>
            <w:vAlign w:val="bottom"/>
          </w:tcPr>
          <w:p>
            <w:pPr>
              <w:spacing w:after="0"/>
              <w:rPr>
                <w:sz w:val="1"/>
                <w:szCs w:val="1"/>
                <w:color w:val="auto"/>
              </w:rPr>
            </w:pPr>
          </w:p>
        </w:tc>
      </w:tr>
      <w:tr>
        <w:trPr>
          <w:trHeight w:val="220"/>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exercised through net share settlement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9"/>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8,349</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8,349</w:t>
            </w:r>
          </w:p>
        </w:tc>
        <w:tc>
          <w:tcPr>
            <w:tcW w:w="0" w:type="dxa"/>
            <w:vAlign w:val="bottom"/>
          </w:tcPr>
          <w:p>
            <w:pPr>
              <w:spacing w:after="0"/>
              <w:rPr>
                <w:sz w:val="1"/>
                <w:szCs w:val="1"/>
                <w:color w:val="auto"/>
              </w:rPr>
            </w:pPr>
          </w:p>
        </w:tc>
      </w:tr>
      <w:tr>
        <w:trPr>
          <w:trHeight w:val="220"/>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33"/>
        </w:trPr>
        <w:tc>
          <w:tcPr>
            <w:tcW w:w="3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8,616</w:t>
            </w:r>
          </w:p>
        </w:tc>
        <w:tc>
          <w:tcPr>
            <w:tcW w:w="2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2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8,781</w:t>
            </w:r>
          </w:p>
        </w:tc>
        <w:tc>
          <w:tcPr>
            <w:tcW w:w="0" w:type="dxa"/>
            <w:vAlign w:val="bottom"/>
          </w:tcPr>
          <w:p>
            <w:pPr>
              <w:spacing w:after="0"/>
              <w:rPr>
                <w:sz w:val="1"/>
                <w:szCs w:val="1"/>
                <w:color w:val="auto"/>
              </w:rPr>
            </w:pPr>
          </w:p>
        </w:tc>
      </w:tr>
      <w:tr>
        <w:trPr>
          <w:trHeight w:val="227"/>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1,748,788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(25,520)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12,973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38,586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1,774,721</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January 1, 2024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1,703,852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7,871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12,973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(21,818)</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1,703,256</w:t>
            </w:r>
          </w:p>
        </w:tc>
        <w:tc>
          <w:tcPr>
            <w:tcW w:w="0" w:type="dxa"/>
            <w:vAlign w:val="bottom"/>
          </w:tcPr>
          <w:p>
            <w:pPr>
              <w:spacing w:after="0"/>
              <w:rPr>
                <w:sz w:val="1"/>
                <w:szCs w:val="1"/>
                <w:color w:val="auto"/>
              </w:rPr>
            </w:pPr>
          </w:p>
        </w:tc>
      </w:tr>
      <w:tr>
        <w:trPr>
          <w:trHeight w:val="220"/>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 of contingent consideration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17,259</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17,259</w:t>
            </w:r>
          </w:p>
        </w:tc>
        <w:tc>
          <w:tcPr>
            <w:tcW w:w="0" w:type="dxa"/>
            <w:vAlign w:val="bottom"/>
          </w:tcPr>
          <w:p>
            <w:pPr>
              <w:spacing w:after="0"/>
              <w:rPr>
                <w:sz w:val="1"/>
                <w:szCs w:val="1"/>
                <w:color w:val="auto"/>
              </w:rPr>
            </w:pPr>
          </w:p>
        </w:tc>
      </w:tr>
      <w:tr>
        <w:trPr>
          <w:trHeight w:val="239"/>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options and RSUs</w:t>
            </w: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16,818</w:t>
            </w: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(6,856)</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9,962</w:t>
            </w:r>
          </w:p>
        </w:tc>
        <w:tc>
          <w:tcPr>
            <w:tcW w:w="0" w:type="dxa"/>
            <w:vAlign w:val="bottom"/>
          </w:tcPr>
          <w:p>
            <w:pPr>
              <w:spacing w:after="0"/>
              <w:rPr>
                <w:sz w:val="1"/>
                <w:szCs w:val="1"/>
                <w:color w:val="auto"/>
              </w:rPr>
            </w:pPr>
          </w:p>
        </w:tc>
      </w:tr>
      <w:tr>
        <w:trPr>
          <w:trHeight w:val="220"/>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exercised through net share settlement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10,859</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(16,792)</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(5,933)</w:t>
            </w:r>
          </w:p>
        </w:tc>
        <w:tc>
          <w:tcPr>
            <w:tcW w:w="0" w:type="dxa"/>
            <w:vAlign w:val="bottom"/>
          </w:tcPr>
          <w:p>
            <w:pPr>
              <w:spacing w:after="0"/>
              <w:rPr>
                <w:sz w:val="1"/>
                <w:szCs w:val="1"/>
                <w:color w:val="auto"/>
              </w:rPr>
            </w:pPr>
          </w:p>
        </w:tc>
      </w:tr>
      <w:tr>
        <w:trPr>
          <w:trHeight w:val="239"/>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23,705</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23,705</w:t>
            </w:r>
          </w:p>
        </w:tc>
        <w:tc>
          <w:tcPr>
            <w:tcW w:w="0" w:type="dxa"/>
            <w:vAlign w:val="bottom"/>
          </w:tcPr>
          <w:p>
            <w:pPr>
              <w:spacing w:after="0"/>
              <w:rPr>
                <w:sz w:val="1"/>
                <w:szCs w:val="1"/>
                <w:color w:val="auto"/>
              </w:rPr>
            </w:pPr>
          </w:p>
        </w:tc>
      </w:tr>
      <w:tr>
        <w:trPr>
          <w:trHeight w:val="220"/>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0" w:type="dxa"/>
            <w:vAlign w:val="bottom"/>
          </w:tcPr>
          <w:p>
            <w:pPr>
              <w:spacing w:after="0"/>
              <w:rPr>
                <w:sz w:val="1"/>
                <w:szCs w:val="1"/>
                <w:color w:val="auto"/>
              </w:rPr>
            </w:pPr>
          </w:p>
        </w:tc>
      </w:tr>
      <w:tr>
        <w:trPr>
          <w:trHeight w:val="239"/>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 of Subordinate Voting Shares</w:t>
            </w: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(33,448)</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(33,448)</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60,404</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61,047</w:t>
            </w:r>
          </w:p>
        </w:tc>
        <w:tc>
          <w:tcPr>
            <w:tcW w:w="0" w:type="dxa"/>
            <w:vAlign w:val="bottom"/>
          </w:tcPr>
          <w:p>
            <w:pPr>
              <w:spacing w:after="0"/>
              <w:rPr>
                <w:sz w:val="1"/>
                <w:szCs w:val="1"/>
                <w:color w:val="auto"/>
              </w:rPr>
            </w:pPr>
          </w:p>
        </w:tc>
      </w:tr>
      <w:tr>
        <w:trPr>
          <w:trHeight w:val="266"/>
        </w:trPr>
        <w:tc>
          <w:tcPr>
            <w:tcW w:w="3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2024</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1,748,788</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(25,520)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12,973</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38,586</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1,774,721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-1525270</wp:posOffset>
            </wp:positionV>
            <wp:extent cx="1111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-1525270</wp:posOffset>
            </wp:positionV>
            <wp:extent cx="1289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-1525270</wp:posOffset>
            </wp:positionV>
            <wp:extent cx="1289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-1525270</wp:posOffset>
            </wp:positionV>
            <wp:extent cx="1289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-1525270</wp:posOffset>
            </wp:positionV>
            <wp:extent cx="1289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-24765</wp:posOffset>
            </wp:positionV>
            <wp:extent cx="1111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-7620</wp:posOffset>
            </wp:positionV>
            <wp:extent cx="1111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wp:posOffset>
            </wp:positionV>
            <wp:extent cx="1289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1289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-24765</wp:posOffset>
            </wp:positionV>
            <wp:extent cx="1289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1289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1289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1289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1289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1289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27"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225"/>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0" w:type="dxa"/>
            <w:vAlign w:val="bottom"/>
            <w:gridSpan w:val="5"/>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78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3"/>
        </w:trPr>
        <w:tc>
          <w:tcPr>
            <w:tcW w:w="78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w:t>
            </w:r>
          </w:p>
        </w:tc>
        <w:tc>
          <w:tcPr>
            <w:tcW w:w="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6"/>
              </w:rPr>
              <w:t>thousands)</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attributable to Green Thumb Industries Inc.</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60,404</w:t>
            </w:r>
          </w:p>
        </w:tc>
        <w:tc>
          <w:tcPr>
            <w:tcW w:w="260" w:type="dxa"/>
            <w:vAlign w:val="bottom"/>
          </w:tcPr>
          <w:p>
            <w:pPr>
              <w:spacing w:after="0"/>
              <w:rPr>
                <w:sz w:val="19"/>
                <w:szCs w:val="19"/>
                <w:color w:val="auto"/>
              </w:rPr>
            </w:pPr>
          </w:p>
        </w:tc>
        <w:tc>
          <w:tcPr>
            <w:tcW w:w="4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33,051</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00" w:type="dxa"/>
            <w:vAlign w:val="bottom"/>
            <w:shd w:val="clear" w:color="auto" w:fill="CFF0FC"/>
          </w:tcPr>
          <w:p>
            <w:pPr>
              <w:spacing w:after="0"/>
              <w:rPr>
                <w:sz w:val="20"/>
                <w:szCs w:val="20"/>
                <w:color w:val="auto"/>
              </w:rPr>
            </w:pPr>
          </w:p>
        </w:tc>
      </w:tr>
      <w:tr>
        <w:trPr>
          <w:trHeight w:val="220"/>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84,252</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73,363</w:t>
            </w:r>
          </w:p>
        </w:tc>
        <w:tc>
          <w:tcPr>
            <w:tcW w:w="100" w:type="dxa"/>
            <w:vAlign w:val="bottom"/>
            <w:shd w:val="clear" w:color="auto" w:fill="CFF0FC"/>
          </w:tcPr>
          <w:p>
            <w:pPr>
              <w:spacing w:after="0"/>
              <w:rPr>
                <w:sz w:val="20"/>
                <w:szCs w:val="20"/>
                <w:color w:val="auto"/>
              </w:rPr>
            </w:pPr>
          </w:p>
        </w:tc>
      </w:tr>
      <w:tr>
        <w:trPr>
          <w:trHeight w:val="220"/>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operating lease right of use assets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41,622</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35,996</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2,815</w:t>
            </w:r>
          </w:p>
        </w:tc>
        <w:tc>
          <w:tcPr>
            <w:tcW w:w="100" w:type="dxa"/>
            <w:vAlign w:val="bottom"/>
            <w:shd w:val="clear" w:color="auto" w:fill="CFF0FC"/>
          </w:tcPr>
          <w:p>
            <w:pPr>
              <w:spacing w:after="0"/>
              <w:rPr>
                <w:sz w:val="20"/>
                <w:szCs w:val="20"/>
                <w:color w:val="auto"/>
              </w:rPr>
            </w:pPr>
          </w:p>
        </w:tc>
      </w:tr>
      <w:tr>
        <w:trPr>
          <w:trHeight w:val="220"/>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Impairment of long-lived property and equipment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Loss on equity method investments</w:t>
            </w: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00" w:type="dxa"/>
            <w:vAlign w:val="bottom"/>
            <w:shd w:val="clear" w:color="auto" w:fill="CFF0FC"/>
          </w:tcPr>
          <w:p>
            <w:pPr>
              <w:spacing w:after="0"/>
              <w:rPr>
                <w:sz w:val="20"/>
                <w:szCs w:val="20"/>
                <w:color w:val="auto"/>
              </w:rPr>
            </w:pPr>
          </w:p>
        </w:tc>
      </w:tr>
      <w:tr>
        <w:trPr>
          <w:trHeight w:val="220"/>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from lease modification</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23,705</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20,835</w:t>
            </w:r>
          </w:p>
        </w:tc>
        <w:tc>
          <w:tcPr>
            <w:tcW w:w="100" w:type="dxa"/>
            <w:vAlign w:val="bottom"/>
            <w:shd w:val="clear" w:color="auto" w:fill="CFF0FC"/>
          </w:tcPr>
          <w:p>
            <w:pPr>
              <w:spacing w:after="0"/>
              <w:rPr>
                <w:sz w:val="20"/>
                <w:szCs w:val="20"/>
                <w:color w:val="auto"/>
              </w:rPr>
            </w:pPr>
          </w:p>
        </w:tc>
      </w:tr>
      <w:tr>
        <w:trPr>
          <w:trHeight w:val="220"/>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(Increase) decrease in fair value of investments</w:t>
            </w:r>
          </w:p>
        </w:tc>
        <w:tc>
          <w:tcPr>
            <w:tcW w:w="220" w:type="dxa"/>
            <w:vAlign w:val="bottom"/>
          </w:tcPr>
          <w:p>
            <w:pPr>
              <w:spacing w:after="0"/>
              <w:rPr>
                <w:sz w:val="19"/>
                <w:szCs w:val="19"/>
                <w:color w:val="auto"/>
              </w:rPr>
            </w:pPr>
          </w:p>
        </w:tc>
        <w:tc>
          <w:tcPr>
            <w:tcW w:w="14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(256 )</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Gain on settlement of contingent consideration</w:t>
            </w:r>
          </w:p>
        </w:tc>
        <w:tc>
          <w:tcPr>
            <w:tcW w:w="2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(15,991 )</w:t>
            </w:r>
          </w:p>
        </w:tc>
        <w:tc>
          <w:tcPr>
            <w:tcW w:w="4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Increase in fair value of contingent consideration</w:t>
            </w:r>
          </w:p>
        </w:tc>
        <w:tc>
          <w:tcPr>
            <w:tcW w:w="220" w:type="dxa"/>
            <w:vAlign w:val="bottom"/>
          </w:tcPr>
          <w:p>
            <w:pPr>
              <w:spacing w:after="0"/>
              <w:rPr>
                <w:sz w:val="19"/>
                <w:szCs w:val="19"/>
                <w:color w:val="auto"/>
              </w:rPr>
            </w:pPr>
          </w:p>
        </w:tc>
        <w:tc>
          <w:tcPr>
            <w:tcW w:w="14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Decrease in fair value of warrants</w:t>
            </w:r>
          </w:p>
        </w:tc>
        <w:tc>
          <w:tcPr>
            <w:tcW w:w="2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(2,389 )</w:t>
            </w:r>
          </w:p>
        </w:tc>
        <w:tc>
          <w:tcPr>
            <w:tcW w:w="4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(934 )</w:t>
            </w:r>
          </w:p>
        </w:tc>
      </w:tr>
      <w:tr>
        <w:trPr>
          <w:trHeight w:val="220"/>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on indemnification of deferred shares associated with post acquisition costs</w:t>
            </w:r>
          </w:p>
        </w:tc>
        <w:tc>
          <w:tcPr>
            <w:tcW w:w="220" w:type="dxa"/>
            <w:vAlign w:val="bottom"/>
          </w:tcPr>
          <w:p>
            <w:pPr>
              <w:spacing w:after="0"/>
              <w:rPr>
                <w:sz w:val="19"/>
                <w:szCs w:val="19"/>
                <w:color w:val="auto"/>
              </w:rPr>
            </w:pPr>
          </w:p>
        </w:tc>
        <w:tc>
          <w:tcPr>
            <w:tcW w:w="14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(2,784 )</w:t>
            </w:r>
          </w:p>
        </w:tc>
      </w:tr>
      <w:tr>
        <w:trPr>
          <w:trHeight w:val="239"/>
        </w:trPr>
        <w:tc>
          <w:tcPr>
            <w:tcW w:w="7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2,914</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100" w:type="dxa"/>
            <w:vAlign w:val="bottom"/>
            <w:shd w:val="clear" w:color="auto" w:fill="CFF0FC"/>
          </w:tcPr>
          <w:p>
            <w:pPr>
              <w:spacing w:after="0"/>
              <w:rPr>
                <w:sz w:val="20"/>
                <w:szCs w:val="20"/>
                <w:color w:val="auto"/>
              </w:rPr>
            </w:pPr>
          </w:p>
        </w:tc>
      </w:tr>
      <w:tr>
        <w:trPr>
          <w:trHeight w:val="220"/>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(5,987 )</w:t>
            </w:r>
          </w:p>
        </w:tc>
        <w:tc>
          <w:tcPr>
            <w:tcW w:w="4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(7,673 )</w:t>
            </w:r>
          </w:p>
        </w:tc>
      </w:tr>
      <w:tr>
        <w:trPr>
          <w:trHeight w:val="220"/>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 net</w:t>
            </w:r>
          </w:p>
        </w:tc>
        <w:tc>
          <w:tcPr>
            <w:tcW w:w="220" w:type="dxa"/>
            <w:vAlign w:val="bottom"/>
          </w:tcPr>
          <w:p>
            <w:pPr>
              <w:spacing w:after="0"/>
              <w:rPr>
                <w:sz w:val="19"/>
                <w:szCs w:val="19"/>
                <w:color w:val="auto"/>
              </w:rPr>
            </w:pPr>
          </w:p>
        </w:tc>
        <w:tc>
          <w:tcPr>
            <w:tcW w:w="14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(25,313 )</w:t>
            </w:r>
          </w:p>
        </w:tc>
        <w:tc>
          <w:tcPr>
            <w:tcW w:w="4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(2,870 )</w:t>
            </w:r>
          </w:p>
        </w:tc>
      </w:tr>
      <w:tr>
        <w:trPr>
          <w:trHeight w:val="239"/>
        </w:trPr>
        <w:tc>
          <w:tcPr>
            <w:tcW w:w="7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(1,129 )</w:t>
            </w:r>
          </w:p>
        </w:tc>
      </w:tr>
      <w:tr>
        <w:trPr>
          <w:trHeight w:val="220"/>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Deposits and other assets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(4,647 )</w:t>
            </w:r>
          </w:p>
        </w:tc>
        <w:tc>
          <w:tcPr>
            <w:tcW w:w="4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4,084</w:t>
            </w:r>
          </w:p>
        </w:tc>
        <w:tc>
          <w:tcPr>
            <w:tcW w:w="100" w:type="dxa"/>
            <w:vAlign w:val="bottom"/>
            <w:shd w:val="clear" w:color="auto" w:fill="CFF0FC"/>
          </w:tcPr>
          <w:p>
            <w:pPr>
              <w:spacing w:after="0"/>
              <w:rPr>
                <w:sz w:val="20"/>
                <w:szCs w:val="20"/>
                <w:color w:val="auto"/>
              </w:rPr>
            </w:pPr>
          </w:p>
        </w:tc>
      </w:tr>
      <w:tr>
        <w:trPr>
          <w:trHeight w:val="220"/>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liabilities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17,504</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4,052</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(37,091 )</w:t>
            </w:r>
          </w:p>
        </w:tc>
        <w:tc>
          <w:tcPr>
            <w:tcW w:w="4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(32,114 )</w:t>
            </w:r>
          </w:p>
        </w:tc>
      </w:tr>
      <w:tr>
        <w:trPr>
          <w:trHeight w:val="223"/>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 receivable and payable, net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7,024</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13,818</w:t>
            </w:r>
          </w:p>
        </w:tc>
        <w:tc>
          <w:tcPr>
            <w:tcW w:w="100" w:type="dxa"/>
            <w:vAlign w:val="bottom"/>
          </w:tcPr>
          <w:p>
            <w:pPr>
              <w:spacing w:after="0"/>
              <w:rPr>
                <w:sz w:val="19"/>
                <w:szCs w:val="19"/>
                <w:color w:val="auto"/>
              </w:rPr>
            </w:pPr>
          </w:p>
        </w:tc>
      </w:tr>
      <w:tr>
        <w:trPr>
          <w:trHeight w:val="223"/>
        </w:trPr>
        <w:tc>
          <w:tcPr>
            <w:tcW w:w="78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151,845</w:t>
            </w:r>
          </w:p>
        </w:tc>
        <w:tc>
          <w:tcPr>
            <w:tcW w:w="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153,872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1"/>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(52,992 )</w:t>
            </w:r>
          </w:p>
        </w:tc>
        <w:tc>
          <w:tcPr>
            <w:tcW w:w="4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(183,594 )</w:t>
            </w:r>
          </w:p>
        </w:tc>
      </w:tr>
      <w:tr>
        <w:trPr>
          <w:trHeight w:val="220"/>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disposal of property and equipment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Investments in securities and associates</w:t>
            </w:r>
          </w:p>
        </w:tc>
        <w:tc>
          <w:tcPr>
            <w:tcW w:w="2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(7,803 )</w:t>
            </w:r>
          </w:p>
        </w:tc>
        <w:tc>
          <w:tcPr>
            <w:tcW w:w="4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(4,500 )</w:t>
            </w:r>
          </w:p>
        </w:tc>
      </w:tr>
      <w:tr>
        <w:trPr>
          <w:trHeight w:val="223"/>
        </w:trPr>
        <w:tc>
          <w:tcPr>
            <w:tcW w:w="788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Proceeds from equity investments and notes receivable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7,015</w:t>
            </w:r>
          </w:p>
        </w:tc>
        <w:tc>
          <w:tcPr>
            <w:tcW w:w="2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(53,435</w:t>
            </w:r>
          </w:p>
        </w:tc>
        <w:tc>
          <w:tcPr>
            <w:tcW w:w="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(187,444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1"/>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2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(1,127 )</w:t>
            </w:r>
          </w:p>
        </w:tc>
        <w:tc>
          <w:tcPr>
            <w:tcW w:w="4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(803 )</w:t>
            </w:r>
          </w:p>
        </w:tc>
      </w:tr>
      <w:tr>
        <w:trPr>
          <w:trHeight w:val="220"/>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 of Subordinate Voting Shares</w:t>
            </w:r>
          </w:p>
        </w:tc>
        <w:tc>
          <w:tcPr>
            <w:tcW w:w="220" w:type="dxa"/>
            <w:vAlign w:val="bottom"/>
          </w:tcPr>
          <w:p>
            <w:pPr>
              <w:spacing w:after="0"/>
              <w:rPr>
                <w:sz w:val="19"/>
                <w:szCs w:val="19"/>
                <w:color w:val="auto"/>
              </w:rPr>
            </w:pPr>
          </w:p>
        </w:tc>
        <w:tc>
          <w:tcPr>
            <w:tcW w:w="14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(33,448 )</w:t>
            </w:r>
          </w:p>
        </w:tc>
        <w:tc>
          <w:tcPr>
            <w:tcW w:w="4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(24,890 )</w:t>
            </w:r>
          </w:p>
        </w:tc>
      </w:tr>
      <w:tr>
        <w:trPr>
          <w:trHeight w:val="239"/>
        </w:trPr>
        <w:tc>
          <w:tcPr>
            <w:tcW w:w="7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Payments for taxes related to net share settlement of equity awards</w:t>
            </w:r>
          </w:p>
        </w:tc>
        <w:tc>
          <w:tcPr>
            <w:tcW w:w="2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(5,933 )</w:t>
            </w:r>
          </w:p>
        </w:tc>
        <w:tc>
          <w:tcPr>
            <w:tcW w:w="4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exercise of options and RSUs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9,962</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issuance of notes payable</w:t>
            </w: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170,923</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16,654</w:t>
            </w:r>
          </w:p>
        </w:tc>
        <w:tc>
          <w:tcPr>
            <w:tcW w:w="100" w:type="dxa"/>
            <w:vAlign w:val="bottom"/>
            <w:shd w:val="clear" w:color="auto" w:fill="CFF0FC"/>
          </w:tcPr>
          <w:p>
            <w:pPr>
              <w:spacing w:after="0"/>
              <w:rPr>
                <w:sz w:val="20"/>
                <w:szCs w:val="20"/>
                <w:color w:val="auto"/>
              </w:rPr>
            </w:pPr>
          </w:p>
        </w:tc>
      </w:tr>
      <w:tr>
        <w:trPr>
          <w:trHeight w:val="223"/>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Principal repayment of notes payable</w:t>
            </w:r>
          </w:p>
        </w:tc>
        <w:tc>
          <w:tcPr>
            <w:tcW w:w="220" w:type="dxa"/>
            <w:vAlign w:val="bottom"/>
          </w:tcPr>
          <w:p>
            <w:pPr>
              <w:spacing w:after="0"/>
              <w:rPr>
                <w:sz w:val="19"/>
                <w:szCs w:val="19"/>
                <w:color w:val="auto"/>
              </w:rPr>
            </w:pPr>
          </w:p>
        </w:tc>
        <w:tc>
          <w:tcPr>
            <w:tcW w:w="14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(226,780 )</w:t>
            </w:r>
          </w:p>
        </w:tc>
        <w:tc>
          <w:tcPr>
            <w:tcW w:w="4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(912 )</w:t>
            </w:r>
          </w:p>
        </w:tc>
      </w:tr>
      <w:tr>
        <w:trPr>
          <w:trHeight w:val="223"/>
        </w:trPr>
        <w:tc>
          <w:tcPr>
            <w:tcW w:w="788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(86,403</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(7,268</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1"/>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12,007</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(40,840 )</w:t>
            </w:r>
          </w:p>
        </w:tc>
      </w:tr>
      <w:tr>
        <w:trPr>
          <w:trHeight w:val="223"/>
        </w:trPr>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161,634</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177,682</w:t>
            </w:r>
          </w:p>
        </w:tc>
        <w:tc>
          <w:tcPr>
            <w:tcW w:w="100" w:type="dxa"/>
            <w:vAlign w:val="bottom"/>
          </w:tcPr>
          <w:p>
            <w:pPr>
              <w:spacing w:after="0"/>
              <w:rPr>
                <w:sz w:val="19"/>
                <w:szCs w:val="19"/>
                <w:color w:val="auto"/>
              </w:rPr>
            </w:pPr>
          </w:p>
        </w:tc>
      </w:tr>
      <w:tr>
        <w:trPr>
          <w:trHeight w:val="263"/>
        </w:trPr>
        <w:tc>
          <w:tcPr>
            <w:tcW w:w="78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173,641</w:t>
            </w:r>
          </w:p>
        </w:tc>
        <w:tc>
          <w:tcPr>
            <w:tcW w:w="2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136,842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-2699385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-2699385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-1974850</wp:posOffset>
            </wp:positionV>
            <wp:extent cx="9398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7021830</wp:posOffset>
            </wp:positionH>
            <wp:positionV relativeFrom="paragraph">
              <wp:posOffset>-1974850</wp:posOffset>
            </wp:positionV>
            <wp:extent cx="9398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-791845</wp:posOffset>
            </wp:positionV>
            <wp:extent cx="93980" cy="1879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7021830</wp:posOffset>
            </wp:positionH>
            <wp:positionV relativeFrom="paragraph">
              <wp:posOffset>-791845</wp:posOffset>
            </wp:positionV>
            <wp:extent cx="93980" cy="1879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Borders>
              <w:top w:val="single" w:sz="8" w:color="auto"/>
            </w:tcBorders>
          </w:tcPr>
          <w:p>
            <w:pPr>
              <w:spacing w:after="0"/>
              <w:rPr>
                <w:sz w:val="20"/>
                <w:szCs w:val="20"/>
                <w:color w:val="auto"/>
              </w:rPr>
            </w:pPr>
          </w:p>
        </w:tc>
        <w:tc>
          <w:tcPr>
            <w:tcW w:w="78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100" w:type="dxa"/>
            <w:vAlign w:val="bottom"/>
            <w:tcBorders>
              <w:top w:val="single" w:sz="8" w:color="auto"/>
            </w:tcBorders>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1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85"/>
              </w:rPr>
              <w:t>thousands)</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16,555</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3,958</w:t>
            </w:r>
          </w:p>
        </w:tc>
        <w:tc>
          <w:tcPr>
            <w:tcW w:w="260" w:type="dxa"/>
            <w:vAlign w:val="bottom"/>
          </w:tcPr>
          <w:p>
            <w:pPr>
              <w:spacing w:after="0"/>
              <w:rPr>
                <w:sz w:val="19"/>
                <w:szCs w:val="19"/>
                <w:color w:val="auto"/>
              </w:rPr>
            </w:pPr>
          </w:p>
        </w:tc>
        <w:tc>
          <w:tcPr>
            <w:tcW w:w="4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(10,115 )</w:t>
            </w:r>
          </w:p>
        </w:tc>
        <w:tc>
          <w:tcPr>
            <w:tcW w:w="10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Noncash increase in right of use asset</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(11,937 )</w:t>
            </w:r>
          </w:p>
        </w:tc>
        <w:tc>
          <w:tcPr>
            <w:tcW w:w="48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(5,599 )</w:t>
            </w:r>
          </w:p>
        </w:tc>
        <w:tc>
          <w:tcPr>
            <w:tcW w:w="100" w:type="dxa"/>
            <w:vAlign w:val="bottom"/>
          </w:tcPr>
          <w:p>
            <w:pPr>
              <w:spacing w:after="0"/>
              <w:rPr>
                <w:sz w:val="21"/>
                <w:szCs w:val="21"/>
                <w:color w:val="auto"/>
              </w:rPr>
            </w:pPr>
          </w:p>
        </w:tc>
      </w:tr>
      <w:tr>
        <w:trPr>
          <w:trHeight w:val="210"/>
        </w:trPr>
        <w:tc>
          <w:tcPr>
            <w:tcW w:w="120" w:type="dxa"/>
            <w:vAlign w:val="bottom"/>
          </w:tcPr>
          <w:p>
            <w:pPr>
              <w:spacing w:after="0"/>
              <w:rPr>
                <w:sz w:val="18"/>
                <w:szCs w:val="18"/>
                <w:color w:val="auto"/>
              </w:rPr>
            </w:pPr>
          </w:p>
        </w:tc>
        <w:tc>
          <w:tcPr>
            <w:tcW w:w="7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Noncash increase in lease liability</w:t>
            </w: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11,937</w:t>
            </w:r>
          </w:p>
        </w:tc>
        <w:tc>
          <w:tcPr>
            <w:tcW w:w="26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5,599</w:t>
            </w:r>
          </w:p>
        </w:tc>
        <w:tc>
          <w:tcPr>
            <w:tcW w:w="120" w:type="dxa"/>
            <w:vAlign w:val="bottom"/>
            <w:tcBorders>
              <w:top w:val="single" w:sz="8" w:color="CFF0FC"/>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7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shares associated with contingent consideration</w:t>
            </w: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17,259</w:t>
            </w:r>
          </w:p>
        </w:tc>
        <w:tc>
          <w:tcPr>
            <w:tcW w:w="2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12,524</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120" w:type="dxa"/>
            <w:vAlign w:val="bottom"/>
          </w:tcPr>
          <w:p>
            <w:pPr>
              <w:spacing w:after="0"/>
              <w:rPr>
                <w:sz w:val="18"/>
                <w:szCs w:val="18"/>
                <w:color w:val="auto"/>
              </w:rPr>
            </w:pPr>
          </w:p>
        </w:tc>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share distributions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(20,454 )</w:t>
            </w:r>
          </w:p>
        </w:tc>
        <w:tc>
          <w:tcPr>
            <w:tcW w:w="10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-539750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-521970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-539750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-521970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-196850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-179070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-196850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-179070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6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153"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 and Basis of Presentation</w:t>
      </w:r>
    </w:p>
    <w:p>
      <w:pPr>
        <w:spacing w:after="0" w:line="333" w:lineRule="exact"/>
        <w:rPr>
          <w:rFonts w:ascii="Times New Roman" w:cs="Times New Roman" w:eastAsia="Times New Roman" w:hAnsi="Times New Roman"/>
          <w:sz w:val="18"/>
          <w:szCs w:val="18"/>
          <w:b w:val="1"/>
          <w:bCs w:val="1"/>
          <w:color w:val="auto"/>
        </w:rPr>
      </w:pPr>
    </w:p>
    <w:p>
      <w:pPr>
        <w:ind w:left="440" w:hanging="432"/>
        <w:spacing w:after="0"/>
        <w:tabs>
          <w:tab w:leader="none" w:pos="44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ind w:left="520" w:right="60"/>
        <w:spacing w:after="0" w:line="254" w:lineRule="auto"/>
        <w:rPr>
          <w:sz w:val="20"/>
          <w:szCs w:val="20"/>
          <w:color w:val="auto"/>
        </w:rPr>
      </w:pPr>
      <w:r>
        <w:rPr>
          <w:rFonts w:ascii="Times New Roman" w:cs="Times New Roman" w:eastAsia="Times New Roman" w:hAnsi="Times New Roman"/>
          <w:sz w:val="18"/>
          <w:szCs w:val="18"/>
          <w:color w:val="auto"/>
        </w:rPr>
        <w:t>Green Thumb Industries Inc. (“Green Thumb,” the “Company,” “we” or “us”), a national cannabis consumer packaged goods company and retailer, promotes well-being through the power of cannabis while being committed to community and sustainable, profitable growth. Green Thumb owns, manufactures, and distributes a portfolio of cannabis consumer packaged goods brands including &amp;Shine, Beboe, Dogwalkers, Doctor Solomon’s, Good Green, incredibles, and RYTHM, to third-party retail stores across the United States as well as to Green Thumb owned retail locations. The Company also owns and operates retail cannabis stores that include a national chain named RISE Dispensaries that sell our products and third-party products. As of September 30, 2024, Green Thumb has revenue in fourteen markets (California, Connecticut, Florida, Illinois, Maryland, Massachusetts, Minnesota, Nevada, New Jersey, New York, Ohio, Pennsylvania, Rhode Island and Virginia), employs approximately 4,800 people and serves millions of patients and customers annually.</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registered office is located at 250 Howe Street, 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Vancouver, British Columbia, V6C 3R8. The Company’s U.S.</w:t>
      </w:r>
    </w:p>
    <w:p>
      <w:pPr>
        <w:ind w:left="520"/>
        <w:spacing w:after="0"/>
        <w:rPr>
          <w:sz w:val="20"/>
          <w:szCs w:val="20"/>
          <w:color w:val="auto"/>
        </w:rPr>
      </w:pPr>
      <w:r>
        <w:rPr>
          <w:rFonts w:ascii="Times New Roman" w:cs="Times New Roman" w:eastAsia="Times New Roman" w:hAnsi="Times New Roman"/>
          <w:sz w:val="18"/>
          <w:szCs w:val="18"/>
          <w:color w:val="auto"/>
        </w:rPr>
        <w:t>headquarters are at 325 W. Huron St., Suite 700, Chicago, IL 60654.</w:t>
      </w:r>
    </w:p>
    <w:p>
      <w:pPr>
        <w:spacing w:after="0" w:line="201"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520"/>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include the accounts of Green Thumb and have been prepared in accordance with accounting principles generally accepted in the United States (“GAAP”) for interim financial information and in accordance with the rules and regulations of the U.S. Securities &amp; Exchange Commission (“SEC”). Accordingly, they do not include all of the information and footnotes required by GAAP for complete financial statements and, accordingly, certain information, footnotes and disclosures normally included in the annual financial statements, prepared in accordance with GAAP, have been condensed or omitted in accordance with SEC rules and regulations. The financial data presented herein should be read in conjunction with the audited consolidated financial statements and accompanying notes included in the Company's Annual Report on Form 10-K for the year ended December 31, 2023 (the “2023 Form 10-K”). In the opinion of management, the financial data presented includes all adjustments necessary to present fairly the financial position, results of operations and cash flows for the interim periods presented. Certain previously reported amounts have been reclassified between line items to conform to the current period presentation. Results of interim periods should not be considered indicative of the results for the full year. These unaudited interim condensed consolidated financial statements include estimates and assumptions of management that affect the amounts reported in the unaudited condensed consolidated financial statements. Actual results could differ from these estimates.</w:t>
      </w:r>
    </w:p>
    <w:p>
      <w:pPr>
        <w:spacing w:after="0" w:line="213" w:lineRule="exact"/>
        <w:rPr>
          <w:sz w:val="20"/>
          <w:szCs w:val="20"/>
          <w:color w:val="auto"/>
        </w:rPr>
      </w:pPr>
    </w:p>
    <w:p>
      <w:pPr>
        <w:ind w:left="440" w:hanging="432"/>
        <w:spacing w:after="0"/>
        <w:tabs>
          <w:tab w:leader="none" w:pos="4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left="520" w:right="460"/>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as described in Note 2 to the Company's Consolidated Financial Statements included in the 2023 Form 10-K.</w:t>
      </w:r>
    </w:p>
    <w:p>
      <w:pPr>
        <w:spacing w:after="0" w:line="158"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left="520" w:right="40"/>
        <w:spacing w:after="0" w:line="255" w:lineRule="auto"/>
        <w:rPr>
          <w:sz w:val="20"/>
          <w:szCs w:val="20"/>
          <w:color w:val="auto"/>
        </w:rPr>
      </w:pPr>
      <w:r>
        <w:rPr>
          <w:rFonts w:ascii="Times New Roman" w:cs="Times New Roman" w:eastAsia="Times New Roman" w:hAnsi="Times New Roman"/>
          <w:sz w:val="18"/>
          <w:szCs w:val="18"/>
          <w:color w:val="auto"/>
        </w:rPr>
        <w:t>Basic earnings per share is calculated using the treasury stock method, by dividing the net earnings attributable to shareholders by the weighted average number of common shares outstanding during each of the periods presented. Contingently issuable shares (including shares held in escrow) are not considered outstanding common shares and consequently are not included in the earnings per share calculation. Diluted earnings per share is calculated using the treasury stock method by adjusting the weighted average number of common shares outstanding to assume conversion of all dilutive potential common shares. The Company has three categories of potentially dilutive common share equivalents: restricted stock units, stock options and warrants. As of September 30, 2024, the Company had 8,491,983 options, 4,561,819 restricted stock units and 2,128,022 warrants outstanding. As of September 30, 2023, the Company had 10,229,895 options, 3,499,193 restricted stock units and 3,734,555 warrants outstanding.</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 w:name="page11"/>
    <w:bookmarkEnd w:id="10"/>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72" w:right="2700" w:hanging="19"/>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302" w:lineRule="exact"/>
        <w:rPr>
          <w:sz w:val="20"/>
          <w:szCs w:val="20"/>
          <w:color w:val="auto"/>
        </w:rPr>
      </w:pPr>
    </w:p>
    <w:p>
      <w:pPr>
        <w:ind w:left="452" w:hanging="452"/>
        <w:spacing w:after="0"/>
        <w:tabs>
          <w:tab w:leader="none" w:pos="45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Overview and Basis of Presentation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3" w:lineRule="exact"/>
        <w:rPr>
          <w:sz w:val="20"/>
          <w:szCs w:val="20"/>
          <w:color w:val="auto"/>
        </w:rPr>
      </w:pPr>
    </w:p>
    <w:p>
      <w:pPr>
        <w:ind w:left="452" w:hanging="452"/>
        <w:spacing w:after="0"/>
        <w:tabs>
          <w:tab w:leader="none" w:pos="45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12" w:right="40"/>
        <w:spacing w:after="0" w:line="253" w:lineRule="auto"/>
        <w:rPr>
          <w:sz w:val="20"/>
          <w:szCs w:val="20"/>
          <w:color w:val="auto"/>
        </w:rPr>
      </w:pPr>
      <w:r>
        <w:rPr>
          <w:rFonts w:ascii="Times New Roman" w:cs="Times New Roman" w:eastAsia="Times New Roman" w:hAnsi="Times New Roman"/>
          <w:sz w:val="18"/>
          <w:szCs w:val="18"/>
          <w:color w:val="auto"/>
        </w:rPr>
        <w:t>In order to determine diluted earnings per share, it is assumed that any proceeds from the vesting of dilutive unvested restricted stock units, or exercise of unvested stock options and warrants would be used to repurchase common shares at the average market price during the period. Under the treasury stock method, the diluted earnings per share calculation excludes any potential conversion of stock options and convertible debt that would increase earnings per share or decrease loss per share. For the three months ended September 30, 2024, the computation of diluted earnings per share included 1,001,228 options, 923,686 restricted stock units, and 67,625 warrants. For the nine months ended September 30, 2024, the computation of diluted earnings per share included 1,339,591 options, 1,669,708 restricted stock units, and 104,041 warrants. For the three months ended September 30, 2023, the computation of diluted earnings per share included 211,651 options and 618,525 restricted stock units. For the nine months ended September 30, 2023, the computation of diluted earnings per share included 153,215 options and 1,425,045 restricted stock units. There were no dilutive warrants during the three and nine months ended September 30, 2023 as the strike price was greater than the average stock price for the period. For the three and nine months ended September 30, 2024, the weighted average number of anti-dilutive stock options excluded from the computation of diluted earnings per share were 869,491 and 918,465, respectively. For the three and nine months ended September 30, 2023, the weighted average number of anti-dilutive stock options excluded from the computation of diluted earnings per share were 2,349,064 and 3,198,625, respectively.</w:t>
      </w:r>
    </w:p>
    <w:p>
      <w:pPr>
        <w:spacing w:after="0" w:line="183" w:lineRule="exact"/>
        <w:rPr>
          <w:sz w:val="20"/>
          <w:szCs w:val="20"/>
          <w:color w:val="auto"/>
        </w:rPr>
      </w:pPr>
    </w:p>
    <w:p>
      <w:pPr>
        <w:ind w:left="432" w:hanging="432"/>
        <w:spacing w:after="0"/>
        <w:tabs>
          <w:tab w:leader="none" w:pos="43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w:t>
      </w:r>
    </w:p>
    <w:p>
      <w:pPr>
        <w:spacing w:after="0" w:line="119" w:lineRule="exact"/>
        <w:rPr>
          <w:rFonts w:ascii="Times New Roman" w:cs="Times New Roman" w:eastAsia="Times New Roman" w:hAnsi="Times New Roman"/>
          <w:sz w:val="18"/>
          <w:szCs w:val="18"/>
          <w:b w:val="1"/>
          <w:bCs w:val="1"/>
          <w:color w:val="auto"/>
        </w:rPr>
      </w:pPr>
    </w:p>
    <w:p>
      <w:pPr>
        <w:ind w:left="1012" w:hanging="503"/>
        <w:spacing w:after="0" w:line="256" w:lineRule="auto"/>
        <w:tabs>
          <w:tab w:leader="none" w:pos="10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 the FASB issued Accounting Standards Update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ASU”) No. 2023-07, </w:t>
      </w:r>
      <w:r>
        <w:rPr>
          <w:rFonts w:ascii="Times New Roman" w:cs="Times New Roman" w:eastAsia="Times New Roman" w:hAnsi="Times New Roman"/>
          <w:sz w:val="18"/>
          <w:szCs w:val="18"/>
          <w:i w:val="1"/>
          <w:iCs w:val="1"/>
          <w:color w:val="auto"/>
        </w:rPr>
        <w:t>Segment Reporting (Topic 280) -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to provide enhanced segment disclosures. The standard will require disclosures about significant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categories and amounts for each reportable segment, for all periods presented. Additionally, the standard requires public entities to disclose the title and position of the Chief Operating Decision Maker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CODM”) in the consolidated financial statements. These enhanced disclosures are required for all entities on an interim and annual basis, effective for fiscal years beginning after December 15, 2023, and interim periods within annual periods beginning after December 15, 2024. The adoption of this standard is not expected to have a material impact on the Company’s consolidated financial statements.</w:t>
      </w:r>
    </w:p>
    <w:p>
      <w:pPr>
        <w:spacing w:after="0" w:line="74" w:lineRule="exact"/>
        <w:rPr>
          <w:rFonts w:ascii="Times New Roman" w:cs="Times New Roman" w:eastAsia="Times New Roman" w:hAnsi="Times New Roman"/>
          <w:sz w:val="18"/>
          <w:szCs w:val="18"/>
          <w:color w:val="auto"/>
        </w:rPr>
      </w:pPr>
    </w:p>
    <w:p>
      <w:pPr>
        <w:ind w:left="1012" w:right="20" w:hanging="503"/>
        <w:spacing w:after="0" w:line="258" w:lineRule="auto"/>
        <w:tabs>
          <w:tab w:leader="none" w:pos="10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provide enhancements to annual income tax disclosures. The standard will require more detailed information in the rate reconciliation table and for income taxes paid, among other enhancements. The standard is effective for years beginning after December 15, 2024 and early adoption is permitted. The adoption of this standard is not expected to have a material impact on the Company’s consolidated financial statements.</w:t>
      </w:r>
    </w:p>
    <w:p>
      <w:pPr>
        <w:spacing w:after="0" w:line="77" w:lineRule="exact"/>
        <w:rPr>
          <w:sz w:val="20"/>
          <w:szCs w:val="20"/>
          <w:color w:val="auto"/>
        </w:rPr>
      </w:pPr>
    </w:p>
    <w:p>
      <w:pPr>
        <w:ind w:left="512" w:right="160"/>
        <w:spacing w:after="0" w:line="282" w:lineRule="auto"/>
        <w:rPr>
          <w:sz w:val="20"/>
          <w:szCs w:val="20"/>
          <w:color w:val="auto"/>
        </w:rPr>
      </w:pPr>
      <w:r>
        <w:rPr>
          <w:rFonts w:ascii="Times New Roman" w:cs="Times New Roman" w:eastAsia="Times New Roman" w:hAnsi="Times New Roman"/>
          <w:sz w:val="18"/>
          <w:szCs w:val="18"/>
          <w:color w:val="auto"/>
        </w:rPr>
        <w:t>The Company reviews recently issued accounting standards on a quarterly basis and has determined there are no other standards yet to be adopted which are relevant to the business for disclosure.</w:t>
      </w:r>
    </w:p>
    <w:p>
      <w:pPr>
        <w:spacing w:after="0" w:line="18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765" w:right="399" w:bottom="1440" w:gutter="0" w:footer="0" w:header="0"/>
        </w:sectPr>
      </w:pPr>
    </w:p>
    <w:bookmarkStart w:id="11" w:name="page12"/>
    <w:bookmarkEnd w:id="11"/>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360" w:hanging="19"/>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302"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inventories include the following at September 30, 2024 and December 31, 2023:</w:t>
      </w:r>
    </w:p>
    <w:p>
      <w:pPr>
        <w:spacing w:after="0" w:line="268" w:lineRule="exact"/>
        <w:rPr>
          <w:sz w:val="20"/>
          <w:szCs w:val="20"/>
          <w:color w:val="auto"/>
        </w:rPr>
      </w:pPr>
    </w:p>
    <w:tbl>
      <w:tblPr>
        <w:tblLayout w:type="fixed"/>
        <w:tblInd w:w="680" w:type="dxa"/>
        <w:tblCellMar>
          <w:top w:w="0" w:type="dxa"/>
          <w:left w:w="0" w:type="dxa"/>
          <w:bottom w:w="0" w:type="dxa"/>
          <w:right w:w="0" w:type="dxa"/>
        </w:tblCellMar>
      </w:tblPr>
      <w:tr>
        <w:trPr>
          <w:trHeight w:val="225"/>
        </w:trPr>
        <w:tc>
          <w:tcPr>
            <w:tcW w:w="3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9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5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3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w:t>
            </w: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0"/>
              </w:rPr>
              <w:t>thousands)</w:t>
            </w:r>
          </w:p>
        </w:tc>
        <w:tc>
          <w:tcPr>
            <w:tcW w:w="1980" w:type="dxa"/>
            <w:vAlign w:val="bottom"/>
            <w:tcBorders>
              <w:bottom w:val="single" w:sz="8" w:color="auto"/>
            </w:tcBorders>
          </w:tcPr>
          <w:p>
            <w:pPr>
              <w:spacing w:after="0"/>
              <w:rPr>
                <w:sz w:val="19"/>
                <w:szCs w:val="19"/>
                <w:color w:val="auto"/>
              </w:rPr>
            </w:pPr>
          </w:p>
        </w:tc>
      </w:tr>
      <w:tr>
        <w:trPr>
          <w:trHeight w:val="230"/>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Raw Material</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1,547</w:t>
            </w:r>
          </w:p>
        </w:tc>
      </w:tr>
      <w:tr>
        <w:trPr>
          <w:trHeight w:val="220"/>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Packaging and Miscellaneous</w:t>
            </w:r>
          </w:p>
        </w:tc>
        <w:tc>
          <w:tcPr>
            <w:tcW w:w="14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11,806</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10,661</w:t>
            </w:r>
          </w:p>
        </w:tc>
      </w:tr>
      <w:tr>
        <w:trPr>
          <w:trHeight w:val="239"/>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1400" w:type="dxa"/>
            <w:vAlign w:val="bottom"/>
            <w:shd w:val="clear" w:color="auto" w:fill="CFF0FC"/>
          </w:tcPr>
          <w:p>
            <w:pPr>
              <w:spacing w:after="0"/>
              <w:rPr>
                <w:sz w:val="20"/>
                <w:szCs w:val="20"/>
                <w:color w:val="auto"/>
              </w:rPr>
            </w:pPr>
          </w:p>
        </w:tc>
        <w:tc>
          <w:tcPr>
            <w:tcW w:w="19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54,764</w:t>
            </w:r>
          </w:p>
        </w:tc>
        <w:tc>
          <w:tcPr>
            <w:tcW w:w="2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47,029</w:t>
            </w:r>
          </w:p>
        </w:tc>
      </w:tr>
      <w:tr>
        <w:trPr>
          <w:trHeight w:val="220"/>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14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72,566</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57,631</w:t>
            </w:r>
          </w:p>
        </w:tc>
      </w:tr>
      <w:tr>
        <w:trPr>
          <w:trHeight w:val="236"/>
        </w:trPr>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Reserve for Obsolete Inventory</w:t>
            </w:r>
          </w:p>
        </w:tc>
        <w:tc>
          <w:tcPr>
            <w:tcW w:w="1400" w:type="dxa"/>
            <w:vAlign w:val="bottom"/>
            <w:tcBorders>
              <w:bottom w:val="single" w:sz="8" w:color="CFF0FC"/>
            </w:tcBorders>
            <w:shd w:val="clear" w:color="auto" w:fill="CFF0FC"/>
          </w:tcPr>
          <w:p>
            <w:pPr>
              <w:spacing w:after="0"/>
              <w:rPr>
                <w:sz w:val="20"/>
                <w:szCs w:val="20"/>
                <w:color w:val="auto"/>
              </w:rPr>
            </w:pPr>
          </w:p>
        </w:tc>
        <w:tc>
          <w:tcPr>
            <w:tcW w:w="192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(3,814)</w:t>
            </w:r>
          </w:p>
        </w:tc>
        <w:tc>
          <w:tcPr>
            <w:tcW w:w="2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(3,898)</w:t>
            </w:r>
          </w:p>
        </w:tc>
      </w:tr>
      <w:tr>
        <w:trPr>
          <w:trHeight w:val="226"/>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Inventories, Net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138,283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112,970</w:t>
            </w:r>
          </w:p>
        </w:tc>
      </w:tr>
      <w:tr>
        <w:trPr>
          <w:trHeight w:val="20"/>
        </w:trPr>
        <w:tc>
          <w:tcPr>
            <w:tcW w:w="3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-179070</wp:posOffset>
            </wp:positionV>
            <wp:extent cx="137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63"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and December 31, 2023, property and equipment consisted of the following:</w:t>
      </w:r>
    </w:p>
    <w:p>
      <w:pPr>
        <w:spacing w:after="0" w:line="268" w:lineRule="exact"/>
        <w:rPr>
          <w:sz w:val="20"/>
          <w:szCs w:val="20"/>
          <w:color w:val="auto"/>
        </w:rPr>
      </w:pPr>
    </w:p>
    <w:tbl>
      <w:tblPr>
        <w:tblLayout w:type="fixed"/>
        <w:tblInd w:w="680" w:type="dxa"/>
        <w:tblCellMar>
          <w:top w:w="0" w:type="dxa"/>
          <w:left w:w="0" w:type="dxa"/>
          <w:bottom w:w="0" w:type="dxa"/>
          <w:right w:w="0" w:type="dxa"/>
        </w:tblCellMar>
      </w:tblPr>
      <w:tr>
        <w:trPr>
          <w:trHeight w:val="225"/>
        </w:trPr>
        <w:tc>
          <w:tcPr>
            <w:tcW w:w="3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4"/>
        </w:trPr>
        <w:tc>
          <w:tcPr>
            <w:tcW w:w="3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160" w:type="dxa"/>
            <w:vAlign w:val="bottom"/>
            <w:gridSpan w:val="3"/>
          </w:tcPr>
          <w:p>
            <w:pPr>
              <w:jc w:val="center"/>
              <w:ind w:left="18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980" w:type="dxa"/>
            <w:vAlign w:val="bottom"/>
          </w:tcPr>
          <w:p>
            <w:pPr>
              <w:spacing w:after="0"/>
              <w:rPr>
                <w:sz w:val="19"/>
                <w:szCs w:val="19"/>
                <w:color w:val="auto"/>
              </w:rPr>
            </w:pPr>
          </w:p>
        </w:tc>
      </w:tr>
      <w:tr>
        <w:trPr>
          <w:trHeight w:val="33"/>
        </w:trPr>
        <w:tc>
          <w:tcPr>
            <w:tcW w:w="3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23"/>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354,054</w:t>
            </w:r>
          </w:p>
        </w:tc>
        <w:tc>
          <w:tcPr>
            <w:tcW w:w="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353,912</w:t>
            </w:r>
          </w:p>
        </w:tc>
      </w:tr>
      <w:tr>
        <w:trPr>
          <w:trHeight w:val="220"/>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Computers and Furniture</w:t>
            </w:r>
          </w:p>
        </w:tc>
        <w:tc>
          <w:tcPr>
            <w:tcW w:w="122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189,736</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171,522</w:t>
            </w:r>
          </w:p>
        </w:tc>
      </w:tr>
      <w:tr>
        <w:trPr>
          <w:trHeight w:val="239"/>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220" w:type="dxa"/>
            <w:vAlign w:val="bottom"/>
            <w:shd w:val="clear" w:color="auto" w:fill="CFF0FC"/>
          </w:tcPr>
          <w:p>
            <w:pPr>
              <w:spacing w:after="0"/>
              <w:rPr>
                <w:sz w:val="20"/>
                <w:szCs w:val="20"/>
                <w:color w:val="auto"/>
              </w:rPr>
            </w:pPr>
          </w:p>
        </w:tc>
        <w:tc>
          <w:tcPr>
            <w:tcW w:w="2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229,964</w:t>
            </w:r>
          </w:p>
        </w:tc>
        <w:tc>
          <w:tcPr>
            <w:tcW w:w="2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200,232</w:t>
            </w:r>
          </w:p>
        </w:tc>
      </w:tr>
      <w:tr>
        <w:trPr>
          <w:trHeight w:val="220"/>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22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33,725</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33,725</w:t>
            </w:r>
          </w:p>
        </w:tc>
      </w:tr>
      <w:tr>
        <w:trPr>
          <w:trHeight w:val="239"/>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Land Improvements</w:t>
            </w:r>
          </w:p>
        </w:tc>
        <w:tc>
          <w:tcPr>
            <w:tcW w:w="1220" w:type="dxa"/>
            <w:vAlign w:val="bottom"/>
            <w:shd w:val="clear" w:color="auto" w:fill="CFF0FC"/>
          </w:tcPr>
          <w:p>
            <w:pPr>
              <w:spacing w:after="0"/>
              <w:rPr>
                <w:sz w:val="20"/>
                <w:szCs w:val="20"/>
                <w:color w:val="auto"/>
              </w:rPr>
            </w:pPr>
          </w:p>
        </w:tc>
        <w:tc>
          <w:tcPr>
            <w:tcW w:w="2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2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1,046</w:t>
            </w:r>
          </w:p>
        </w:tc>
      </w:tr>
      <w:tr>
        <w:trPr>
          <w:trHeight w:val="220"/>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 Under Construction</w:t>
            </w:r>
          </w:p>
        </w:tc>
        <w:tc>
          <w:tcPr>
            <w:tcW w:w="122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27,388</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23,142</w:t>
            </w:r>
          </w:p>
        </w:tc>
      </w:tr>
      <w:tr>
        <w:trPr>
          <w:trHeight w:val="233"/>
        </w:trPr>
        <w:tc>
          <w:tcPr>
            <w:tcW w:w="3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Capitalized Interest</w:t>
            </w:r>
          </w:p>
        </w:tc>
        <w:tc>
          <w:tcPr>
            <w:tcW w:w="1220" w:type="dxa"/>
            <w:vAlign w:val="bottom"/>
            <w:tcBorders>
              <w:bottom w:val="single" w:sz="8" w:color="CFF0FC"/>
            </w:tcBorders>
            <w:shd w:val="clear" w:color="auto" w:fill="CFF0FC"/>
          </w:tcPr>
          <w:p>
            <w:pPr>
              <w:spacing w:after="0"/>
              <w:rPr>
                <w:sz w:val="20"/>
                <w:szCs w:val="20"/>
                <w:color w:val="auto"/>
              </w:rPr>
            </w:pPr>
          </w:p>
        </w:tc>
        <w:tc>
          <w:tcPr>
            <w:tcW w:w="2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31,944</w:t>
            </w:r>
          </w:p>
        </w:tc>
        <w:tc>
          <w:tcPr>
            <w:tcW w:w="2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30,817</w:t>
            </w:r>
          </w:p>
        </w:tc>
      </w:tr>
      <w:tr>
        <w:trPr>
          <w:trHeight w:val="221"/>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Property and Equipment</w:t>
            </w:r>
          </w:p>
        </w:tc>
        <w:tc>
          <w:tcPr>
            <w:tcW w:w="122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868,349</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814,396</w:t>
            </w:r>
          </w:p>
        </w:tc>
      </w:tr>
      <w:tr>
        <w:trPr>
          <w:trHeight w:val="232"/>
        </w:trPr>
        <w:tc>
          <w:tcPr>
            <w:tcW w:w="3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220" w:type="dxa"/>
            <w:vAlign w:val="bottom"/>
            <w:tcBorders>
              <w:bottom w:val="single" w:sz="8" w:color="CFF0FC"/>
            </w:tcBorders>
            <w:shd w:val="clear" w:color="auto" w:fill="CFF0FC"/>
          </w:tcPr>
          <w:p>
            <w:pPr>
              <w:spacing w:after="0"/>
              <w:rPr>
                <w:sz w:val="20"/>
                <w:szCs w:val="20"/>
                <w:color w:val="auto"/>
              </w:rPr>
            </w:pPr>
          </w:p>
        </w:tc>
        <w:tc>
          <w:tcPr>
            <w:tcW w:w="2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(172,683)</w:t>
            </w:r>
          </w:p>
        </w:tc>
        <w:tc>
          <w:tcPr>
            <w:tcW w:w="2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(127,290)</w:t>
            </w:r>
          </w:p>
        </w:tc>
      </w:tr>
      <w:tr>
        <w:trPr>
          <w:trHeight w:val="227"/>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695,666</w:t>
            </w:r>
          </w:p>
        </w:tc>
        <w:tc>
          <w:tcPr>
            <w:tcW w:w="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687,106</w:t>
            </w:r>
          </w:p>
        </w:tc>
      </w:tr>
      <w:tr>
        <w:trPr>
          <w:trHeight w:val="20"/>
        </w:trPr>
        <w:tc>
          <w:tcPr>
            <w:tcW w:w="3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-479425</wp:posOffset>
            </wp:positionV>
            <wp:extent cx="137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-179070</wp:posOffset>
            </wp:positionV>
            <wp:extent cx="137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Assets under construction represent costs associated with construction projects on cultivation and production facilities and retail stores as well as costs associated with internal-use software not yet placed in service.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Depreciation expense for the three and nine months ended September 30, 2024 totaled $15,918 thousand and $46,434 thousand, respectively, of which $10,240 thousand and $29,963 thousand, respectively, is included in cost of goods sold. Depreciation expense for the three and nine months ended September 30, 2023 totaled $12,885 thousand and $35,266 thousand, respectively, of which $8,298 thousand and $23,348 thousand, respectively, is included in cost of goods sold.</w:t>
      </w:r>
    </w:p>
    <w:p>
      <w:pPr>
        <w:spacing w:after="0" w:line="200" w:lineRule="exact"/>
        <w:rPr>
          <w:sz w:val="20"/>
          <w:szCs w:val="20"/>
          <w:color w:val="auto"/>
        </w:rPr>
      </w:pPr>
    </w:p>
    <w:p>
      <w:pPr>
        <w:spacing w:after="0" w:line="22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765" w:right="7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60" w:hanging="19"/>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234"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38"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and impairment losses.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September 30, 2024 and December 31, 2023, intangible assets consisted of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jc w:val="right"/>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Pr>
          <w:p>
            <w:pPr>
              <w:spacing w:after="0"/>
              <w:rPr>
                <w:sz w:val="11"/>
                <w:szCs w:val="11"/>
                <w:color w:val="auto"/>
              </w:rPr>
            </w:pPr>
          </w:p>
        </w:tc>
        <w:tc>
          <w:tcPr>
            <w:tcW w:w="132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12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280" w:type="dxa"/>
            <w:vAlign w:val="bottom"/>
          </w:tcPr>
          <w:p>
            <w:pPr>
              <w:spacing w:after="0"/>
              <w:rPr>
                <w:sz w:val="11"/>
                <w:szCs w:val="11"/>
                <w:color w:val="auto"/>
              </w:rPr>
            </w:pPr>
          </w:p>
        </w:tc>
        <w:tc>
          <w:tcPr>
            <w:tcW w:w="1160" w:type="dxa"/>
            <w:vAlign w:val="bottom"/>
          </w:tcPr>
          <w:p>
            <w:pPr>
              <w:jc w:val="right"/>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Pr>
          <w:p>
            <w:pPr>
              <w:spacing w:after="0"/>
              <w:rPr>
                <w:sz w:val="11"/>
                <w:szCs w:val="11"/>
                <w:color w:val="auto"/>
              </w:rPr>
            </w:pPr>
          </w:p>
        </w:tc>
        <w:tc>
          <w:tcPr>
            <w:tcW w:w="12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1"/>
                <w:szCs w:val="11"/>
                <w:color w:val="auto"/>
              </w:rPr>
            </w:pPr>
          </w:p>
        </w:tc>
        <w:tc>
          <w:tcPr>
            <w:tcW w:w="11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Borders>
              <w:top w:val="single" w:sz="8" w:color="auto"/>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Borders>
              <w:top w:val="single" w:sz="8" w:color="auto"/>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Licenses and Permits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660,716</w:t>
            </w: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190,838</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469,878</w:t>
            </w:r>
          </w:p>
        </w:tc>
        <w:tc>
          <w:tcPr>
            <w:tcW w:w="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660,716</w:t>
            </w:r>
          </w:p>
        </w:tc>
        <w:tc>
          <w:tcPr>
            <w:tcW w:w="2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157,764</w:t>
            </w: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502,952</w:t>
            </w:r>
          </w:p>
        </w:tc>
        <w:tc>
          <w:tcPr>
            <w:tcW w:w="0" w:type="dxa"/>
            <w:vAlign w:val="bottom"/>
          </w:tcPr>
          <w:p>
            <w:pPr>
              <w:spacing w:after="0"/>
              <w:rPr>
                <w:sz w:val="1"/>
                <w:szCs w:val="1"/>
                <w:color w:val="auto"/>
              </w:rPr>
            </w:pPr>
          </w:p>
        </w:tc>
      </w:tr>
      <w:tr>
        <w:trPr>
          <w:trHeight w:val="176"/>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Trademarks</w:t>
            </w: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41,511</w:t>
            </w: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26,089</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41,511</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13,378</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28,133</w:t>
            </w:r>
          </w:p>
        </w:tc>
        <w:tc>
          <w:tcPr>
            <w:tcW w:w="0" w:type="dxa"/>
            <w:vAlign w:val="bottom"/>
          </w:tcPr>
          <w:p>
            <w:pPr>
              <w:spacing w:after="0"/>
              <w:rPr>
                <w:sz w:val="1"/>
                <w:szCs w:val="1"/>
                <w:color w:val="auto"/>
              </w:rPr>
            </w:pPr>
          </w:p>
        </w:tc>
      </w:tr>
      <w:tr>
        <w:trPr>
          <w:trHeight w:val="175"/>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5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24,438</w:t>
            </w:r>
          </w:p>
        </w:tc>
        <w:tc>
          <w:tcPr>
            <w:tcW w:w="2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19,545</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4,893</w:t>
            </w:r>
          </w:p>
        </w:tc>
        <w:tc>
          <w:tcPr>
            <w:tcW w:w="2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24,438</w:t>
            </w: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16,927</w:t>
            </w:r>
          </w:p>
        </w:tc>
        <w:tc>
          <w:tcPr>
            <w:tcW w:w="2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7,511</w:t>
            </w:r>
          </w:p>
        </w:tc>
        <w:tc>
          <w:tcPr>
            <w:tcW w:w="0" w:type="dxa"/>
            <w:vAlign w:val="bottom"/>
          </w:tcPr>
          <w:p>
            <w:pPr>
              <w:spacing w:after="0"/>
              <w:rPr>
                <w:sz w:val="1"/>
                <w:szCs w:val="1"/>
                <w:color w:val="auto"/>
              </w:rPr>
            </w:pPr>
          </w:p>
        </w:tc>
      </w:tr>
      <w:tr>
        <w:trPr>
          <w:trHeight w:val="176"/>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Non-Competition Agreements</w:t>
            </w:r>
          </w:p>
        </w:tc>
        <w:tc>
          <w:tcPr>
            <w:tcW w:w="54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26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24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2,483</w:t>
            </w:r>
          </w:p>
        </w:tc>
        <w:tc>
          <w:tcPr>
            <w:tcW w:w="26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09"/>
        </w:trPr>
        <w:tc>
          <w:tcPr>
            <w:tcW w:w="21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Intangible Assets</w:t>
            </w:r>
          </w:p>
        </w:tc>
        <w:tc>
          <w:tcPr>
            <w:tcW w:w="54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729,230</w:t>
            </w:r>
          </w:p>
        </w:tc>
        <w:tc>
          <w:tcPr>
            <w:tcW w:w="260" w:type="dxa"/>
            <w:vAlign w:val="bottom"/>
            <w:tcBorders>
              <w:bottom w:val="single" w:sz="8" w:color="CFF0FC"/>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228,370</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500,860</w:t>
            </w:r>
          </w:p>
        </w:tc>
        <w:tc>
          <w:tcPr>
            <w:tcW w:w="280" w:type="dxa"/>
            <w:vAlign w:val="bottom"/>
            <w:tcBorders>
              <w:bottom w:val="single" w:sz="8" w:color="CFF0FC"/>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729,230</w:t>
            </w:r>
          </w:p>
        </w:tc>
        <w:tc>
          <w:tcPr>
            <w:tcW w:w="240" w:type="dxa"/>
            <w:vAlign w:val="bottom"/>
            <w:tcBorders>
              <w:bottom w:val="single" w:sz="8" w:color="CFF0FC"/>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190,552</w:t>
            </w:r>
          </w:p>
        </w:tc>
        <w:tc>
          <w:tcPr>
            <w:tcW w:w="260" w:type="dxa"/>
            <w:vAlign w:val="bottom"/>
            <w:tcBorders>
              <w:bottom w:val="single" w:sz="8" w:color="CFF0FC"/>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538,678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-24765</wp:posOffset>
            </wp:positionV>
            <wp:extent cx="1714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-7620</wp:posOffset>
            </wp:positionV>
            <wp:extent cx="1714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-24765</wp:posOffset>
            </wp:positionV>
            <wp:extent cx="1714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1714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1714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1714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1631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1631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1625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1625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205" w:lineRule="exact"/>
        <w:rPr>
          <w:sz w:val="20"/>
          <w:szCs w:val="20"/>
          <w:color w:val="auto"/>
        </w:rPr>
      </w:pPr>
    </w:p>
    <w:p>
      <w:pPr>
        <w:ind w:left="520" w:right="140"/>
        <w:spacing w:after="0" w:line="261" w:lineRule="auto"/>
        <w:rPr>
          <w:sz w:val="20"/>
          <w:szCs w:val="20"/>
          <w:color w:val="auto"/>
        </w:rPr>
      </w:pPr>
      <w:r>
        <w:rPr>
          <w:rFonts w:ascii="Times New Roman" w:cs="Times New Roman" w:eastAsia="Times New Roman" w:hAnsi="Times New Roman"/>
          <w:sz w:val="18"/>
          <w:szCs w:val="18"/>
          <w:color w:val="auto"/>
        </w:rPr>
        <w:t>The Company recorded amortization expense for the three and nine months ended September 30, 2024 of $12,574 thousand and $37,818 thousand, respectively. The Company recorded amortization expense for the three and nine months ended September 30, 2023 of $12,743 thousand and $38,097 thousand, respectively. As of September 30, 2024 and December 31, 2023, intangible assets are carried net of accumulated impairment losses of $31,131 thousand as of each period then ended.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outlines the estimated annual amortization expense related to intangible assets as of September 30, 2024:</w:t>
      </w:r>
    </w:p>
    <w:p>
      <w:pPr>
        <w:spacing w:after="0" w:line="220"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7"/>
        </w:trPr>
        <w:tc>
          <w:tcPr>
            <w:tcW w:w="43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69"/>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840" w:type="dxa"/>
            <w:vAlign w:val="bottom"/>
          </w:tcPr>
          <w:p>
            <w:pPr>
              <w:spacing w:after="0"/>
              <w:rPr>
                <w:sz w:val="14"/>
                <w:szCs w:val="14"/>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3"/>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Remainder of 2024</w:t>
            </w:r>
          </w:p>
        </w:tc>
        <w:tc>
          <w:tcPr>
            <w:tcW w:w="2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12,574</w:t>
            </w:r>
          </w:p>
        </w:tc>
      </w:tr>
      <w:tr>
        <w:trPr>
          <w:trHeight w:val="21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84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50,294</w:t>
            </w:r>
          </w:p>
        </w:tc>
      </w:tr>
      <w:tr>
        <w:trPr>
          <w:trHeight w:val="33"/>
        </w:trPr>
        <w:tc>
          <w:tcPr>
            <w:tcW w:w="43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29"/>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840" w:type="dxa"/>
            <w:vAlign w:val="bottom"/>
            <w:shd w:val="clear" w:color="auto" w:fill="CFF0FC"/>
          </w:tcPr>
          <w:p>
            <w:pPr>
              <w:spacing w:after="0"/>
              <w:rPr>
                <w:sz w:val="19"/>
                <w:szCs w:val="19"/>
                <w:color w:val="auto"/>
              </w:rPr>
            </w:pPr>
          </w:p>
        </w:tc>
        <w:tc>
          <w:tcPr>
            <w:tcW w:w="2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47,332</w:t>
            </w:r>
          </w:p>
        </w:tc>
      </w:tr>
      <w:tr>
        <w:trPr>
          <w:trHeight w:val="21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84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46,803</w:t>
            </w:r>
          </w:p>
        </w:tc>
      </w:tr>
      <w:tr>
        <w:trPr>
          <w:trHeight w:val="33"/>
        </w:trPr>
        <w:tc>
          <w:tcPr>
            <w:tcW w:w="43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29"/>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840" w:type="dxa"/>
            <w:vAlign w:val="bottom"/>
            <w:shd w:val="clear" w:color="auto" w:fill="CFF0FC"/>
          </w:tcPr>
          <w:p>
            <w:pPr>
              <w:spacing w:after="0"/>
              <w:rPr>
                <w:sz w:val="19"/>
                <w:szCs w:val="19"/>
                <w:color w:val="auto"/>
              </w:rPr>
            </w:pPr>
          </w:p>
        </w:tc>
        <w:tc>
          <w:tcPr>
            <w:tcW w:w="2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46,803</w:t>
            </w: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 and Thereafter</w:t>
            </w:r>
          </w:p>
        </w:tc>
        <w:tc>
          <w:tcPr>
            <w:tcW w:w="2840" w:type="dxa"/>
            <w:vAlign w:val="bottom"/>
          </w:tcPr>
          <w:p>
            <w:pPr>
              <w:spacing w:after="0"/>
              <w:rPr>
                <w:sz w:val="19"/>
                <w:szCs w:val="19"/>
                <w:color w:val="auto"/>
              </w:rPr>
            </w:pPr>
          </w:p>
        </w:tc>
        <w:tc>
          <w:tcPr>
            <w:tcW w:w="2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297,054</w:t>
            </w:r>
          </w:p>
        </w:tc>
      </w:tr>
      <w:tr>
        <w:trPr>
          <w:trHeight w:val="226"/>
        </w:trPr>
        <w:tc>
          <w:tcPr>
            <w:tcW w:w="4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500,860</w:t>
            </w:r>
          </w:p>
        </w:tc>
      </w:tr>
      <w:tr>
        <w:trPr>
          <w:trHeight w:val="20"/>
        </w:trPr>
        <w:tc>
          <w:tcPr>
            <w:tcW w:w="4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2024, the weighted average amortization period remaining for intangible assets was 10.68 years.</w:t>
      </w:r>
    </w:p>
    <w:p>
      <w:pPr>
        <w:spacing w:after="0" w:line="32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September 30, 2024 and December 31, 2023 the balances of goodwill, by segment, consisted of the following:</w:t>
      </w:r>
    </w:p>
    <w:p>
      <w:pPr>
        <w:spacing w:after="0" w:line="200" w:lineRule="exact"/>
        <w:rPr>
          <w:sz w:val="20"/>
          <w:szCs w:val="20"/>
          <w:color w:val="auto"/>
        </w:rPr>
      </w:pPr>
    </w:p>
    <w:p>
      <w:pPr>
        <w:spacing w:after="0" w:line="235" w:lineRule="exact"/>
        <w:rPr>
          <w:sz w:val="20"/>
          <w:szCs w:val="20"/>
          <w:color w:val="auto"/>
        </w:rPr>
      </w:pPr>
    </w:p>
    <w:tbl>
      <w:tblPr>
        <w:tblLayout w:type="fixed"/>
        <w:tblInd w:w="680" w:type="dxa"/>
        <w:tblCellMar>
          <w:top w:w="0" w:type="dxa"/>
          <w:left w:w="0" w:type="dxa"/>
          <w:bottom w:w="0" w:type="dxa"/>
          <w:right w:w="0" w:type="dxa"/>
        </w:tblCellMar>
      </w:tblPr>
      <w:tr>
        <w:trPr>
          <w:trHeight w:val="187"/>
        </w:trPr>
        <w:tc>
          <w:tcPr>
            <w:tcW w:w="3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6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3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80" w:type="dxa"/>
            <w:vAlign w:val="bottom"/>
            <w:tcBorders>
              <w:bottom w:val="single" w:sz="8" w:color="auto"/>
            </w:tcBorders>
          </w:tcPr>
          <w:p>
            <w:pPr>
              <w:spacing w:after="0"/>
              <w:rPr>
                <w:sz w:val="20"/>
                <w:szCs w:val="20"/>
                <w:color w:val="auto"/>
              </w:rPr>
            </w:pPr>
          </w:p>
        </w:tc>
      </w:tr>
      <w:tr>
        <w:trPr>
          <w:trHeight w:val="223"/>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273,802</w:t>
            </w:r>
          </w:p>
        </w:tc>
        <w:tc>
          <w:tcPr>
            <w:tcW w:w="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273,802</w:t>
            </w:r>
          </w:p>
        </w:tc>
      </w:tr>
      <w:tr>
        <w:trPr>
          <w:trHeight w:val="223"/>
        </w:trPr>
        <w:tc>
          <w:tcPr>
            <w:tcW w:w="31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Consumer Packaged Goods</w:t>
            </w:r>
          </w:p>
        </w:tc>
        <w:tc>
          <w:tcPr>
            <w:tcW w:w="1540" w:type="dxa"/>
            <w:vAlign w:val="bottom"/>
            <w:tcBorders>
              <w:bottom w:val="single" w:sz="8" w:color="CFF0FC"/>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315,889</w:t>
            </w:r>
          </w:p>
        </w:tc>
        <w:tc>
          <w:tcPr>
            <w:tcW w:w="2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315,889</w:t>
            </w:r>
          </w:p>
        </w:tc>
      </w:tr>
      <w:tr>
        <w:trPr>
          <w:trHeight w:val="267"/>
        </w:trPr>
        <w:tc>
          <w:tcPr>
            <w:tcW w:w="3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60" w:type="dxa"/>
            <w:vAlign w:val="bottom"/>
            <w:tcBorders>
              <w:bottom w:val="single" w:sz="8" w:color="auto"/>
            </w:tcBorders>
            <w:shd w:val="clear" w:color="auto" w:fill="CFF0FC"/>
          </w:tcPr>
          <w:p>
            <w:pPr>
              <w:spacing w:after="0"/>
              <w:rPr>
                <w:sz w:val="23"/>
                <w:szCs w:val="2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589,691</w:t>
            </w:r>
          </w:p>
        </w:tc>
        <w:tc>
          <w:tcPr>
            <w:tcW w:w="2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shd w:val="clear" w:color="auto" w:fill="CFF0FC"/>
          </w:tcPr>
          <w:p>
            <w:pPr>
              <w:spacing w:after="0"/>
              <w:rPr>
                <w:sz w:val="23"/>
                <w:szCs w:val="23"/>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589,691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-24765</wp:posOffset>
            </wp:positionV>
            <wp:extent cx="1543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-8255</wp:posOffset>
            </wp:positionV>
            <wp:extent cx="1543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-179070</wp:posOffset>
            </wp:positionV>
            <wp:extent cx="1543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86" w:lineRule="exact"/>
        <w:rPr>
          <w:sz w:val="20"/>
          <w:szCs w:val="20"/>
          <w:color w:val="auto"/>
        </w:rPr>
      </w:pPr>
    </w:p>
    <w:p>
      <w:pPr>
        <w:ind w:left="520" w:right="260"/>
        <w:spacing w:after="0" w:line="266" w:lineRule="auto"/>
        <w:rPr>
          <w:sz w:val="20"/>
          <w:szCs w:val="20"/>
          <w:color w:val="auto"/>
        </w:rPr>
      </w:pPr>
      <w:r>
        <w:rPr>
          <w:rFonts w:ascii="Times New Roman" w:cs="Times New Roman" w:eastAsia="Times New Roman" w:hAnsi="Times New Roman"/>
          <w:sz w:val="18"/>
          <w:szCs w:val="18"/>
          <w:color w:val="auto"/>
        </w:rPr>
        <w:t>Goodwill is recognized net of accumulated impairment losses of $57,372 thousand as of September 30, 2024 and December 31, 2023. During the three and nine months ended September 30, 2024 and 2023, there were no goodwill impairment charges recognized by the Company in the unaudited interim condensed consolidated statements of operations.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 w:name="page14"/>
    <w:bookmarkEnd w:id="1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14Green Thumb Industries Inc.</w:t>
      </w:r>
    </w:p>
    <w:p>
      <w:pPr>
        <w:spacing w:after="0" w:line="31" w:lineRule="exact"/>
        <w:rPr>
          <w:sz w:val="20"/>
          <w:szCs w:val="20"/>
          <w:color w:val="auto"/>
        </w:rPr>
      </w:pPr>
    </w:p>
    <w:p>
      <w:pPr>
        <w:jc w:val="both"/>
        <w:ind w:left="2780" w:right="266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369"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of September 30, 2024 and December 31, 2023, the Company held various equity interests in cannabis-related companies as well as investments in note(s) receivable instruments that had a combined fair value of $61,422 thousand and $64,361 thousand, respectively. The Company measures its investments that do not have readily determinable fair value at cost minus impairment, plus or minus changes resulting from observable price changes in orderly transactions for the identical or a similar investment of the same issuer. The Company performs an assessment on a quarterly basis to determine whether triggering events for impairment exist and to identify any observable price changes.</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investments during the nine months ended September 30, 2024 and year ended December 31, 2023:</w:t>
      </w:r>
    </w:p>
    <w:p>
      <w:pPr>
        <w:spacing w:after="0" w:line="196" w:lineRule="exact"/>
        <w:rPr>
          <w:sz w:val="20"/>
          <w:szCs w:val="20"/>
          <w:color w:val="auto"/>
        </w:rPr>
      </w:pPr>
    </w:p>
    <w:tbl>
      <w:tblPr>
        <w:tblLayout w:type="fixed"/>
        <w:tblInd w:w="680" w:type="dxa"/>
        <w:tblCellMar>
          <w:top w:w="0" w:type="dxa"/>
          <w:left w:w="0" w:type="dxa"/>
          <w:bottom w:w="0" w:type="dxa"/>
          <w:right w:w="0" w:type="dxa"/>
        </w:tblCellMar>
      </w:tblPr>
      <w:tr>
        <w:trPr>
          <w:trHeight w:val="187"/>
        </w:trPr>
        <w:tc>
          <w:tcPr>
            <w:tcW w:w="29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9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5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2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60" w:type="dxa"/>
            <w:vAlign w:val="bottom"/>
            <w:tcBorders>
              <w:bottom w:val="single" w:sz="8" w:color="auto"/>
            </w:tcBorders>
          </w:tcPr>
          <w:p>
            <w:pPr>
              <w:spacing w:after="0"/>
              <w:rPr>
                <w:sz w:val="14"/>
                <w:szCs w:val="14"/>
                <w:color w:val="auto"/>
              </w:rPr>
            </w:pPr>
          </w:p>
        </w:tc>
      </w:tr>
      <w:tr>
        <w:trPr>
          <w:trHeight w:val="169"/>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Beginning</w:t>
            </w:r>
          </w:p>
        </w:tc>
        <w:tc>
          <w:tcPr>
            <w:tcW w:w="18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64,361</w:t>
            </w:r>
          </w:p>
        </w:tc>
        <w:tc>
          <w:tcPr>
            <w:tcW w:w="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spacing w:after="0"/>
              <w:rPr>
                <w:sz w:val="14"/>
                <w:szCs w:val="14"/>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74,169</w:t>
            </w:r>
          </w:p>
        </w:tc>
      </w:tr>
      <w:tr>
        <w:trPr>
          <w:trHeight w:val="175"/>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8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3,817</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8,200</w:t>
            </w:r>
          </w:p>
        </w:tc>
      </w:tr>
      <w:tr>
        <w:trPr>
          <w:trHeight w:val="176"/>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w:t>
            </w:r>
          </w:p>
        </w:tc>
        <w:tc>
          <w:tcPr>
            <w:tcW w:w="1820" w:type="dxa"/>
            <w:vAlign w:val="bottom"/>
            <w:shd w:val="clear" w:color="auto" w:fill="CFF0FC"/>
          </w:tcPr>
          <w:p>
            <w:pPr>
              <w:spacing w:after="0"/>
              <w:rPr>
                <w:sz w:val="15"/>
                <w:szCs w:val="15"/>
                <w:color w:val="auto"/>
              </w:rPr>
            </w:pPr>
          </w:p>
        </w:tc>
        <w:tc>
          <w:tcPr>
            <w:tcW w:w="19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(7,012)</w:t>
            </w:r>
          </w:p>
        </w:tc>
        <w:tc>
          <w:tcPr>
            <w:tcW w:w="2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(498)</w:t>
            </w:r>
          </w:p>
        </w:tc>
      </w:tr>
      <w:tr>
        <w:trPr>
          <w:trHeight w:val="175"/>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adjustment</w:t>
            </w:r>
          </w:p>
        </w:tc>
        <w:tc>
          <w:tcPr>
            <w:tcW w:w="18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(17,460)</w:t>
            </w:r>
          </w:p>
        </w:tc>
      </w:tr>
      <w:tr>
        <w:trPr>
          <w:trHeight w:val="176"/>
        </w:trPr>
        <w:tc>
          <w:tcPr>
            <w:tcW w:w="2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Transfers and other</w:t>
            </w:r>
          </w:p>
        </w:tc>
        <w:tc>
          <w:tcPr>
            <w:tcW w:w="1820" w:type="dxa"/>
            <w:vAlign w:val="bottom"/>
            <w:tcBorders>
              <w:bottom w:val="single" w:sz="8" w:color="CFF0FC"/>
            </w:tcBorders>
            <w:shd w:val="clear" w:color="auto" w:fill="CFF0FC"/>
          </w:tcPr>
          <w:p>
            <w:pPr>
              <w:spacing w:after="0"/>
              <w:rPr>
                <w:sz w:val="15"/>
                <w:szCs w:val="15"/>
                <w:color w:val="auto"/>
              </w:rPr>
            </w:pPr>
          </w:p>
        </w:tc>
        <w:tc>
          <w:tcPr>
            <w:tcW w:w="19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9"/>
        </w:trPr>
        <w:tc>
          <w:tcPr>
            <w:tcW w:w="29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Ending</w:t>
            </w:r>
          </w:p>
        </w:tc>
        <w:tc>
          <w:tcPr>
            <w:tcW w:w="182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61,422</w:t>
            </w:r>
          </w:p>
        </w:tc>
        <w:tc>
          <w:tcPr>
            <w:tcW w:w="2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64,361</w:t>
            </w:r>
          </w:p>
        </w:tc>
      </w:tr>
      <w:tr>
        <w:trPr>
          <w:trHeight w:val="20"/>
        </w:trPr>
        <w:tc>
          <w:tcPr>
            <w:tcW w:w="2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-144780</wp:posOffset>
            </wp:positionV>
            <wp:extent cx="1543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7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 in fair value associated with the Company's equity investments and notes receivable instruments recorded during the three and nine months ended September 30, 2024 and 2023.</w:t>
      </w:r>
    </w:p>
    <w:p>
      <w:pPr>
        <w:sectPr>
          <w:pgSz w:w="11900" w:h="16838" w:orient="portrait"/>
          <w:cols w:equalWidth="0" w:num="1">
            <w:col w:w="11120"/>
          </w:cols>
          <w:pgMar w:left="320" w:top="765" w:right="459" w:bottom="1440" w:gutter="0" w:footer="0" w:header="0"/>
        </w:sectPr>
      </w:pPr>
    </w:p>
    <w:p>
      <w:pPr>
        <w:spacing w:after="0" w:line="16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16510</wp:posOffset>
            </wp:positionV>
            <wp:extent cx="17913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9" w:lineRule="exact"/>
        <w:rPr>
          <w:sz w:val="20"/>
          <w:szCs w:val="20"/>
          <w:color w:val="auto"/>
        </w:rPr>
      </w:pPr>
    </w:p>
    <w:p>
      <w:pPr>
        <w:ind w:left="5420"/>
        <w:spacing w:after="0"/>
        <w:tabs>
          <w:tab w:leader="none" w:pos="68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16510</wp:posOffset>
            </wp:positionV>
            <wp:extent cx="18427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9" w:lineRule="exact"/>
        <w:rPr>
          <w:sz w:val="20"/>
          <w:szCs w:val="20"/>
          <w:color w:val="auto"/>
        </w:rPr>
      </w:pPr>
    </w:p>
    <w:p>
      <w:pPr>
        <w:ind w:left="34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45" w:lineRule="exact"/>
        <w:rPr>
          <w:sz w:val="20"/>
          <w:szCs w:val="20"/>
          <w:color w:val="auto"/>
        </w:rPr>
      </w:pPr>
    </w:p>
    <w:p>
      <w:pPr>
        <w:sectPr>
          <w:pgSz w:w="11900" w:h="16838" w:orient="portrait"/>
          <w:cols w:equalWidth="0" w:num="2">
            <w:col w:w="7320" w:space="720"/>
            <w:col w:w="3080"/>
          </w:cols>
          <w:pgMar w:left="320" w:top="765" w:right="459" w:bottom="1440" w:gutter="0" w:footer="0" w:header="0"/>
          <w:type w:val="continuous"/>
        </w:sectPr>
      </w:pPr>
    </w:p>
    <w:tbl>
      <w:tblPr>
        <w:tblLayout w:type="fixed"/>
        <w:tblInd w:w="680" w:type="dxa"/>
        <w:tblCellMar>
          <w:top w:w="0" w:type="dxa"/>
          <w:left w:w="0" w:type="dxa"/>
          <w:bottom w:w="0" w:type="dxa"/>
          <w:right w:w="0" w:type="dxa"/>
        </w:tblCellMar>
      </w:tblPr>
      <w:tr>
        <w:trPr>
          <w:trHeight w:val="20"/>
        </w:trPr>
        <w:tc>
          <w:tcPr>
            <w:tcW w:w="4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149"/>
        </w:trPr>
        <w:tc>
          <w:tcPr>
            <w:tcW w:w="40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4"/>
          </w:tcPr>
          <w:p>
            <w:pPr>
              <w:ind w:left="82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r>
      <w:tr>
        <w:trPr>
          <w:trHeight w:val="196"/>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Investments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3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r>
      <w:tr>
        <w:trPr>
          <w:trHeight w:val="203"/>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Notes Receivable Instruments</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on Notes Receivable Instruments</w:t>
            </w: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6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w:t>
            </w:r>
          </w:p>
        </w:tc>
      </w:tr>
      <w:tr>
        <w:trPr>
          <w:trHeight w:val="236"/>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fair value gains (losses)</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(77)</w:t>
            </w:r>
          </w:p>
        </w:tc>
        <w:tc>
          <w:tcPr>
            <w:tcW w:w="2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775</w:t>
            </w:r>
          </w:p>
        </w:tc>
        <w:tc>
          <w:tcPr>
            <w:tcW w:w="100" w:type="dxa"/>
            <w:vAlign w:val="bottom"/>
          </w:tcPr>
          <w:p>
            <w:pPr>
              <w:spacing w:after="0"/>
              <w:rPr>
                <w:sz w:val="20"/>
                <w:szCs w:val="20"/>
                <w:color w:val="auto"/>
              </w:rPr>
            </w:pPr>
          </w:p>
        </w:tc>
        <w:tc>
          <w:tcPr>
            <w:tcW w:w="2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256</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-24765</wp:posOffset>
            </wp:positionV>
            <wp:extent cx="1460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1460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1028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1028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4" w:lineRule="exact"/>
        <w:rPr>
          <w:sz w:val="20"/>
          <w:szCs w:val="20"/>
          <w:color w:val="auto"/>
        </w:rPr>
      </w:pPr>
    </w:p>
    <w:p>
      <w:pPr>
        <w:ind w:left="400" w:hanging="392"/>
        <w:spacing w:after="0"/>
        <w:tabs>
          <w:tab w:leader="none" w:pos="4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Investments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held equity investments in both publicly and privately traded entities throughout the three and nine months ended September 30, 2024 and 2023. Publicly traded entities generally have readily determinable fair values and are classified as Level 1 investments. Meanwhile, non-publicly traded entities generally do not have readily determinable fair values and are classified as Level 3 investments. The Company has classified all of its holdings as trading securities and recorded such amounts within investments on the Company's unaudited interim condensed consolidated balance sheets.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 in the Company's Level 1 equity investments during the three and nine months ended September 30, 2024 and 2023.</w:t>
      </w:r>
    </w:p>
    <w:p>
      <w:pPr>
        <w:sectPr>
          <w:pgSz w:w="11900" w:h="16838" w:orient="portrait"/>
          <w:cols w:equalWidth="0" w:num="1">
            <w:col w:w="11120"/>
          </w:cols>
          <w:pgMar w:left="320" w:top="765" w:right="459" w:bottom="1440" w:gutter="0" w:footer="0" w:header="0"/>
          <w:type w:val="continuous"/>
        </w:sectPr>
      </w:pPr>
    </w:p>
    <w:p>
      <w:pPr>
        <w:spacing w:after="0" w:line="16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16510</wp:posOffset>
            </wp:positionV>
            <wp:extent cx="17576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57680" cy="8890"/>
                    </a:xfrm>
                    <a:prstGeom prst="rect">
                      <a:avLst/>
                    </a:prstGeom>
                    <a:noFill/>
                  </pic:spPr>
                </pic:pic>
              </a:graphicData>
            </a:graphic>
          </wp:anchor>
        </w:drawing>
      </w:r>
    </w:p>
    <w:p>
      <w:pPr>
        <w:spacing w:after="0" w:line="9" w:lineRule="exact"/>
        <w:rPr>
          <w:sz w:val="20"/>
          <w:szCs w:val="20"/>
          <w:color w:val="auto"/>
        </w:rPr>
      </w:pPr>
    </w:p>
    <w:p>
      <w:pPr>
        <w:ind w:left="5460"/>
        <w:spacing w:after="0"/>
        <w:tabs>
          <w:tab w:leader="none" w:pos="68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16510</wp:posOffset>
            </wp:positionV>
            <wp:extent cx="18002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9" w:lineRule="exact"/>
        <w:rPr>
          <w:sz w:val="20"/>
          <w:szCs w:val="20"/>
          <w:color w:val="auto"/>
        </w:rPr>
      </w:pPr>
    </w:p>
    <w:p>
      <w:pPr>
        <w:ind w:left="32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45" w:lineRule="exact"/>
        <w:rPr>
          <w:sz w:val="20"/>
          <w:szCs w:val="20"/>
          <w:color w:val="auto"/>
        </w:rPr>
      </w:pPr>
    </w:p>
    <w:p>
      <w:pPr>
        <w:sectPr>
          <w:pgSz w:w="11900" w:h="16838" w:orient="portrait"/>
          <w:cols w:equalWidth="0" w:num="2">
            <w:col w:w="7300" w:space="720"/>
            <w:col w:w="3100"/>
          </w:cols>
          <w:pgMar w:left="320" w:top="765" w:right="459" w:bottom="1440" w:gutter="0" w:footer="0" w:header="0"/>
          <w:type w:val="continuous"/>
        </w:sectPr>
      </w:pPr>
    </w:p>
    <w:tbl>
      <w:tblPr>
        <w:tblLayout w:type="fixed"/>
        <w:tblInd w:w="760" w:type="dxa"/>
        <w:tblCellMar>
          <w:top w:w="0" w:type="dxa"/>
          <w:left w:w="0" w:type="dxa"/>
          <w:bottom w:w="0" w:type="dxa"/>
          <w:right w:w="0" w:type="dxa"/>
        </w:tblCellMar>
      </w:tblPr>
      <w:tr>
        <w:trPr>
          <w:trHeight w:val="20"/>
        </w:trPr>
        <w:tc>
          <w:tcPr>
            <w:tcW w:w="40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149"/>
        </w:trPr>
        <w:tc>
          <w:tcPr>
            <w:tcW w:w="40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4"/>
          </w:tcPr>
          <w:p>
            <w:pPr>
              <w:ind w:left="82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r>
      <w:tr>
        <w:trPr>
          <w:trHeight w:val="16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Beginning</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2,535</w:t>
            </w:r>
          </w:p>
        </w:tc>
      </w:tr>
      <w:tr>
        <w:trPr>
          <w:trHeight w:val="175"/>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Proceeds</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75"/>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Fair value adjustment</w:t>
            </w:r>
          </w:p>
        </w:tc>
        <w:tc>
          <w:tcPr>
            <w:tcW w:w="220" w:type="dxa"/>
            <w:vAlign w:val="bottom"/>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80" w:type="dxa"/>
            <w:vAlign w:val="bottom"/>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60" w:type="dxa"/>
            <w:vAlign w:val="bottom"/>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w:t>
            </w:r>
          </w:p>
        </w:tc>
      </w:tr>
      <w:tr>
        <w:trPr>
          <w:trHeight w:val="169"/>
        </w:trPr>
        <w:tc>
          <w:tcPr>
            <w:tcW w:w="40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Ending</w:t>
            </w:r>
          </w:p>
        </w:tc>
        <w:tc>
          <w:tcPr>
            <w:tcW w:w="22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2,094</w:t>
            </w:r>
          </w:p>
        </w:tc>
        <w:tc>
          <w:tcPr>
            <w:tcW w:w="34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2,094</w:t>
            </w:r>
          </w:p>
        </w:tc>
      </w:tr>
      <w:tr>
        <w:trPr>
          <w:trHeight w:val="20"/>
        </w:trPr>
        <w:tc>
          <w:tcPr>
            <w:tcW w:w="4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type w:val="continuous"/>
        </w:sectPr>
      </w:pPr>
    </w:p>
    <w:bookmarkStart w:id="14" w:name="page15"/>
    <w:bookmarkEnd w:id="1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640" w:hanging="19"/>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86"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Equity Investments </w:t>
      </w:r>
      <w:r>
        <w:rPr>
          <w:rFonts w:ascii="Times New Roman" w:cs="Times New Roman" w:eastAsia="Times New Roman" w:hAnsi="Times New Roman"/>
          <w:sz w:val="18"/>
          <w:szCs w:val="18"/>
          <w:i w:val="1"/>
          <w:iCs w:val="1"/>
          <w:color w:val="auto"/>
        </w:rPr>
        <w:t>(Continued)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 in the Company's Level 3 equity investments during the three and nine months ended September 30, 2024 and 2023.</w:t>
      </w:r>
    </w:p>
    <w:p>
      <w:pPr>
        <w:sectPr>
          <w:pgSz w:w="11900" w:h="16838" w:orient="portrait"/>
          <w:cols w:equalWidth="0" w:num="1">
            <w:col w:w="11120"/>
          </w:cols>
          <w:pgMar w:left="320" w:top="765" w:right="459" w:bottom="1440" w:gutter="0" w:footer="0" w:header="0"/>
        </w:sectPr>
      </w:pPr>
    </w:p>
    <w:p>
      <w:pPr>
        <w:spacing w:after="0" w:line="16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16510</wp:posOffset>
            </wp:positionV>
            <wp:extent cx="18427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9" w:lineRule="exact"/>
        <w:rPr>
          <w:sz w:val="20"/>
          <w:szCs w:val="20"/>
          <w:color w:val="auto"/>
        </w:rPr>
      </w:pPr>
    </w:p>
    <w:p>
      <w:pPr>
        <w:ind w:left="5400"/>
        <w:spacing w:after="0"/>
        <w:tabs>
          <w:tab w:leader="none" w:pos="68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16510</wp:posOffset>
            </wp:positionV>
            <wp:extent cx="186055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60550" cy="8890"/>
                    </a:xfrm>
                    <a:prstGeom prst="rect">
                      <a:avLst/>
                    </a:prstGeom>
                    <a:noFill/>
                  </pic:spPr>
                </pic:pic>
              </a:graphicData>
            </a:graphic>
          </wp:anchor>
        </w:drawing>
      </w:r>
    </w:p>
    <w:p>
      <w:pPr>
        <w:spacing w:after="0" w:line="9" w:lineRule="exact"/>
        <w:rPr>
          <w:sz w:val="20"/>
          <w:szCs w:val="20"/>
          <w:color w:val="auto"/>
        </w:rPr>
      </w:pPr>
    </w:p>
    <w:p>
      <w:pPr>
        <w:ind w:left="34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45" w:lineRule="exact"/>
        <w:rPr>
          <w:sz w:val="20"/>
          <w:szCs w:val="20"/>
          <w:color w:val="auto"/>
        </w:rPr>
      </w:pPr>
    </w:p>
    <w:p>
      <w:pPr>
        <w:sectPr>
          <w:pgSz w:w="11900" w:h="16838" w:orient="portrait"/>
          <w:cols w:equalWidth="0" w:num="2">
            <w:col w:w="7360" w:space="720"/>
            <w:col w:w="3040"/>
          </w:cols>
          <w:pgMar w:left="320" w:top="765" w:right="459" w:bottom="1440" w:gutter="0" w:footer="0" w:header="0"/>
          <w:type w:val="continuous"/>
        </w:sectPr>
      </w:pPr>
    </w:p>
    <w:tbl>
      <w:tblPr>
        <w:tblLayout w:type="fixed"/>
        <w:tblInd w:w="620" w:type="dxa"/>
        <w:tblCellMar>
          <w:top w:w="0" w:type="dxa"/>
          <w:left w:w="0" w:type="dxa"/>
          <w:bottom w:w="0" w:type="dxa"/>
          <w:right w:w="0" w:type="dxa"/>
        </w:tblCellMar>
      </w:tblPr>
      <w:tr>
        <w:trPr>
          <w:trHeight w:val="20"/>
        </w:trPr>
        <w:tc>
          <w:tcPr>
            <w:tcW w:w="4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149"/>
        </w:trPr>
        <w:tc>
          <w:tcPr>
            <w:tcW w:w="40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4"/>
          </w:tcPr>
          <w:p>
            <w:pPr>
              <w:ind w:left="82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r>
      <w:tr>
        <w:trPr>
          <w:trHeight w:val="169"/>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Beginning</w:t>
            </w: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25,953</w:t>
            </w: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42,330</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25,953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40,330</w:t>
            </w:r>
          </w:p>
        </w:tc>
      </w:tr>
      <w:tr>
        <w:trPr>
          <w:trHeight w:val="175"/>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r>
      <w:tr>
        <w:trPr>
          <w:trHeight w:val="176"/>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Transfers and other</w:t>
            </w:r>
          </w:p>
        </w:tc>
        <w:tc>
          <w:tcPr>
            <w:tcW w:w="26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26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6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40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Ending</w:t>
            </w:r>
          </w:p>
        </w:tc>
        <w:tc>
          <w:tcPr>
            <w:tcW w:w="26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31,805</w:t>
            </w:r>
          </w:p>
        </w:tc>
        <w:tc>
          <w:tcPr>
            <w:tcW w:w="26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42,330</w:t>
            </w:r>
          </w:p>
        </w:tc>
        <w:tc>
          <w:tcPr>
            <w:tcW w:w="34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31,805</w:t>
            </w: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42,330</w:t>
            </w:r>
          </w:p>
        </w:tc>
      </w:tr>
      <w:tr>
        <w:trPr>
          <w:trHeight w:val="20"/>
        </w:trPr>
        <w:tc>
          <w:tcPr>
            <w:tcW w:w="4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-144780</wp:posOffset>
            </wp:positionV>
            <wp:extent cx="1714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-144780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-144780</wp:posOffset>
            </wp:positionV>
            <wp:extent cx="1028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unrealized (losses) gains recognized on the Company's equity investments held during the three and nine months ended September 30, 2024 and 2023.</w:t>
      </w:r>
    </w:p>
    <w:p>
      <w:pPr>
        <w:sectPr>
          <w:pgSz w:w="11900" w:h="16838" w:orient="portrait"/>
          <w:cols w:equalWidth="0" w:num="1">
            <w:col w:w="11120"/>
          </w:cols>
          <w:pgMar w:left="320" w:top="765" w:right="459" w:bottom="1440" w:gutter="0" w:footer="0" w:header="0"/>
          <w:type w:val="continuous"/>
        </w:sectPr>
      </w:pPr>
    </w:p>
    <w:p>
      <w:pPr>
        <w:spacing w:after="0" w:line="16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16510</wp:posOffset>
            </wp:positionV>
            <wp:extent cx="18002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9" w:lineRule="exact"/>
        <w:rPr>
          <w:sz w:val="20"/>
          <w:szCs w:val="20"/>
          <w:color w:val="auto"/>
        </w:rPr>
      </w:pPr>
    </w:p>
    <w:p>
      <w:pPr>
        <w:ind w:left="5460"/>
        <w:spacing w:after="0"/>
        <w:tabs>
          <w:tab w:leader="none" w:pos="68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16510</wp:posOffset>
            </wp:positionV>
            <wp:extent cx="18345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9" w:lineRule="exact"/>
        <w:rPr>
          <w:sz w:val="20"/>
          <w:szCs w:val="20"/>
          <w:color w:val="auto"/>
        </w:rPr>
      </w:pPr>
    </w:p>
    <w:p>
      <w:pPr>
        <w:ind w:left="340"/>
        <w:spacing w:after="0"/>
        <w:tabs>
          <w:tab w:leader="none" w:pos="17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45" w:lineRule="exact"/>
        <w:rPr>
          <w:sz w:val="20"/>
          <w:szCs w:val="20"/>
          <w:color w:val="auto"/>
        </w:rPr>
      </w:pPr>
    </w:p>
    <w:p>
      <w:pPr>
        <w:sectPr>
          <w:pgSz w:w="11900" w:h="16838" w:orient="portrait"/>
          <w:cols w:equalWidth="0" w:num="2">
            <w:col w:w="7320" w:space="720"/>
            <w:col w:w="3080"/>
          </w:cols>
          <w:pgMar w:left="320" w:top="765" w:right="459" w:bottom="1440" w:gutter="0" w:footer="0" w:header="0"/>
          <w:type w:val="continuous"/>
        </w:sectPr>
      </w:pPr>
    </w:p>
    <w:tbl>
      <w:tblPr>
        <w:tblLayout w:type="fixed"/>
        <w:tblInd w:w="680" w:type="dxa"/>
        <w:tblCellMar>
          <w:top w:w="0" w:type="dxa"/>
          <w:left w:w="0" w:type="dxa"/>
          <w:bottom w:w="0" w:type="dxa"/>
          <w:right w:w="0" w:type="dxa"/>
        </w:tblCellMar>
      </w:tblPr>
      <w:tr>
        <w:trPr>
          <w:trHeight w:val="20"/>
        </w:trPr>
        <w:tc>
          <w:tcPr>
            <w:tcW w:w="4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r>
        <w:trPr>
          <w:trHeight w:val="149"/>
        </w:trPr>
        <w:tc>
          <w:tcPr>
            <w:tcW w:w="40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4"/>
          </w:tcPr>
          <w:p>
            <w:pPr>
              <w:ind w:left="78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r>
        <w:trPr>
          <w:trHeight w:val="196"/>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(loss) recognized on equity investments</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r>
      <w:tr>
        <w:trPr>
          <w:trHeight w:val="203"/>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Realized gain (loss) recognized on equity investments</w:t>
            </w:r>
          </w:p>
        </w:tc>
        <w:tc>
          <w:tcPr>
            <w:tcW w:w="22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8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8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96"/>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unrealized gain (loss) on equity investments</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(350)</w:t>
            </w: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-162560</wp:posOffset>
            </wp:positionV>
            <wp:extent cx="1111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-162560</wp:posOffset>
            </wp:positionV>
            <wp:extent cx="17145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13 - Fair Value Measurements for additional details.</w:t>
      </w:r>
    </w:p>
    <w:p>
      <w:pPr>
        <w:spacing w:after="0" w:line="22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Notes Receivable Instruments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held note(s) receivable instrument(s) in publicly and privately traded entities throughout the three and nine months ended September 30, 2024 and 2023. The combined fair value of these notes receivable instruments includes the initial investment cost and combined contractual accrued interest recorded within interest income on the unaudited interim condensed consolidated statements of operations.</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All of the Company's notes receivable instruments are classified as trading securities and are included within investments on the Company's unaudited interim condensed consolidated balance sheets.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 in the Company's Level 1 note receivable instrument during the three and nine months ended September 30, 2024 and 2023.</w:t>
      </w:r>
    </w:p>
    <w:p>
      <w:pPr>
        <w:sectPr>
          <w:pgSz w:w="11900" w:h="16838" w:orient="portrait"/>
          <w:cols w:equalWidth="0" w:num="1">
            <w:col w:w="11120"/>
          </w:cols>
          <w:pgMar w:left="320" w:top="765" w:right="459" w:bottom="1440" w:gutter="0" w:footer="0" w:header="0"/>
          <w:type w:val="continuous"/>
        </w:sectPr>
      </w:pPr>
    </w:p>
    <w:p>
      <w:pPr>
        <w:spacing w:after="0" w:line="16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16510</wp:posOffset>
            </wp:positionV>
            <wp:extent cx="17741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9" w:lineRule="exact"/>
        <w:rPr>
          <w:sz w:val="20"/>
          <w:szCs w:val="20"/>
          <w:color w:val="auto"/>
        </w:rPr>
      </w:pPr>
    </w:p>
    <w:p>
      <w:pPr>
        <w:ind w:left="5440"/>
        <w:spacing w:after="0"/>
        <w:tabs>
          <w:tab w:leader="none" w:pos="68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16510</wp:posOffset>
            </wp:positionV>
            <wp:extent cx="18599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9" w:lineRule="exact"/>
        <w:rPr>
          <w:sz w:val="20"/>
          <w:szCs w:val="20"/>
          <w:color w:val="auto"/>
        </w:rPr>
      </w:pPr>
    </w:p>
    <w:p>
      <w:pPr>
        <w:ind w:left="340"/>
        <w:spacing w:after="0"/>
        <w:tabs>
          <w:tab w:leader="none" w:pos="17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45" w:lineRule="exact"/>
        <w:rPr>
          <w:sz w:val="20"/>
          <w:szCs w:val="20"/>
          <w:color w:val="auto"/>
        </w:rPr>
      </w:pPr>
    </w:p>
    <w:p>
      <w:pPr>
        <w:sectPr>
          <w:pgSz w:w="11900" w:h="16838" w:orient="portrait"/>
          <w:cols w:equalWidth="0" w:num="2">
            <w:col w:w="7300" w:space="720"/>
            <w:col w:w="3100"/>
          </w:cols>
          <w:pgMar w:left="320" w:top="765" w:right="459" w:bottom="1440" w:gutter="0" w:footer="0" w:header="0"/>
          <w:type w:val="continuous"/>
        </w:sectPr>
      </w:pPr>
    </w:p>
    <w:tbl>
      <w:tblPr>
        <w:tblLayout w:type="fixed"/>
        <w:tblInd w:w="680" w:type="dxa"/>
        <w:tblCellMar>
          <w:top w:w="0" w:type="dxa"/>
          <w:left w:w="0" w:type="dxa"/>
          <w:bottom w:w="0" w:type="dxa"/>
          <w:right w:w="0" w:type="dxa"/>
        </w:tblCellMar>
      </w:tblPr>
      <w:tr>
        <w:trPr>
          <w:trHeight w:val="20"/>
        </w:trPr>
        <w:tc>
          <w:tcPr>
            <w:tcW w:w="4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149"/>
        </w:trPr>
        <w:tc>
          <w:tcPr>
            <w:tcW w:w="40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4"/>
          </w:tcPr>
          <w:p>
            <w:pPr>
              <w:ind w:left="80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r>
      <w:tr>
        <w:trPr>
          <w:trHeight w:val="169"/>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Beginning</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24,188</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22,214</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22,214</w:t>
            </w:r>
          </w:p>
        </w:tc>
      </w:tr>
      <w:tr>
        <w:trPr>
          <w:trHeight w:val="176"/>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Fair value adjustment</w:t>
            </w:r>
          </w:p>
        </w:tc>
        <w:tc>
          <w:tcPr>
            <w:tcW w:w="220" w:type="dxa"/>
            <w:vAlign w:val="bottom"/>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40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Ending</w:t>
            </w:r>
          </w:p>
        </w:tc>
        <w:tc>
          <w:tcPr>
            <w:tcW w:w="22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24,188</w:t>
            </w:r>
          </w:p>
        </w:tc>
        <w:tc>
          <w:tcPr>
            <w:tcW w:w="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22,214</w:t>
            </w:r>
          </w:p>
        </w:tc>
        <w:tc>
          <w:tcPr>
            <w:tcW w:w="34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24,188</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22,214</w:t>
            </w: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20" w:right="380"/>
        <w:spacing w:after="0" w:line="282" w:lineRule="auto"/>
        <w:rPr>
          <w:sz w:val="20"/>
          <w:szCs w:val="20"/>
          <w:color w:val="auto"/>
        </w:rPr>
      </w:pPr>
      <w:r>
        <w:rPr>
          <w:rFonts w:ascii="Times New Roman" w:cs="Times New Roman" w:eastAsia="Times New Roman" w:hAnsi="Times New Roman"/>
          <w:sz w:val="18"/>
          <w:szCs w:val="18"/>
          <w:color w:val="auto"/>
        </w:rPr>
        <w:t>The Company's Level 1 note receivable instrument had a stated interest rate of 13%, a maturity date of April 29, 2025 and did not contain any conversion features.</w:t>
      </w:r>
    </w:p>
    <w:p>
      <w:pPr>
        <w:spacing w:after="0" w:line="1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type w:val="continuous"/>
        </w:sectPr>
      </w:pPr>
    </w:p>
    <w:bookmarkStart w:id="15" w:name="page16"/>
    <w:bookmarkEnd w:id="1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620" w:hanging="19"/>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86"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 xml:space="preserve">Notes Receivable Instruments </w:t>
      </w:r>
      <w:r>
        <w:rPr>
          <w:rFonts w:ascii="Times New Roman" w:cs="Times New Roman" w:eastAsia="Times New Roman" w:hAnsi="Times New Roman"/>
          <w:sz w:val="18"/>
          <w:szCs w:val="18"/>
          <w:i w:val="1"/>
          <w:iCs w:val="1"/>
          <w:color w:val="auto"/>
        </w:rPr>
        <w:t>(Continued)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 in the Company's Level 3 notes receivable instruments during the three and nine months ended September 30, 2024 and 2023.</w:t>
      </w:r>
    </w:p>
    <w:p>
      <w:pPr>
        <w:sectPr>
          <w:pgSz w:w="11900" w:h="16838" w:orient="portrait"/>
          <w:cols w:equalWidth="0" w:num="1">
            <w:col w:w="11100"/>
          </w:cols>
          <w:pgMar w:left="320" w:top="765" w:right="479" w:bottom="1440" w:gutter="0" w:footer="0" w:header="0"/>
        </w:sectPr>
      </w:pPr>
    </w:p>
    <w:p>
      <w:pPr>
        <w:spacing w:after="0" w:line="16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16510</wp:posOffset>
            </wp:positionV>
            <wp:extent cx="17741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9" w:lineRule="exact"/>
        <w:rPr>
          <w:sz w:val="20"/>
          <w:szCs w:val="20"/>
          <w:color w:val="auto"/>
        </w:rPr>
      </w:pPr>
    </w:p>
    <w:p>
      <w:pPr>
        <w:ind w:left="5440"/>
        <w:spacing w:after="0"/>
        <w:tabs>
          <w:tab w:leader="none" w:pos="68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16510</wp:posOffset>
            </wp:positionV>
            <wp:extent cx="18599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9" w:lineRule="exact"/>
        <w:rPr>
          <w:sz w:val="20"/>
          <w:szCs w:val="20"/>
          <w:color w:val="auto"/>
        </w:rPr>
      </w:pPr>
    </w:p>
    <w:p>
      <w:pPr>
        <w:ind w:left="340"/>
        <w:spacing w:after="0"/>
        <w:tabs>
          <w:tab w:leader="none" w:pos="17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45" w:lineRule="exact"/>
        <w:rPr>
          <w:sz w:val="20"/>
          <w:szCs w:val="20"/>
          <w:color w:val="auto"/>
        </w:rPr>
      </w:pPr>
    </w:p>
    <w:p>
      <w:pPr>
        <w:sectPr>
          <w:pgSz w:w="11900" w:h="16838" w:orient="portrait"/>
          <w:cols w:equalWidth="0" w:num="2">
            <w:col w:w="7300" w:space="720"/>
            <w:col w:w="3080"/>
          </w:cols>
          <w:pgMar w:left="320" w:top="765" w:right="479" w:bottom="1440" w:gutter="0" w:footer="0" w:header="0"/>
          <w:type w:val="continuous"/>
        </w:sectPr>
      </w:pPr>
    </w:p>
    <w:tbl>
      <w:tblPr>
        <w:tblLayout w:type="fixed"/>
        <w:tblInd w:w="680" w:type="dxa"/>
        <w:tblCellMar>
          <w:top w:w="0" w:type="dxa"/>
          <w:left w:w="0" w:type="dxa"/>
          <w:bottom w:w="0" w:type="dxa"/>
          <w:right w:w="0" w:type="dxa"/>
        </w:tblCellMar>
      </w:tblPr>
      <w:tr>
        <w:trPr>
          <w:trHeight w:val="20"/>
        </w:trPr>
        <w:tc>
          <w:tcPr>
            <w:tcW w:w="4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149"/>
        </w:trPr>
        <w:tc>
          <w:tcPr>
            <w:tcW w:w="40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4"/>
          </w:tcPr>
          <w:p>
            <w:pPr>
              <w:ind w:left="80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r>
      <w:tr>
        <w:trPr>
          <w:trHeight w:val="169"/>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Beginning</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10,764</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9,146</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14,193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9,090</w:t>
            </w:r>
          </w:p>
        </w:tc>
      </w:tr>
      <w:tr>
        <w:trPr>
          <w:trHeight w:val="175"/>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r>
      <w:tr>
        <w:trPr>
          <w:trHeight w:val="176"/>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w:t>
            </w: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(4,920)</w:t>
            </w: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w:t>
            </w:r>
          </w:p>
        </w:tc>
      </w:tr>
      <w:tr>
        <w:trPr>
          <w:trHeight w:val="176"/>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r>
      <w:tr>
        <w:trPr>
          <w:trHeight w:val="175"/>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Transfers and other</w:t>
            </w:r>
          </w:p>
        </w:tc>
        <w:tc>
          <w:tcPr>
            <w:tcW w:w="22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22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6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9"/>
        </w:trPr>
        <w:tc>
          <w:tcPr>
            <w:tcW w:w="40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Ending</w:t>
            </w:r>
          </w:p>
        </w:tc>
        <w:tc>
          <w:tcPr>
            <w:tcW w:w="22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5,429</w:t>
            </w:r>
          </w:p>
        </w:tc>
        <w:tc>
          <w:tcPr>
            <w:tcW w:w="22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10,697</w:t>
            </w:r>
          </w:p>
        </w:tc>
        <w:tc>
          <w:tcPr>
            <w:tcW w:w="34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5,429</w:t>
            </w: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10,697</w:t>
            </w: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-144780</wp:posOffset>
            </wp:positionV>
            <wp:extent cx="1460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-144780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-144780</wp:posOffset>
            </wp:positionV>
            <wp:extent cx="1028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Level 3 notes receivable instruments had a stated interest rate of 10% and terms between twelve months to five years.</w:t>
      </w:r>
    </w:p>
    <w:p>
      <w:pPr>
        <w:spacing w:after="0" w:line="225"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On January 9, 2024, one of the Company's privately held notes receivable instruments matured and the Company collected the principal amount of $4,000 thousand along with accrued interest of $605 thousand on such date.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13 - Fair Value Measurements for additional details.</w:t>
      </w:r>
    </w:p>
    <w:p>
      <w:pPr>
        <w:spacing w:after="0" w:line="200" w:lineRule="exact"/>
        <w:rPr>
          <w:sz w:val="20"/>
          <w:szCs w:val="20"/>
          <w:color w:val="auto"/>
        </w:rPr>
      </w:pPr>
    </w:p>
    <w:p>
      <w:pPr>
        <w:spacing w:after="0" w:line="26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5" w:right="479" w:bottom="1440" w:gutter="0" w:footer="0" w:header="0"/>
          <w:type w:val="continuous"/>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8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153"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440" w:hanging="432"/>
        <w:spacing w:after="0"/>
        <w:tabs>
          <w:tab w:leader="none" w:pos="4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229" w:lineRule="exact"/>
        <w:rPr>
          <w:sz w:val="20"/>
          <w:szCs w:val="20"/>
          <w:color w:val="auto"/>
        </w:rPr>
      </w:pPr>
    </w:p>
    <w:p>
      <w:pPr>
        <w:ind w:left="520" w:right="100"/>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its retail stores, processing and cultivation facilities and corporate office spaces. Operating lease right-of-use assets and operating lease liabilities are recognized based on the present value of future minimum lease payments over the lease term at commencement date.</w:t>
      </w:r>
    </w:p>
    <w:p>
      <w:pPr>
        <w:spacing w:after="0" w:line="176" w:lineRule="exact"/>
        <w:rPr>
          <w:sz w:val="20"/>
          <w:szCs w:val="20"/>
          <w:color w:val="auto"/>
        </w:rPr>
      </w:pPr>
    </w:p>
    <w:p>
      <w:pPr>
        <w:ind w:left="520" w:right="40"/>
        <w:spacing w:after="0" w:line="261" w:lineRule="auto"/>
        <w:rPr>
          <w:sz w:val="20"/>
          <w:szCs w:val="20"/>
          <w:color w:val="auto"/>
        </w:rPr>
      </w:pPr>
      <w:r>
        <w:rPr>
          <w:rFonts w:ascii="Times New Roman" w:cs="Times New Roman" w:eastAsia="Times New Roman" w:hAnsi="Times New Roman"/>
          <w:sz w:val="18"/>
          <w:szCs w:val="18"/>
          <w:color w:val="auto"/>
        </w:rPr>
        <w:t>All real estate leases are recorded on the balance sheet. Equipment and other non-real estate leases with an initial term of twelve months or less are not recorded on the balance sheet. Lease agreements for some locations provide for rent escalations and renewal options. Certain real estate leases require payment for fixed and variable non-lease components, such as taxes, insurance and maintenance. The Company accounts for each real estate lease and the related non-lease components together as a single component.</w:t>
      </w:r>
    </w:p>
    <w:p>
      <w:pPr>
        <w:spacing w:after="0" w:line="180" w:lineRule="exact"/>
        <w:rPr>
          <w:sz w:val="20"/>
          <w:szCs w:val="20"/>
          <w:color w:val="auto"/>
        </w:rPr>
      </w:pPr>
    </w:p>
    <w:p>
      <w:pPr>
        <w:ind w:left="520"/>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 For three and nine months ended September 30, 2024, the Company recorded operating lease expense of $16,946 thousand and $41,622 thousand, respectively compared to operating lease expense of $11,628 thousand and $35,996 thousand for three and nine months ended September 30, 2023, respectively.</w:t>
      </w:r>
    </w:p>
    <w:p>
      <w:pPr>
        <w:spacing w:after="0" w:line="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information related to operating leases as of September 30, 2024 and December 31, 2023 were as follows:</w:t>
      </w:r>
    </w:p>
    <w:p>
      <w:pPr>
        <w:spacing w:after="0" w:line="340" w:lineRule="exact"/>
        <w:rPr>
          <w:sz w:val="20"/>
          <w:szCs w:val="20"/>
          <w:color w:val="auto"/>
        </w:rPr>
      </w:pPr>
    </w:p>
    <w:tbl>
      <w:tblPr>
        <w:tblLayout w:type="fixed"/>
        <w:tblInd w:w="680" w:type="dxa"/>
        <w:tblCellMar>
          <w:top w:w="0" w:type="dxa"/>
          <w:left w:w="0" w:type="dxa"/>
          <w:bottom w:w="0" w:type="dxa"/>
          <w:right w:w="0" w:type="dxa"/>
        </w:tblCellMar>
      </w:tblPr>
      <w:tr>
        <w:trPr>
          <w:trHeight w:val="187"/>
        </w:trPr>
        <w:tc>
          <w:tcPr>
            <w:tcW w:w="4180" w:type="dxa"/>
            <w:vAlign w:val="bottom"/>
          </w:tcPr>
          <w:p>
            <w:pPr>
              <w:spacing w:after="0"/>
              <w:rPr>
                <w:sz w:val="16"/>
                <w:szCs w:val="16"/>
                <w:color w:val="auto"/>
              </w:rPr>
            </w:pPr>
          </w:p>
        </w:tc>
        <w:tc>
          <w:tcPr>
            <w:tcW w:w="21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6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 (years)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2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11.75</w:t>
            </w:r>
          </w:p>
        </w:tc>
      </w:tr>
      <w:tr>
        <w:trPr>
          <w:trHeight w:val="188"/>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12.40%</w:t>
            </w:r>
          </w:p>
        </w:tc>
      </w:tr>
    </w:tbl>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lease liabilities for operating leases as of September 30, 2024 were as follows:</w:t>
      </w:r>
    </w:p>
    <w:p>
      <w:pPr>
        <w:spacing w:after="0" w:line="259" w:lineRule="exact"/>
        <w:rPr>
          <w:sz w:val="20"/>
          <w:szCs w:val="20"/>
          <w:color w:val="auto"/>
        </w:rPr>
      </w:pPr>
    </w:p>
    <w:tbl>
      <w:tblPr>
        <w:tblLayout w:type="fixed"/>
        <w:tblInd w:w="680" w:type="dxa"/>
        <w:tblCellMar>
          <w:top w:w="0" w:type="dxa"/>
          <w:left w:w="0" w:type="dxa"/>
          <w:bottom w:w="0" w:type="dxa"/>
          <w:right w:w="0" w:type="dxa"/>
        </w:tblCellMar>
      </w:tblPr>
      <w:tr>
        <w:trPr>
          <w:trHeight w:val="187"/>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Maturities of Lease Liability</w:t>
            </w: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Third-Party</w:t>
            </w:r>
          </w:p>
        </w:tc>
        <w:tc>
          <w:tcPr>
            <w:tcW w:w="220" w:type="dxa"/>
            <w:vAlign w:val="bottom"/>
          </w:tcPr>
          <w:p>
            <w:pPr>
              <w:spacing w:after="0"/>
              <w:rPr>
                <w:sz w:val="14"/>
                <w:szCs w:val="14"/>
                <w:color w:val="auto"/>
              </w:rPr>
            </w:pPr>
          </w:p>
        </w:tc>
        <w:tc>
          <w:tcPr>
            <w:tcW w:w="16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220" w:type="dxa"/>
            <w:vAlign w:val="bottom"/>
          </w:tcPr>
          <w:p>
            <w:pPr>
              <w:spacing w:after="0"/>
              <w:rPr>
                <w:sz w:val="14"/>
                <w:szCs w:val="14"/>
                <w:color w:val="auto"/>
              </w:rPr>
            </w:pPr>
          </w:p>
        </w:tc>
        <w:tc>
          <w:tcPr>
            <w:tcW w:w="16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Remainder of 2024</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11,493</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11,639</w:t>
            </w:r>
          </w:p>
        </w:tc>
        <w:tc>
          <w:tcPr>
            <w:tcW w:w="0" w:type="dxa"/>
            <w:vAlign w:val="bottom"/>
          </w:tcPr>
          <w:p>
            <w:pPr>
              <w:spacing w:after="0"/>
              <w:rPr>
                <w:sz w:val="1"/>
                <w:szCs w:val="1"/>
                <w:color w:val="auto"/>
              </w:rPr>
            </w:pPr>
          </w:p>
        </w:tc>
      </w:tr>
      <w:tr>
        <w:trPr>
          <w:trHeight w:val="175"/>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45,523</w:t>
            </w:r>
          </w:p>
        </w:tc>
        <w:tc>
          <w:tcPr>
            <w:tcW w:w="2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46,115</w:t>
            </w:r>
          </w:p>
        </w:tc>
        <w:tc>
          <w:tcPr>
            <w:tcW w:w="0" w:type="dxa"/>
            <w:vAlign w:val="bottom"/>
          </w:tcPr>
          <w:p>
            <w:pPr>
              <w:spacing w:after="0"/>
              <w:rPr>
                <w:sz w:val="1"/>
                <w:szCs w:val="1"/>
                <w:color w:val="auto"/>
              </w:rPr>
            </w:pPr>
          </w:p>
        </w:tc>
      </w:tr>
      <w:tr>
        <w:trPr>
          <w:trHeight w:val="175"/>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45,867</w:t>
            </w:r>
          </w:p>
        </w:tc>
        <w:tc>
          <w:tcPr>
            <w:tcW w:w="22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220" w:type="dxa"/>
            <w:vAlign w:val="bottom"/>
            <w:shd w:val="clear" w:color="auto" w:fill="CFF0FC"/>
          </w:tcPr>
          <w:p>
            <w:pPr>
              <w:spacing w:after="0"/>
              <w:rPr>
                <w:sz w:val="15"/>
                <w:szCs w:val="15"/>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46,470</w:t>
            </w:r>
          </w:p>
        </w:tc>
        <w:tc>
          <w:tcPr>
            <w:tcW w:w="0" w:type="dxa"/>
            <w:vAlign w:val="bottom"/>
          </w:tcPr>
          <w:p>
            <w:pPr>
              <w:spacing w:after="0"/>
              <w:rPr>
                <w:sz w:val="1"/>
                <w:szCs w:val="1"/>
                <w:color w:val="auto"/>
              </w:rPr>
            </w:pPr>
          </w:p>
        </w:tc>
      </w:tr>
      <w:tr>
        <w:trPr>
          <w:trHeight w:val="175"/>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46,364</w:t>
            </w:r>
          </w:p>
        </w:tc>
        <w:tc>
          <w:tcPr>
            <w:tcW w:w="2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46,936</w:t>
            </w:r>
          </w:p>
        </w:tc>
        <w:tc>
          <w:tcPr>
            <w:tcW w:w="0" w:type="dxa"/>
            <w:vAlign w:val="bottom"/>
          </w:tcPr>
          <w:p>
            <w:pPr>
              <w:spacing w:after="0"/>
              <w:rPr>
                <w:sz w:val="1"/>
                <w:szCs w:val="1"/>
                <w:color w:val="auto"/>
              </w:rPr>
            </w:pPr>
          </w:p>
        </w:tc>
      </w:tr>
      <w:tr>
        <w:trPr>
          <w:trHeight w:val="175"/>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2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45,449</w:t>
            </w:r>
          </w:p>
        </w:tc>
        <w:tc>
          <w:tcPr>
            <w:tcW w:w="22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220" w:type="dxa"/>
            <w:vAlign w:val="bottom"/>
            <w:shd w:val="clear" w:color="auto" w:fill="CFF0FC"/>
          </w:tcPr>
          <w:p>
            <w:pPr>
              <w:spacing w:after="0"/>
              <w:rPr>
                <w:sz w:val="15"/>
                <w:szCs w:val="15"/>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45,813</w:t>
            </w:r>
          </w:p>
        </w:tc>
        <w:tc>
          <w:tcPr>
            <w:tcW w:w="0" w:type="dxa"/>
            <w:vAlign w:val="bottom"/>
          </w:tcPr>
          <w:p>
            <w:pPr>
              <w:spacing w:after="0"/>
              <w:rPr>
                <w:sz w:val="1"/>
                <w:szCs w:val="1"/>
                <w:color w:val="auto"/>
              </w:rPr>
            </w:pPr>
          </w:p>
        </w:tc>
      </w:tr>
      <w:tr>
        <w:trPr>
          <w:trHeight w:val="176"/>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 and Thereafter</w:t>
            </w:r>
          </w:p>
        </w:tc>
        <w:tc>
          <w:tcPr>
            <w:tcW w:w="220" w:type="dxa"/>
            <w:vAlign w:val="bottom"/>
          </w:tcPr>
          <w:p>
            <w:pPr>
              <w:spacing w:after="0"/>
              <w:rPr>
                <w:sz w:val="15"/>
                <w:szCs w:val="15"/>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332,247</w:t>
            </w:r>
          </w:p>
        </w:tc>
        <w:tc>
          <w:tcPr>
            <w:tcW w:w="220" w:type="dxa"/>
            <w:vAlign w:val="bottom"/>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220" w:type="dxa"/>
            <w:vAlign w:val="bottom"/>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333,611</w:t>
            </w:r>
          </w:p>
        </w:tc>
        <w:tc>
          <w:tcPr>
            <w:tcW w:w="0" w:type="dxa"/>
            <w:vAlign w:val="bottom"/>
          </w:tcPr>
          <w:p>
            <w:pPr>
              <w:spacing w:after="0"/>
              <w:rPr>
                <w:sz w:val="1"/>
                <w:szCs w:val="1"/>
                <w:color w:val="auto"/>
              </w:rPr>
            </w:pPr>
          </w:p>
        </w:tc>
      </w:tr>
      <w:tr>
        <w:trPr>
          <w:trHeight w:val="169"/>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220" w:type="dxa"/>
            <w:vAlign w:val="bottom"/>
            <w:tcBorders>
              <w:bottom w:val="single" w:sz="8" w:color="CFF0FC"/>
            </w:tcBorders>
            <w:shd w:val="clear" w:color="auto" w:fill="CFF0FC"/>
          </w:tcPr>
          <w:p>
            <w:pPr>
              <w:spacing w:after="0"/>
              <w:rPr>
                <w:sz w:val="14"/>
                <w:szCs w:val="14"/>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526,943</w:t>
            </w:r>
          </w:p>
        </w:tc>
        <w:tc>
          <w:tcPr>
            <w:tcW w:w="220" w:type="dxa"/>
            <w:vAlign w:val="bottom"/>
            <w:tcBorders>
              <w:bottom w:val="single" w:sz="8" w:color="CFF0FC"/>
            </w:tcBorders>
            <w:shd w:val="clear" w:color="auto" w:fill="CFF0FC"/>
          </w:tcPr>
          <w:p>
            <w:pPr>
              <w:spacing w:after="0"/>
              <w:rPr>
                <w:sz w:val="14"/>
                <w:szCs w:val="14"/>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3,641</w:t>
            </w:r>
          </w:p>
        </w:tc>
        <w:tc>
          <w:tcPr>
            <w:tcW w:w="220" w:type="dxa"/>
            <w:vAlign w:val="bottom"/>
            <w:tcBorders>
              <w:bottom w:val="single" w:sz="8" w:color="CFF0FC"/>
            </w:tcBorders>
            <w:shd w:val="clear" w:color="auto" w:fill="CFF0FC"/>
          </w:tcPr>
          <w:p>
            <w:pPr>
              <w:spacing w:after="0"/>
              <w:rPr>
                <w:sz w:val="14"/>
                <w:szCs w:val="14"/>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530,584</w:t>
            </w:r>
          </w:p>
        </w:tc>
        <w:tc>
          <w:tcPr>
            <w:tcW w:w="0" w:type="dxa"/>
            <w:vAlign w:val="bottom"/>
          </w:tcPr>
          <w:p>
            <w:pPr>
              <w:spacing w:after="0"/>
              <w:rPr>
                <w:sz w:val="1"/>
                <w:szCs w:val="1"/>
                <w:color w:val="auto"/>
              </w:rPr>
            </w:pPr>
          </w:p>
        </w:tc>
      </w:tr>
      <w:tr>
        <w:trPr>
          <w:trHeight w:val="169"/>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Interest</w:t>
            </w:r>
          </w:p>
        </w:tc>
        <w:tc>
          <w:tcPr>
            <w:tcW w:w="220" w:type="dxa"/>
            <w:vAlign w:val="bottom"/>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(255,309)</w:t>
            </w:r>
          </w:p>
        </w:tc>
        <w:tc>
          <w:tcPr>
            <w:tcW w:w="220" w:type="dxa"/>
            <w:vAlign w:val="bottom"/>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220" w:type="dxa"/>
            <w:vAlign w:val="bottom"/>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(256,465)</w:t>
            </w:r>
          </w:p>
        </w:tc>
        <w:tc>
          <w:tcPr>
            <w:tcW w:w="0" w:type="dxa"/>
            <w:vAlign w:val="bottom"/>
          </w:tcPr>
          <w:p>
            <w:pPr>
              <w:spacing w:after="0"/>
              <w:rPr>
                <w:sz w:val="1"/>
                <w:szCs w:val="1"/>
                <w:color w:val="auto"/>
              </w:rPr>
            </w:pPr>
          </w:p>
        </w:tc>
      </w:tr>
      <w:tr>
        <w:trPr>
          <w:trHeight w:val="209"/>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Lease Liability</w:t>
            </w:r>
          </w:p>
        </w:tc>
        <w:tc>
          <w:tcPr>
            <w:tcW w:w="2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271,634</w:t>
            </w:r>
          </w:p>
        </w:tc>
        <w:tc>
          <w:tcPr>
            <w:tcW w:w="2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2,485</w:t>
            </w:r>
          </w:p>
        </w:tc>
        <w:tc>
          <w:tcPr>
            <w:tcW w:w="2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274,119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-265430</wp:posOffset>
            </wp:positionV>
            <wp:extent cx="1460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-265430</wp:posOffset>
            </wp:positionV>
            <wp:extent cx="1371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-25400</wp:posOffset>
            </wp:positionV>
            <wp:extent cx="1460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14605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1371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1371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4"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Operating Leases</w:t>
      </w:r>
    </w:p>
    <w:p>
      <w:pPr>
        <w:spacing w:after="0" w:line="229" w:lineRule="exact"/>
        <w:rPr>
          <w:sz w:val="20"/>
          <w:szCs w:val="20"/>
          <w:color w:val="auto"/>
        </w:rPr>
      </w:pPr>
    </w:p>
    <w:p>
      <w:pPr>
        <w:ind w:left="520"/>
        <w:spacing w:after="0" w:line="254" w:lineRule="auto"/>
        <w:rPr>
          <w:sz w:val="20"/>
          <w:szCs w:val="20"/>
          <w:color w:val="auto"/>
        </w:rPr>
      </w:pPr>
      <w:r>
        <w:rPr>
          <w:rFonts w:ascii="Times New Roman" w:cs="Times New Roman" w:eastAsia="Times New Roman" w:hAnsi="Times New Roman"/>
          <w:sz w:val="18"/>
          <w:szCs w:val="18"/>
          <w:color w:val="auto"/>
        </w:rPr>
        <w:t>The Company has leasing arrangements that are related party transactions, including for certain facilities in Maryland, Massachusetts and Nevada. Wendy Berger, a former director of the Company, is a principal of WBS Equities, LLC, which is the Manager of Mosaic Real Estate, LLC, which owned the facilities leased by the Company. Additionally, Mosaic Real Estate, LLC is owned in part by Ms. Berger (through the Wendy Berger 1998 Revocable Trust), Benjamin Kovler, the Chairman and Chief Executive Officer of the Company (through KP Capital, LLC), and Anthony Georgiadis, the President and a director of the Company (through Three One Four Holdings, LLC). The terms of these leases range from 7 years to 15 years. For the three and nine months ended September 30, 2024, the Company recorded lease expense of $145 thousand and $450 thousand, respectively, compared to lease expense of $139 thousand and $415 thousand for the three and nine months ended September 30, 2023, respectively, associated with these leasing arrangements.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4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153"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PAYABLE</w:t>
      </w:r>
    </w:p>
    <w:p>
      <w:pPr>
        <w:spacing w:after="0" w:line="337"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September 30, 2024 and December 31, 2023, notes payable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8" w:lineRule="exact"/>
        <w:rPr>
          <w:sz w:val="20"/>
          <w:szCs w:val="20"/>
          <w:color w:val="auto"/>
        </w:rPr>
      </w:pPr>
    </w:p>
    <w:tbl>
      <w:tblPr>
        <w:tblLayout w:type="fixed"/>
        <w:tblInd w:w="76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Pr>
          <w:p>
            <w:pPr>
              <w:spacing w:after="0"/>
              <w:rPr>
                <w:sz w:val="19"/>
                <w:szCs w:val="19"/>
                <w:color w:val="auto"/>
              </w:rPr>
            </w:pPr>
          </w:p>
        </w:tc>
        <w:tc>
          <w:tcPr>
            <w:tcW w:w="16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4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540" w:type="dxa"/>
            <w:vAlign w:val="bottom"/>
            <w:gridSpan w:val="3"/>
          </w:tcPr>
          <w:p>
            <w:pPr>
              <w:jc w:val="right"/>
              <w:ind w:right="1198"/>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31"/>
        </w:trPr>
        <w:tc>
          <w:tcPr>
            <w:tcW w:w="4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6"/>
        </w:trPr>
        <w:tc>
          <w:tcPr>
            <w:tcW w:w="474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16"/>
                <w:szCs w:val="16"/>
                <w:color w:val="auto"/>
              </w:rPr>
              <w:t>Charitable contributions</w:t>
            </w:r>
            <w:r>
              <w:rPr>
                <w:rFonts w:ascii="Times New Roman" w:cs="Times New Roman" w:eastAsia="Times New Roman" w:hAnsi="Times New Roman"/>
                <w:sz w:val="21"/>
                <w:szCs w:val="21"/>
                <w:color w:val="auto"/>
                <w:vertAlign w:val="superscript"/>
              </w:rPr>
              <w:t>1</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24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Private placement debt dated April 30, 2021</w:t>
            </w:r>
            <w:r>
              <w:rPr>
                <w:rFonts w:ascii="Times New Roman" w:cs="Times New Roman" w:eastAsia="Times New Roman" w:hAnsi="Times New Roman"/>
                <w:sz w:val="21"/>
                <w:szCs w:val="21"/>
                <w:color w:val="auto"/>
                <w:vertAlign w:val="superscript"/>
              </w:rPr>
              <w:t>2</w:t>
            </w:r>
          </w:p>
        </w:tc>
        <w:tc>
          <w:tcPr>
            <w:tcW w:w="14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221,680</w:t>
            </w:r>
          </w:p>
        </w:tc>
      </w:tr>
      <w:tr>
        <w:trPr>
          <w:trHeight w:val="243"/>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Syndicated credit facility dated September 11, 2024</w:t>
            </w:r>
            <w:r>
              <w:rPr>
                <w:rFonts w:ascii="Times New Roman" w:cs="Times New Roman" w:eastAsia="Times New Roman" w:hAnsi="Times New Roman"/>
                <w:sz w:val="21"/>
                <w:szCs w:val="21"/>
                <w:color w:val="auto"/>
                <w:vertAlign w:val="superscript"/>
              </w:rPr>
              <w:t>3</w:t>
            </w:r>
          </w:p>
        </w:tc>
        <w:tc>
          <w:tcPr>
            <w:tcW w:w="14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147,871</w:t>
            </w:r>
          </w:p>
        </w:tc>
        <w:tc>
          <w:tcPr>
            <w:tcW w:w="20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4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Mortgage notes</w:t>
            </w:r>
            <w:r>
              <w:rPr>
                <w:rFonts w:ascii="Times New Roman" w:cs="Times New Roman" w:eastAsia="Times New Roman" w:hAnsi="Times New Roman"/>
                <w:sz w:val="21"/>
                <w:szCs w:val="21"/>
                <w:color w:val="auto"/>
                <w:vertAlign w:val="superscript"/>
              </w:rPr>
              <w:t>4</w:t>
            </w:r>
          </w:p>
        </w:tc>
        <w:tc>
          <w:tcPr>
            <w:tcW w:w="148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107,708</w:t>
            </w:r>
          </w:p>
        </w:tc>
        <w:tc>
          <w:tcPr>
            <w:tcW w:w="2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86,492</w:t>
            </w:r>
          </w:p>
        </w:tc>
      </w:tr>
      <w:tr>
        <w:trPr>
          <w:trHeight w:val="223"/>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notes payable</w:t>
            </w:r>
          </w:p>
        </w:tc>
        <w:tc>
          <w:tcPr>
            <w:tcW w:w="14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255,579</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308,523</w:t>
            </w: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Less: current portion of notes payable</w:t>
            </w:r>
          </w:p>
        </w:tc>
        <w:tc>
          <w:tcPr>
            <w:tcW w:w="148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(9,397)</w:t>
            </w:r>
          </w:p>
        </w:tc>
        <w:tc>
          <w:tcPr>
            <w:tcW w:w="2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(2,996)</w:t>
            </w:r>
          </w:p>
        </w:tc>
      </w:tr>
      <w:tr>
        <w:trPr>
          <w:trHeight w:val="270"/>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Notes payable, net of current portion</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246,182</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305,527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-24765</wp:posOffset>
            </wp:positionV>
            <wp:extent cx="1200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1200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01" w:lineRule="exact"/>
        <w:rPr>
          <w:sz w:val="20"/>
          <w:szCs w:val="20"/>
          <w:color w:val="auto"/>
        </w:rPr>
      </w:pPr>
    </w:p>
    <w:p>
      <w:pPr>
        <w:ind w:left="1020" w:right="160" w:firstLine="6"/>
        <w:spacing w:after="0" w:line="237" w:lineRule="auto"/>
        <w:tabs>
          <w:tab w:leader="none" w:pos="1115" w:val="left"/>
        </w:tabs>
        <w:numPr>
          <w:ilvl w:val="0"/>
          <w:numId w:val="22"/>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6"/>
          <w:szCs w:val="16"/>
          <w:color w:val="auto"/>
        </w:rPr>
        <w:t>In connection with acquisitions completed in 2017 and 2019, the Company committed to provide charitable contributions of $50 thousand per quarter through October 2024 and $250 thousand per year through May 2024, respectively. The net present value of these contributions was recorded as a liability with interest rates ranging between 2.17% - 7.00%. As of September 30, 2024, the Company has fully satisfied these commitments.</w:t>
      </w:r>
    </w:p>
    <w:p>
      <w:pPr>
        <w:spacing w:after="0" w:line="168" w:lineRule="exact"/>
        <w:rPr>
          <w:sz w:val="20"/>
          <w:szCs w:val="20"/>
          <w:color w:val="auto"/>
        </w:rPr>
      </w:pPr>
    </w:p>
    <w:p>
      <w:pPr>
        <w:ind w:left="1120" w:hanging="94"/>
        <w:spacing w:after="0"/>
        <w:tabs>
          <w:tab w:leader="none" w:pos="1120" w:val="left"/>
        </w:tabs>
        <w:numPr>
          <w:ilvl w:val="0"/>
          <w:numId w:val="23"/>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6"/>
          <w:szCs w:val="16"/>
          <w:color w:val="auto"/>
        </w:rPr>
        <w:t>The April 30, 2021 private placement debt, as amended on October 21, 2021 (the “April 30, 2021 Notes”), were retired as of September 11, 2024.</w:t>
      </w:r>
    </w:p>
    <w:p>
      <w:pPr>
        <w:spacing w:after="0" w:line="208" w:lineRule="exact"/>
        <w:rPr>
          <w:sz w:val="20"/>
          <w:szCs w:val="20"/>
          <w:color w:val="auto"/>
        </w:rPr>
      </w:pPr>
    </w:p>
    <w:p>
      <w:pPr>
        <w:ind w:left="1020" w:firstLine="6"/>
        <w:spacing w:after="0" w:line="237" w:lineRule="auto"/>
        <w:tabs>
          <w:tab w:leader="none" w:pos="1101" w:val="left"/>
        </w:tabs>
        <w:numPr>
          <w:ilvl w:val="0"/>
          <w:numId w:val="24"/>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6"/>
          <w:szCs w:val="16"/>
          <w:color w:val="auto"/>
        </w:rPr>
        <w:t>The Credit Facility (as defined below in Section (a) of this Note 7) was issued in an aggregate amount of $150,000 thousand, and will bear interest at the Secured Overnight Financing Rate (“SOFR”) + 500 basis points, payable quarterly. The Credit Facility matures on September 11, 2029. As of September 30, 2024, the Credit Facility's outstanding principal balance was $150,000 thousand, which was recorded net of debt discount of $2,129 thousand.</w:t>
      </w:r>
    </w:p>
    <w:p>
      <w:pPr>
        <w:spacing w:after="0" w:line="210" w:lineRule="exact"/>
        <w:rPr>
          <w:sz w:val="20"/>
          <w:szCs w:val="20"/>
          <w:color w:val="auto"/>
        </w:rPr>
      </w:pPr>
    </w:p>
    <w:p>
      <w:pPr>
        <w:ind w:left="1020" w:right="160" w:firstLine="6"/>
        <w:spacing w:after="0" w:line="249" w:lineRule="auto"/>
        <w:tabs>
          <w:tab w:leader="none" w:pos="1115" w:val="left"/>
        </w:tabs>
        <w:numPr>
          <w:ilvl w:val="1"/>
          <w:numId w:val="25"/>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6"/>
          <w:szCs w:val="16"/>
          <w:color w:val="auto"/>
        </w:rPr>
        <w:t>The Company has issued various mortgage notes at an aggregate value of $112,285 thousand and $88,785 thousand in connection with various operating properties as of September 30, 2024 and December 31, 2023, respectively. The mortgage notes were issued at a discount, the carrying value of which was $1,060 thousand and $725 thousand, and are presented net of principal payments of $3,517 thousand and $1,568 thousand as of September 30, 2024 and December 31, 2023, respectively. These mortgage notes mature between August 20, 2025 and June 5, 2035 with interest rates ranging between 5.00% and 7.77%.</w:t>
      </w:r>
    </w:p>
    <w:p>
      <w:pPr>
        <w:spacing w:after="0" w:line="180" w:lineRule="exact"/>
        <w:rPr>
          <w:rFonts w:ascii="Times New Roman" w:cs="Times New Roman" w:eastAsia="Times New Roman" w:hAnsi="Times New Roman"/>
          <w:sz w:val="22"/>
          <w:szCs w:val="22"/>
          <w:b w:val="1"/>
          <w:bCs w:val="1"/>
          <w:color w:val="auto"/>
          <w:vertAlign w:val="superscript"/>
        </w:rPr>
      </w:pPr>
    </w:p>
    <w:p>
      <w:pPr>
        <w:ind w:left="440" w:hanging="432"/>
        <w:spacing w:after="0"/>
        <w:tabs>
          <w:tab w:leader="none" w:pos="4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Syndicated Credit Facility</w:t>
      </w:r>
    </w:p>
    <w:p>
      <w:pPr>
        <w:spacing w:after="0" w:line="229" w:lineRule="exact"/>
        <w:rPr>
          <w:sz w:val="20"/>
          <w:szCs w:val="20"/>
          <w:color w:val="auto"/>
        </w:rPr>
      </w:pPr>
    </w:p>
    <w:p>
      <w:pPr>
        <w:ind w:left="520" w:right="20"/>
        <w:spacing w:after="0" w:line="261" w:lineRule="auto"/>
        <w:rPr>
          <w:sz w:val="20"/>
          <w:szCs w:val="20"/>
          <w:color w:val="auto"/>
        </w:rPr>
      </w:pPr>
      <w:r>
        <w:rPr>
          <w:rFonts w:ascii="Times New Roman" w:cs="Times New Roman" w:eastAsia="Times New Roman" w:hAnsi="Times New Roman"/>
          <w:sz w:val="18"/>
          <w:szCs w:val="18"/>
          <w:color w:val="auto"/>
        </w:rPr>
        <w:t xml:space="preserve">On September 11, 2024, the Company entered into a $150,000 thousand syndicated credit facility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Credit Facility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led by Valley National Bank. The Credit Facility has a maturity date of September 11, 2029 and will bear interest from the date of issuance at the SOFR + 500 basis points, payable quarterly. The interest rate on the closing date was 10.10% per annum. The April 30, 2021 Notes were retired on September 11, 2024, with the proceeds from the Credit Facility and cash generated from operations.</w:t>
      </w:r>
    </w:p>
    <w:p>
      <w:pPr>
        <w:spacing w:after="0" w:line="176"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Warwick, New York Mortgage Note</w:t>
      </w:r>
    </w:p>
    <w:p>
      <w:pPr>
        <w:spacing w:after="0" w:line="229" w:lineRule="exact"/>
        <w:rPr>
          <w:sz w:val="20"/>
          <w:szCs w:val="20"/>
          <w:color w:val="auto"/>
        </w:rPr>
      </w:pPr>
    </w:p>
    <w:p>
      <w:pPr>
        <w:ind w:left="520" w:right="120"/>
        <w:spacing w:after="0" w:line="261" w:lineRule="auto"/>
        <w:rPr>
          <w:sz w:val="20"/>
          <w:szCs w:val="20"/>
          <w:color w:val="auto"/>
        </w:rPr>
      </w:pPr>
      <w:r>
        <w:rPr>
          <w:rFonts w:ascii="Times New Roman" w:cs="Times New Roman" w:eastAsia="Times New Roman" w:hAnsi="Times New Roman"/>
          <w:sz w:val="18"/>
          <w:szCs w:val="18"/>
          <w:color w:val="auto"/>
        </w:rPr>
        <w:t>On September 4, 2024, the Company closed on a $23,500 thousand mortgage note associated with its Warwick, New York CPG facility bearing an interest rate of 7.75% per annum, with a maturity date of September 4, 2029. The mortgage includes various covenants requiring the Company to maintain certain financial ratios related to its ability to service the debt. As of September 30, 2024, the Company was in compliance with all covenants associated with the mortgage.</w:t>
      </w:r>
    </w:p>
    <w:p>
      <w:pPr>
        <w:sectPr>
          <w:pgSz w:w="11900" w:h="16838" w:orient="portrait"/>
          <w:cols w:equalWidth="0" w:num="1">
            <w:col w:w="11200"/>
          </w:cols>
          <w:pgMar w:left="320" w:top="76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type w:val="continuous"/>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8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45"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part of the terms of the Company’s issuance of the April 30, 2021 Notes, as well as other financing arrangements, the Company issued warrants, which allow the holders to purchase the Company's Subordinate Voting Shares at an exercise price determined at the time of issuance.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number of warrants outstanding as of September 30, 2024 and December 31,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74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Liability Classified</w:t>
            </w:r>
          </w:p>
        </w:tc>
        <w:tc>
          <w:tcPr>
            <w:tcW w:w="15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Equity Classified</w:t>
            </w:r>
          </w:p>
        </w:tc>
        <w:tc>
          <w:tcPr>
            <w:tcW w:w="1180" w:type="dxa"/>
            <w:vAlign w:val="bottom"/>
            <w:tcBorders>
              <w:bottom w:val="single" w:sz="8" w:color="auto"/>
            </w:tcBorders>
          </w:tcPr>
          <w:p>
            <w:pPr>
              <w:spacing w:after="0"/>
              <w:rPr>
                <w:sz w:val="19"/>
                <w:szCs w:val="19"/>
                <w:color w:val="auto"/>
              </w:rPr>
            </w:pPr>
          </w:p>
        </w:tc>
      </w:tr>
      <w:tr>
        <w:trPr>
          <w:trHeight w:val="200"/>
        </w:trPr>
        <w:tc>
          <w:tcPr>
            <w:tcW w:w="2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2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5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2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15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225"/>
        </w:trPr>
        <w:tc>
          <w:tcPr>
            <w:tcW w:w="274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300" w:type="dxa"/>
            <w:vAlign w:val="bottom"/>
          </w:tcPr>
          <w:p>
            <w:pPr>
              <w:spacing w:after="0"/>
              <w:rPr>
                <w:sz w:val="19"/>
                <w:szCs w:val="19"/>
                <w:color w:val="auto"/>
              </w:rPr>
            </w:pPr>
          </w:p>
        </w:tc>
        <w:tc>
          <w:tcPr>
            <w:tcW w:w="14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Price (C$)</w:t>
            </w:r>
          </w:p>
        </w:tc>
        <w:tc>
          <w:tcPr>
            <w:tcW w:w="15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2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(USD)</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 Life</w:t>
            </w:r>
          </w:p>
        </w:tc>
      </w:tr>
      <w:tr>
        <w:trPr>
          <w:trHeight w:val="229"/>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6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1,997,208 C$</w:t>
            </w: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18.03</w:t>
            </w:r>
          </w:p>
        </w:tc>
        <w:tc>
          <w:tcPr>
            <w:tcW w:w="15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0.50</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1,737,347</w:t>
            </w: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2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Warrants Expired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(1,606,533)</w:t>
            </w:r>
          </w:p>
        </w:tc>
        <w:tc>
          <w:tcPr>
            <w:tcW w:w="300" w:type="dxa"/>
            <w:vAlign w:val="bottom"/>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2024</w:t>
            </w:r>
          </w:p>
        </w:tc>
        <w:tc>
          <w:tcPr>
            <w:tcW w:w="16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390,675 C$</w:t>
            </w: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12.42</w:t>
            </w:r>
          </w:p>
        </w:tc>
        <w:tc>
          <w:tcPr>
            <w:tcW w:w="15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0.21</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1,737,347</w:t>
            </w: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3"/>
        </w:trPr>
        <w:tc>
          <w:tcPr>
            <w:tcW w:w="2740" w:type="dxa"/>
            <w:vAlign w:val="bottom"/>
            <w:shd w:val="clear" w:color="auto" w:fill="CFF0FC"/>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-7620</wp:posOffset>
            </wp:positionV>
            <wp:extent cx="1885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1460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74" w:lineRule="exact"/>
        <w:rPr>
          <w:sz w:val="20"/>
          <w:szCs w:val="20"/>
          <w:color w:val="auto"/>
        </w:rPr>
      </w:pPr>
    </w:p>
    <w:p>
      <w:pPr>
        <w:ind w:left="400" w:hanging="392"/>
        <w:spacing w:after="0"/>
        <w:tabs>
          <w:tab w:leader="none" w:pos="4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Classified Warrants Outstanding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fair value of the liability classified warrants at September 30, 2024 and December 31, 2023:</w:t>
      </w:r>
    </w:p>
    <w:p>
      <w:pPr>
        <w:spacing w:after="0" w:line="268" w:lineRule="exact"/>
        <w:rPr>
          <w:sz w:val="20"/>
          <w:szCs w:val="20"/>
          <w:color w:val="auto"/>
        </w:rPr>
      </w:pPr>
    </w:p>
    <w:tbl>
      <w:tblPr>
        <w:tblLayout w:type="fixed"/>
        <w:tblInd w:w="80" w:type="dxa"/>
        <w:tblCellMar>
          <w:top w:w="0" w:type="dxa"/>
          <w:left w:w="0" w:type="dxa"/>
          <w:bottom w:w="0" w:type="dxa"/>
          <w:right w:w="0" w:type="dxa"/>
        </w:tblCellMar>
      </w:tblPr>
      <w:tr>
        <w:trPr>
          <w:trHeight w:val="225"/>
        </w:trPr>
        <w:tc>
          <w:tcPr>
            <w:tcW w:w="4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00"/>
        </w:trPr>
        <w:tc>
          <w:tcPr>
            <w:tcW w:w="448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Strike</w:t>
            </w:r>
          </w:p>
        </w:tc>
        <w:tc>
          <w:tcPr>
            <w:tcW w:w="120" w:type="dxa"/>
            <w:vAlign w:val="bottom"/>
          </w:tcPr>
          <w:p>
            <w:pPr>
              <w:spacing w:after="0"/>
              <w:rPr>
                <w:sz w:val="17"/>
                <w:szCs w:val="17"/>
                <w:color w:val="auto"/>
              </w:rPr>
            </w:pPr>
          </w:p>
        </w:tc>
        <w:tc>
          <w:tcPr>
            <w:tcW w:w="12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200" w:type="dxa"/>
            <w:vAlign w:val="bottom"/>
          </w:tcPr>
          <w:p>
            <w:pPr>
              <w:spacing w:after="0"/>
              <w:rPr>
                <w:sz w:val="17"/>
                <w:szCs w:val="17"/>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9"/>
        </w:trPr>
        <w:tc>
          <w:tcPr>
            <w:tcW w:w="44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Warrant Liability</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0"/>
        </w:trPr>
        <w:tc>
          <w:tcPr>
            <w:tcW w:w="4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2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Private Placement Financing Warrants Issued May 2019</w:t>
            </w:r>
          </w:p>
        </w:tc>
        <w:tc>
          <w:tcPr>
            <w:tcW w:w="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C$19.39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(1,673)</w:t>
            </w:r>
          </w:p>
        </w:tc>
      </w:tr>
      <w:tr>
        <w:trPr>
          <w:trHeight w:val="220"/>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Modification Warrants Issued November 2019</w:t>
            </w:r>
          </w:p>
        </w:tc>
        <w:tc>
          <w:tcPr>
            <w:tcW w:w="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C$12.04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316,947</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r>
      <w:tr>
        <w:trPr>
          <w:trHeight w:val="236"/>
        </w:trPr>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Modification Warrants Issued May 2020</w:t>
            </w:r>
          </w:p>
        </w:tc>
        <w:tc>
          <w:tcPr>
            <w:tcW w:w="76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C$14.03</w:t>
            </w:r>
          </w:p>
        </w:tc>
        <w:tc>
          <w:tcPr>
            <w:tcW w:w="1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73,728</w:t>
            </w:r>
          </w:p>
        </w:tc>
        <w:tc>
          <w:tcPr>
            <w:tcW w:w="2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2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26"/>
        </w:trPr>
        <w:tc>
          <w:tcPr>
            <w:tcW w:w="4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7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390,675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3,117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(2,389)</w:t>
            </w:r>
          </w:p>
        </w:tc>
      </w:tr>
      <w:tr>
        <w:trPr>
          <w:trHeight w:val="20"/>
        </w:trPr>
        <w:tc>
          <w:tcPr>
            <w:tcW w:w="4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-179070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jc w:val="both"/>
        <w:ind w:left="520" w:right="12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and 2023, the Company recorded gains of $855 thousand and $2,389 thousand, a loss $1,329 thousand and a gain of $934 thousand, respectively, on the change in the fair value of the warrant liability within other income (expense) on the unaudited interim condensed consolidated statements of operations.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significant assumptions used in determining the fair value of the warrant liability as of each reporting date (see</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 13 - Fair Value Measurements for additional details):</w:t>
      </w:r>
    </w:p>
    <w:p>
      <w:pPr>
        <w:spacing w:after="0" w:line="250" w:lineRule="exact"/>
        <w:rPr>
          <w:sz w:val="20"/>
          <w:szCs w:val="20"/>
          <w:color w:val="auto"/>
        </w:rPr>
      </w:pPr>
    </w:p>
    <w:tbl>
      <w:tblPr>
        <w:tblLayout w:type="fixed"/>
        <w:tblInd w:w="680"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260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9"/>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Significant Assumptions</w:t>
            </w: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0" w:type="dxa"/>
            <w:vAlign w:val="bottom"/>
          </w:tcPr>
          <w:p>
            <w:pPr>
              <w:spacing w:after="0"/>
              <w:rPr>
                <w:sz w:val="22"/>
                <w:szCs w:val="22"/>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26"/>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2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57.64%-70.07%</w:t>
            </w:r>
          </w:p>
        </w:tc>
        <w:tc>
          <w:tcPr>
            <w:tcW w:w="2780" w:type="dxa"/>
            <w:vAlign w:val="bottom"/>
            <w:gridSpan w:val="2"/>
            <w:shd w:val="clear" w:color="auto" w:fill="CFF0FC"/>
          </w:tcPr>
          <w:p>
            <w:pPr>
              <w:jc w:val="center"/>
              <w:ind w:left="119"/>
              <w:spacing w:after="0"/>
              <w:rPr>
                <w:sz w:val="20"/>
                <w:szCs w:val="20"/>
                <w:color w:val="auto"/>
              </w:rPr>
            </w:pPr>
            <w:r>
              <w:rPr>
                <w:rFonts w:ascii="Times New Roman" w:cs="Times New Roman" w:eastAsia="Times New Roman" w:hAnsi="Times New Roman"/>
                <w:sz w:val="16"/>
                <w:szCs w:val="16"/>
                <w:color w:val="auto"/>
              </w:rPr>
              <w:t>61.76% - 74.31%</w:t>
            </w:r>
          </w:p>
        </w:tc>
      </w:tr>
      <w:tr>
        <w:trPr>
          <w:trHeight w:val="220"/>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Remaining Term</w:t>
            </w:r>
          </w:p>
        </w:tc>
        <w:tc>
          <w:tcPr>
            <w:tcW w:w="26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0.11-0.64 years</w:t>
            </w:r>
          </w:p>
        </w:tc>
        <w:tc>
          <w:tcPr>
            <w:tcW w:w="20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0.39-1.39 years</w:t>
            </w:r>
          </w:p>
        </w:tc>
      </w:tr>
      <w:tr>
        <w:trPr>
          <w:trHeight w:val="239"/>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Risk Free Rate</w:t>
            </w:r>
          </w:p>
        </w:tc>
        <w:tc>
          <w:tcPr>
            <w:tcW w:w="2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2.94%</w:t>
            </w:r>
          </w:p>
        </w:tc>
        <w:tc>
          <w:tcPr>
            <w:tcW w:w="2780" w:type="dxa"/>
            <w:vAlign w:val="bottom"/>
            <w:gridSpan w:val="2"/>
            <w:shd w:val="clear" w:color="auto" w:fill="CFF0FC"/>
          </w:tcPr>
          <w:p>
            <w:pPr>
              <w:jc w:val="center"/>
              <w:ind w:left="119"/>
              <w:spacing w:after="0"/>
              <w:rPr>
                <w:sz w:val="20"/>
                <w:szCs w:val="20"/>
                <w:color w:val="auto"/>
              </w:rPr>
            </w:pPr>
            <w:r>
              <w:rPr>
                <w:rFonts w:ascii="Times New Roman" w:cs="Times New Roman" w:eastAsia="Times New Roman" w:hAnsi="Times New Roman"/>
                <w:sz w:val="16"/>
                <w:szCs w:val="16"/>
                <w:color w:val="auto"/>
              </w:rPr>
              <w:t>3.91%</w:t>
            </w: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56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153"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WARRANTS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Equity Classified Warrants Outstanding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equity classified warrants were recorded at fair value at each respective date of issuance. Equity classified warrants are not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remeasured at fair value on a recurring basis and are carried at their issuance date fair value. The following table summarizes the carrying amounts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equity classified warrants at September 30, 2024 and December 31, 2023:</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4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Issuance Date Fair Value</w:t>
            </w:r>
          </w:p>
        </w:tc>
      </w:tr>
      <w:tr>
        <w:trPr>
          <w:trHeight w:val="212"/>
        </w:trPr>
        <w:tc>
          <w:tcPr>
            <w:tcW w:w="4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44"/>
        </w:trPr>
        <w:tc>
          <w:tcPr>
            <w:tcW w:w="46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Warrants Included in Contributed Surplus</w:t>
            </w:r>
          </w:p>
        </w:tc>
        <w:tc>
          <w:tcPr>
            <w:tcW w:w="12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Strike Price</w:t>
            </w:r>
          </w:p>
        </w:tc>
        <w:tc>
          <w:tcPr>
            <w:tcW w:w="120" w:type="dxa"/>
            <w:vAlign w:val="bottom"/>
          </w:tcPr>
          <w:p>
            <w:pPr>
              <w:spacing w:after="0"/>
              <w:rPr>
                <w:sz w:val="21"/>
                <w:szCs w:val="21"/>
                <w:color w:val="auto"/>
              </w:rPr>
            </w:pPr>
          </w:p>
        </w:tc>
        <w:tc>
          <w:tcPr>
            <w:tcW w:w="12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9"/>
        </w:trPr>
        <w:tc>
          <w:tcPr>
            <w:tcW w:w="4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2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 Warrants Issued June 2020</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$9.10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20"/>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Private Placement Refinance Warrants Issued April 2021</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$32.68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1,459,044</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22,259</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22,259</w:t>
            </w:r>
          </w:p>
        </w:tc>
      </w:tr>
      <w:tr>
        <w:trPr>
          <w:trHeight w:val="233"/>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Private Placement Refinance Warrants Issued October 2021</w:t>
            </w:r>
          </w:p>
        </w:tc>
        <w:tc>
          <w:tcPr>
            <w:tcW w:w="12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$30.02</w:t>
            </w:r>
          </w:p>
        </w:tc>
        <w:tc>
          <w:tcPr>
            <w:tcW w:w="14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243,303</w:t>
            </w:r>
          </w:p>
        </w:tc>
        <w:tc>
          <w:tcPr>
            <w:tcW w:w="1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2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2,616</w:t>
            </w: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12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1,737,347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25,056</w:t>
            </w:r>
          </w:p>
        </w:tc>
        <w:tc>
          <w:tcPr>
            <w:tcW w:w="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25,056</w:t>
            </w:r>
          </w:p>
        </w:tc>
      </w:tr>
      <w:tr>
        <w:trPr>
          <w:trHeight w:val="20"/>
        </w:trPr>
        <w:tc>
          <w:tcPr>
            <w:tcW w:w="4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20" w:right="380"/>
        <w:spacing w:after="0" w:line="282" w:lineRule="auto"/>
        <w:rPr>
          <w:sz w:val="20"/>
          <w:szCs w:val="20"/>
          <w:color w:val="auto"/>
        </w:rPr>
      </w:pPr>
      <w:r>
        <w:rPr>
          <w:rFonts w:ascii="Times New Roman" w:cs="Times New Roman" w:eastAsia="Times New Roman" w:hAnsi="Times New Roman"/>
          <w:sz w:val="18"/>
          <w:szCs w:val="18"/>
          <w:color w:val="auto"/>
        </w:rPr>
        <w:t>The equity warrants were valued as of the date of issuance using a Black Scholes Option Pricing model. The following table summarizes the significant assumptions used in determining the fair value of the warrants as of each respective issuance date:</w:t>
      </w:r>
    </w:p>
    <w:p>
      <w:pPr>
        <w:spacing w:after="0" w:line="178" w:lineRule="exact"/>
        <w:rPr>
          <w:sz w:val="20"/>
          <w:szCs w:val="20"/>
          <w:color w:val="auto"/>
        </w:rPr>
      </w:pPr>
    </w:p>
    <w:tbl>
      <w:tblPr>
        <w:tblLayout w:type="fixed"/>
        <w:tblInd w:w="680" w:type="dxa"/>
        <w:tblCellMar>
          <w:top w:w="0" w:type="dxa"/>
          <w:left w:w="0" w:type="dxa"/>
          <w:bottom w:w="0" w:type="dxa"/>
          <w:right w:w="0" w:type="dxa"/>
        </w:tblCellMar>
      </w:tblPr>
      <w:tr>
        <w:trPr>
          <w:trHeight w:val="203"/>
        </w:trPr>
        <w:tc>
          <w:tcPr>
            <w:tcW w:w="47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 Placement</w:t>
            </w:r>
          </w:p>
        </w:tc>
        <w:tc>
          <w:tcPr>
            <w:tcW w:w="1700" w:type="dxa"/>
            <w:vAlign w:val="bottom"/>
          </w:tcPr>
          <w:p>
            <w:pPr>
              <w:spacing w:after="0"/>
              <w:rPr>
                <w:sz w:val="17"/>
                <w:szCs w:val="17"/>
                <w:color w:val="auto"/>
              </w:rPr>
            </w:pPr>
          </w:p>
        </w:tc>
      </w:tr>
      <w:tr>
        <w:trPr>
          <w:trHeight w:val="202"/>
        </w:trPr>
        <w:tc>
          <w:tcPr>
            <w:tcW w:w="4720" w:type="dxa"/>
            <w:vAlign w:val="bottom"/>
          </w:tcPr>
          <w:p>
            <w:pPr>
              <w:spacing w:after="0"/>
              <w:rPr>
                <w:sz w:val="17"/>
                <w:szCs w:val="17"/>
                <w:color w:val="auto"/>
              </w:rPr>
            </w:pPr>
          </w:p>
        </w:tc>
        <w:tc>
          <w:tcPr>
            <w:tcW w:w="17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Private Placement</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Refinancing</w:t>
            </w:r>
          </w:p>
        </w:tc>
        <w:tc>
          <w:tcPr>
            <w:tcW w:w="1700" w:type="dxa"/>
            <w:vAlign w:val="bottom"/>
          </w:tcPr>
          <w:p>
            <w:pPr>
              <w:spacing w:after="0"/>
              <w:rPr>
                <w:sz w:val="17"/>
                <w:szCs w:val="17"/>
                <w:color w:val="auto"/>
              </w:rPr>
            </w:pPr>
          </w:p>
        </w:tc>
      </w:tr>
      <w:tr>
        <w:trPr>
          <w:trHeight w:val="226"/>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Significant Assumptions</w:t>
            </w:r>
          </w:p>
        </w:tc>
        <w:tc>
          <w:tcPr>
            <w:tcW w:w="17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Refinancing Warrants</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70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Mortgage Warrants</w:t>
            </w:r>
          </w:p>
        </w:tc>
      </w:tr>
      <w:tr>
        <w:trPr>
          <w:trHeight w:val="21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of Issuance</w:t>
            </w:r>
          </w:p>
        </w:tc>
        <w:tc>
          <w:tcPr>
            <w:tcW w:w="17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October 15, 2021</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30, 2021</w:t>
            </w:r>
          </w:p>
        </w:tc>
        <w:tc>
          <w:tcPr>
            <w:tcW w:w="17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June 5, 2020</w:t>
            </w:r>
          </w:p>
        </w:tc>
      </w:tr>
      <w:tr>
        <w:trPr>
          <w:trHeight w:val="239"/>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176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rPr>
              <w:t>73%</w:t>
            </w:r>
          </w:p>
        </w:tc>
        <w:tc>
          <w:tcPr>
            <w:tcW w:w="170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rPr>
              <w:t>73%</w:t>
            </w:r>
          </w:p>
        </w:tc>
        <w:tc>
          <w:tcPr>
            <w:tcW w:w="170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rPr>
              <w:t>80%</w:t>
            </w:r>
          </w:p>
        </w:tc>
      </w:tr>
      <w:tr>
        <w:trPr>
          <w:trHeight w:val="22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Term</w:t>
            </w:r>
          </w:p>
        </w:tc>
        <w:tc>
          <w:tcPr>
            <w:tcW w:w="17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4 years</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 years</w:t>
            </w:r>
          </w:p>
        </w:tc>
        <w:tc>
          <w:tcPr>
            <w:tcW w:w="17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5 years</w:t>
            </w:r>
          </w:p>
        </w:tc>
      </w:tr>
      <w:tr>
        <w:trPr>
          <w:trHeight w:val="239"/>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Risk Free Rate</w:t>
            </w:r>
          </w:p>
        </w:tc>
        <w:tc>
          <w:tcPr>
            <w:tcW w:w="17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rPr>
              <w:t>1.12%</w:t>
            </w:r>
          </w:p>
        </w:tc>
        <w:tc>
          <w:tcPr>
            <w:tcW w:w="170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0.74%</w:t>
            </w:r>
          </w:p>
        </w:tc>
        <w:tc>
          <w:tcPr>
            <w:tcW w:w="1700" w:type="dxa"/>
            <w:vAlign w:val="bottom"/>
            <w:shd w:val="clear" w:color="auto" w:fill="CFF0FC"/>
          </w:tcPr>
          <w:p>
            <w:pPr>
              <w:jc w:val="right"/>
              <w:ind w:right="479"/>
              <w:spacing w:after="0"/>
              <w:rPr>
                <w:sz w:val="20"/>
                <w:szCs w:val="20"/>
                <w:color w:val="auto"/>
              </w:rPr>
            </w:pPr>
            <w:r>
              <w:rPr>
                <w:rFonts w:ascii="Times New Roman" w:cs="Times New Roman" w:eastAsia="Times New Roman" w:hAnsi="Times New Roman"/>
                <w:sz w:val="16"/>
                <w:szCs w:val="16"/>
                <w:color w:val="auto"/>
              </w:rPr>
              <w:t>0.37%</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65" w:right="55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8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32" w:lineRule="exact"/>
        <w:rPr>
          <w:sz w:val="20"/>
          <w:szCs w:val="20"/>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 xml:space="preserve">Common shares, which include the Company’s Subordinate Voting Shares, Multiple Voting Shares and Super Voting Shares, are classified as equity. Incremental costs directly attributable to the issuance of common shares are recognized as a deduction from equity. The proceeds from the exercise of stock options or warrants together with amounts previously recorded in reserves over the applicable vesting periods are recorded as share capital. Income tax relating to transaction costs of an equity transaction is accounted for in accordance with Accounting Standards Codification (“ASC”)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ind w:left="400" w:hanging="392"/>
        <w:spacing w:after="0"/>
        <w:tabs>
          <w:tab w:leader="none" w:pos="4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the following classes of share capital, with each class having no par value:</w:t>
      </w:r>
    </w:p>
    <w:p>
      <w:pPr>
        <w:spacing w:after="0" w:line="221" w:lineRule="exact"/>
        <w:rPr>
          <w:sz w:val="20"/>
          <w:szCs w:val="20"/>
          <w:color w:val="auto"/>
        </w:rPr>
      </w:pPr>
    </w:p>
    <w:p>
      <w:pPr>
        <w:ind w:left="860" w:hanging="343"/>
        <w:spacing w:after="0"/>
        <w:tabs>
          <w:tab w:leader="none" w:pos="8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Subordinate Voting Shares</w:t>
      </w:r>
    </w:p>
    <w:p>
      <w:pPr>
        <w:spacing w:after="0" w:line="121" w:lineRule="exact"/>
        <w:rPr>
          <w:sz w:val="20"/>
          <w:szCs w:val="20"/>
          <w:color w:val="auto"/>
        </w:rPr>
      </w:pPr>
    </w:p>
    <w:p>
      <w:pPr>
        <w:ind w:left="1140" w:right="120"/>
        <w:spacing w:after="0" w:line="266" w:lineRule="auto"/>
        <w:rPr>
          <w:sz w:val="20"/>
          <w:szCs w:val="20"/>
          <w:color w:val="auto"/>
        </w:rPr>
      </w:pPr>
      <w:r>
        <w:rPr>
          <w:rFonts w:ascii="Times New Roman" w:cs="Times New Roman" w:eastAsia="Times New Roman" w:hAnsi="Times New Roman"/>
          <w:sz w:val="18"/>
          <w:szCs w:val="18"/>
          <w:color w:val="auto"/>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(ii)  Multiple Voting Shares</w:t>
      </w:r>
    </w:p>
    <w:p>
      <w:pPr>
        <w:spacing w:after="0" w:line="121" w:lineRule="exact"/>
        <w:rPr>
          <w:sz w:val="20"/>
          <w:szCs w:val="20"/>
          <w:color w:val="auto"/>
        </w:rPr>
      </w:pPr>
    </w:p>
    <w:p>
      <w:pPr>
        <w:ind w:left="1140" w:right="700"/>
        <w:spacing w:after="0" w:line="282" w:lineRule="auto"/>
        <w:rPr>
          <w:sz w:val="20"/>
          <w:szCs w:val="20"/>
          <w:color w:val="auto"/>
        </w:rPr>
      </w:pPr>
      <w:r>
        <w:rPr>
          <w:rFonts w:ascii="Times New Roman" w:cs="Times New Roman" w:eastAsia="Times New Roman" w:hAnsi="Times New Roman"/>
          <w:sz w:val="18"/>
          <w:szCs w:val="18"/>
          <w:color w:val="auto"/>
        </w:rPr>
        <w:t>Each Multiple Voting Share is entitled to 100 votes per share at shareholder meetings of the Company and is exchangeable for 100 Subordinate Voting Shares. The Company is authorized to issue an unlimited number of Multiple Voting Shares.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(iii) Super Voting Shares</w:t>
      </w:r>
    </w:p>
    <w:p>
      <w:pPr>
        <w:spacing w:after="0" w:line="121" w:lineRule="exact"/>
        <w:rPr>
          <w:sz w:val="20"/>
          <w:szCs w:val="20"/>
          <w:color w:val="auto"/>
        </w:rPr>
      </w:pPr>
    </w:p>
    <w:p>
      <w:pPr>
        <w:ind w:left="1140" w:right="60"/>
        <w:spacing w:after="0" w:line="312" w:lineRule="auto"/>
        <w:rPr>
          <w:sz w:val="20"/>
          <w:szCs w:val="20"/>
          <w:color w:val="auto"/>
        </w:rPr>
      </w:pPr>
      <w:r>
        <w:rPr>
          <w:rFonts w:ascii="Times New Roman" w:cs="Times New Roman" w:eastAsia="Times New Roman" w:hAnsi="Times New Roman"/>
          <w:sz w:val="17"/>
          <w:szCs w:val="17"/>
          <w:color w:val="auto"/>
        </w:rPr>
        <w:t>Each Super Voting Share is entitled to 1,000 votes per share at shareholder meetings of the Company and is exchangeable for 100 Subordinate Voting Shares or one Multiple Voting Share. The Company is authorized to issue an unlimited number of Super Voting Shares.</w:t>
      </w:r>
    </w:p>
    <w:p>
      <w:pPr>
        <w:spacing w:after="0" w:line="13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Issued and Outstanding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the issued and outstanding shares by class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Issued and Outstanding</w:t>
            </w:r>
          </w:p>
        </w:tc>
        <w:tc>
          <w:tcPr>
            <w:tcW w:w="1440" w:type="dxa"/>
            <w:vAlign w:val="bottom"/>
            <w:tcBorders>
              <w:bottom w:val="single" w:sz="8" w:color="auto"/>
            </w:tcBorders>
          </w:tcPr>
          <w:p>
            <w:pPr>
              <w:spacing w:after="0"/>
              <w:rPr>
                <w:sz w:val="16"/>
                <w:szCs w:val="16"/>
                <w:color w:val="auto"/>
              </w:rPr>
            </w:pPr>
          </w:p>
        </w:tc>
        <w:tc>
          <w:tcPr>
            <w:tcW w:w="680" w:type="dxa"/>
            <w:vAlign w:val="bottom"/>
          </w:tcPr>
          <w:p>
            <w:pPr>
              <w:spacing w:after="0"/>
              <w:rPr>
                <w:sz w:val="16"/>
                <w:szCs w:val="16"/>
                <w:color w:val="auto"/>
              </w:rPr>
            </w:pPr>
          </w:p>
        </w:tc>
      </w:tr>
      <w:tr>
        <w:trPr>
          <w:trHeight w:val="131"/>
        </w:trPr>
        <w:tc>
          <w:tcPr>
            <w:tcW w:w="68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60" w:type="dxa"/>
            <w:vAlign w:val="bottom"/>
          </w:tcPr>
          <w:p>
            <w:pPr>
              <w:jc w:val="right"/>
              <w:ind w:right="264"/>
              <w:spacing w:after="0" w:line="131" w:lineRule="exact"/>
              <w:rPr>
                <w:sz w:val="20"/>
                <w:szCs w:val="20"/>
                <w:color w:val="auto"/>
              </w:rPr>
            </w:pPr>
            <w:r>
              <w:rPr>
                <w:rFonts w:ascii="Times New Roman" w:cs="Times New Roman" w:eastAsia="Times New Roman" w:hAnsi="Times New Roman"/>
                <w:sz w:val="14"/>
                <w:szCs w:val="14"/>
                <w:b w:val="1"/>
                <w:bCs w:val="1"/>
                <w:color w:val="auto"/>
              </w:rPr>
              <w:t>Subordinate</w:t>
            </w:r>
          </w:p>
        </w:tc>
        <w:tc>
          <w:tcPr>
            <w:tcW w:w="120" w:type="dxa"/>
            <w:vAlign w:val="bottom"/>
          </w:tcPr>
          <w:p>
            <w:pPr>
              <w:spacing w:after="0"/>
              <w:rPr>
                <w:sz w:val="11"/>
                <w:szCs w:val="11"/>
                <w:color w:val="auto"/>
              </w:rPr>
            </w:pPr>
          </w:p>
        </w:tc>
        <w:tc>
          <w:tcPr>
            <w:tcW w:w="156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Multiple</w:t>
            </w:r>
          </w:p>
        </w:tc>
        <w:tc>
          <w:tcPr>
            <w:tcW w:w="1440" w:type="dxa"/>
            <w:vAlign w:val="bottom"/>
          </w:tcPr>
          <w:p>
            <w:pPr>
              <w:jc w:val="right"/>
              <w:ind w:right="455"/>
              <w:spacing w:after="0" w:line="131" w:lineRule="exact"/>
              <w:rPr>
                <w:sz w:val="20"/>
                <w:szCs w:val="20"/>
                <w:color w:val="auto"/>
              </w:rPr>
            </w:pPr>
            <w:r>
              <w:rPr>
                <w:rFonts w:ascii="Times New Roman" w:cs="Times New Roman" w:eastAsia="Times New Roman" w:hAnsi="Times New Roman"/>
                <w:sz w:val="14"/>
                <w:szCs w:val="14"/>
                <w:b w:val="1"/>
                <w:bCs w:val="1"/>
                <w:color w:val="auto"/>
              </w:rPr>
              <w:t>Super</w:t>
            </w:r>
          </w:p>
        </w:tc>
        <w:tc>
          <w:tcPr>
            <w:tcW w:w="680" w:type="dxa"/>
            <w:vAlign w:val="bottom"/>
          </w:tcPr>
          <w:p>
            <w:pPr>
              <w:spacing w:after="0"/>
              <w:rPr>
                <w:sz w:val="11"/>
                <w:szCs w:val="11"/>
                <w:color w:val="auto"/>
              </w:rPr>
            </w:pPr>
          </w:p>
        </w:tc>
      </w:tr>
      <w:tr>
        <w:trPr>
          <w:trHeight w:val="148"/>
        </w:trPr>
        <w:tc>
          <w:tcPr>
            <w:tcW w:w="6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60" w:type="dxa"/>
            <w:vAlign w:val="bottom"/>
          </w:tcPr>
          <w:p>
            <w:pPr>
              <w:jc w:val="right"/>
              <w:ind w:right="444"/>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12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1440" w:type="dxa"/>
            <w:vAlign w:val="bottom"/>
          </w:tcPr>
          <w:p>
            <w:pPr>
              <w:jc w:val="right"/>
              <w:ind w:right="435"/>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680" w:type="dxa"/>
            <w:vAlign w:val="bottom"/>
          </w:tcPr>
          <w:p>
            <w:pPr>
              <w:spacing w:after="0"/>
              <w:rPr>
                <w:sz w:val="12"/>
                <w:szCs w:val="12"/>
                <w:color w:val="auto"/>
              </w:rPr>
            </w:pPr>
          </w:p>
        </w:tc>
      </w:tr>
      <w:tr>
        <w:trPr>
          <w:trHeight w:val="187"/>
        </w:trPr>
        <w:tc>
          <w:tcPr>
            <w:tcW w:w="6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6"/>
                <w:szCs w:val="16"/>
                <w:color w:val="auto"/>
              </w:rPr>
            </w:pPr>
          </w:p>
        </w:tc>
        <w:tc>
          <w:tcPr>
            <w:tcW w:w="14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Pr>
          <w:p>
            <w:pPr>
              <w:spacing w:after="0"/>
              <w:rPr>
                <w:sz w:val="16"/>
                <w:szCs w:val="16"/>
                <w:color w:val="auto"/>
              </w:rPr>
            </w:pPr>
          </w:p>
        </w:tc>
      </w:tr>
      <w:tr>
        <w:trPr>
          <w:trHeight w:val="237"/>
        </w:trPr>
        <w:tc>
          <w:tcPr>
            <w:tcW w:w="680" w:type="dxa"/>
            <w:vAlign w:val="bottom"/>
          </w:tcPr>
          <w:p>
            <w:pPr>
              <w:spacing w:after="0"/>
              <w:rPr>
                <w:sz w:val="20"/>
                <w:szCs w:val="20"/>
                <w:color w:val="auto"/>
              </w:rPr>
            </w:pPr>
          </w:p>
        </w:tc>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at January 1, 2024</w:t>
            </w:r>
          </w:p>
        </w:tc>
        <w:tc>
          <w:tcPr>
            <w:tcW w:w="2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209,871,792</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38,531</w:t>
            </w: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216,690</w:t>
            </w:r>
          </w:p>
        </w:tc>
        <w:tc>
          <w:tcPr>
            <w:tcW w:w="680" w:type="dxa"/>
            <w:vAlign w:val="bottom"/>
          </w:tcPr>
          <w:p>
            <w:pPr>
              <w:spacing w:after="0"/>
              <w:rPr>
                <w:sz w:val="20"/>
                <w:szCs w:val="20"/>
                <w:color w:val="auto"/>
              </w:rPr>
            </w:pPr>
          </w:p>
        </w:tc>
      </w:tr>
      <w:tr>
        <w:trPr>
          <w:trHeight w:val="239"/>
        </w:trPr>
        <w:tc>
          <w:tcPr>
            <w:tcW w:w="68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of contingent consideration</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2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r>
      <w:tr>
        <w:trPr>
          <w:trHeight w:val="247"/>
        </w:trPr>
        <w:tc>
          <w:tcPr>
            <w:tcW w:w="680" w:type="dxa"/>
            <w:vAlign w:val="bottom"/>
          </w:tcPr>
          <w:p>
            <w:pPr>
              <w:spacing w:after="0"/>
              <w:rPr>
                <w:sz w:val="21"/>
                <w:szCs w:val="21"/>
                <w:color w:val="auto"/>
              </w:rPr>
            </w:pPr>
          </w:p>
        </w:tc>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shares upon exercise of options</w:t>
            </w:r>
          </w:p>
        </w:tc>
        <w:tc>
          <w:tcPr>
            <w:tcW w:w="2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1,331,937</w:t>
            </w:r>
          </w:p>
        </w:tc>
        <w:tc>
          <w:tcPr>
            <w:tcW w:w="1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r>
      <w:tr>
        <w:trPr>
          <w:trHeight w:val="239"/>
        </w:trPr>
        <w:tc>
          <w:tcPr>
            <w:tcW w:w="68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of shares upon vesting of RSUs</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905,176</w:t>
            </w:r>
          </w:p>
        </w:tc>
        <w:tc>
          <w:tcPr>
            <w:tcW w:w="12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r>
      <w:tr>
        <w:trPr>
          <w:trHeight w:val="247"/>
        </w:trPr>
        <w:tc>
          <w:tcPr>
            <w:tcW w:w="680" w:type="dxa"/>
            <w:vAlign w:val="bottom"/>
          </w:tcPr>
          <w:p>
            <w:pPr>
              <w:spacing w:after="0"/>
              <w:rPr>
                <w:sz w:val="21"/>
                <w:szCs w:val="21"/>
                <w:color w:val="auto"/>
              </w:rPr>
            </w:pPr>
          </w:p>
        </w:tc>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of Subordinate Voting Shares</w:t>
            </w:r>
          </w:p>
        </w:tc>
        <w:tc>
          <w:tcPr>
            <w:tcW w:w="2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(2,725,000)</w:t>
            </w:r>
          </w:p>
        </w:tc>
        <w:tc>
          <w:tcPr>
            <w:tcW w:w="1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of shares</w:t>
            </w:r>
          </w:p>
        </w:tc>
        <w:tc>
          <w:tcPr>
            <w:tcW w:w="130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1,084,800</w:t>
            </w:r>
          </w:p>
        </w:tc>
        <w:tc>
          <w:tcPr>
            <w:tcW w:w="120" w:type="dxa"/>
            <w:vAlign w:val="bottom"/>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40" w:type="dxa"/>
            <w:vAlign w:val="bottom"/>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80" w:type="dxa"/>
            <w:vAlign w:val="bottom"/>
          </w:tcPr>
          <w:p>
            <w:pPr>
              <w:spacing w:after="0"/>
              <w:rPr>
                <w:sz w:val="21"/>
                <w:szCs w:val="21"/>
                <w:color w:val="auto"/>
              </w:rPr>
            </w:pPr>
          </w:p>
        </w:tc>
      </w:tr>
      <w:tr>
        <w:trPr>
          <w:trHeight w:val="277"/>
        </w:trPr>
        <w:tc>
          <w:tcPr>
            <w:tcW w:w="680" w:type="dxa"/>
            <w:vAlign w:val="bottom"/>
          </w:tcPr>
          <w:p>
            <w:pPr>
              <w:spacing w:after="0"/>
              <w:rPr>
                <w:sz w:val="24"/>
                <w:szCs w:val="24"/>
                <w:color w:val="auto"/>
              </w:rPr>
            </w:pPr>
          </w:p>
        </w:tc>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at September 30, 2024</w:t>
            </w:r>
          </w:p>
        </w:tc>
        <w:tc>
          <w:tcPr>
            <w:tcW w:w="2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211,718,705</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37,683</w:t>
            </w:r>
          </w:p>
        </w:tc>
        <w:tc>
          <w:tcPr>
            <w:tcW w:w="140" w:type="dxa"/>
            <w:vAlign w:val="bottom"/>
            <w:shd w:val="clear" w:color="auto" w:fill="CFF0FC"/>
          </w:tcPr>
          <w:p>
            <w:pPr>
              <w:spacing w:after="0"/>
              <w:rPr>
                <w:sz w:val="24"/>
                <w:szCs w:val="24"/>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206,690</w:t>
            </w:r>
          </w:p>
        </w:tc>
        <w:tc>
          <w:tcPr>
            <w:tcW w:w="680" w:type="dxa"/>
            <w:vAlign w:val="bottom"/>
          </w:tcPr>
          <w:p>
            <w:pPr>
              <w:spacing w:after="0"/>
              <w:rPr>
                <w:sz w:val="24"/>
                <w:szCs w:val="24"/>
                <w:color w:val="auto"/>
              </w:rPr>
            </w:pPr>
          </w:p>
        </w:tc>
      </w:tr>
      <w:tr>
        <w:trPr>
          <w:trHeight w:val="696"/>
        </w:trPr>
        <w:tc>
          <w:tcPr>
            <w:tcW w:w="680" w:type="dxa"/>
            <w:vAlign w:val="bottom"/>
          </w:tcPr>
          <w:p>
            <w:pPr>
              <w:spacing w:after="0"/>
              <w:rPr>
                <w:sz w:val="24"/>
                <w:szCs w:val="24"/>
                <w:color w:val="auto"/>
              </w:rPr>
            </w:pPr>
          </w:p>
        </w:tc>
        <w:tc>
          <w:tcPr>
            <w:tcW w:w="4000" w:type="dxa"/>
            <w:vAlign w:val="bottom"/>
            <w:tcBorders>
              <w:top w:val="single" w:sz="8" w:color="CFF0FC"/>
            </w:tcBorders>
          </w:tcPr>
          <w:p>
            <w:pPr>
              <w:spacing w:after="0"/>
              <w:rPr>
                <w:sz w:val="24"/>
                <w:szCs w:val="24"/>
                <w:color w:val="auto"/>
              </w:rPr>
            </w:pPr>
          </w:p>
        </w:tc>
        <w:tc>
          <w:tcPr>
            <w:tcW w:w="1300" w:type="dxa"/>
            <w:vAlign w:val="bottom"/>
            <w:tcBorders>
              <w:top w:val="single" w:sz="8" w:color="CFF0FC"/>
            </w:tcBorders>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14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r>
      <w:tr>
        <w:trPr>
          <w:trHeight w:val="763"/>
        </w:trPr>
        <w:tc>
          <w:tcPr>
            <w:tcW w:w="6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-976630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-959485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-976630</wp:posOffset>
            </wp:positionV>
            <wp:extent cx="939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-959485</wp:posOffset>
            </wp:positionV>
            <wp:extent cx="939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6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315" w:lineRule="exact"/>
        <w:rPr>
          <w:sz w:val="20"/>
          <w:szCs w:val="20"/>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  Distribution of Contingent Consideration</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Dharma Pharmaceuticals, LLC</w:t>
      </w:r>
    </w:p>
    <w:p>
      <w:pPr>
        <w:spacing w:after="0" w:line="227" w:lineRule="exact"/>
        <w:rPr>
          <w:sz w:val="20"/>
          <w:szCs w:val="20"/>
          <w:color w:val="auto"/>
        </w:rPr>
      </w:pPr>
    </w:p>
    <w:p>
      <w:pPr>
        <w:ind w:left="520" w:right="36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2021 acquisition of Dharma Pharmaceuticals, LLC (“Dharma”), the purchase agreement included contingent consideration of up to $65,000 thousand in Subordinate Voting Shares of Green Thumb, dependent upon 1) the successful opening of five retail stores in the Virginia area within the first three years following the signing of the agreement (“Retail Stores Milestone”) and 2) the legal sale of adult-use cannabis in a retail store on or before January 1, 2025 (the “Recreational Sales Milestone”). The Retail Stores Milestone was fully achieved prior to expiration and settled in previous periods.</w:t>
      </w:r>
    </w:p>
    <w:p>
      <w:pPr>
        <w:spacing w:after="0" w:line="183" w:lineRule="exact"/>
        <w:rPr>
          <w:sz w:val="20"/>
          <w:szCs w:val="20"/>
          <w:color w:val="auto"/>
        </w:rPr>
      </w:pPr>
    </w:p>
    <w:p>
      <w:pPr>
        <w:ind w:left="520" w:right="60"/>
        <w:spacing w:after="0" w:line="256" w:lineRule="auto"/>
        <w:rPr>
          <w:sz w:val="20"/>
          <w:szCs w:val="20"/>
          <w:color w:val="auto"/>
        </w:rPr>
      </w:pPr>
      <w:r>
        <w:rPr>
          <w:rFonts w:ascii="Times New Roman" w:cs="Times New Roman" w:eastAsia="Times New Roman" w:hAnsi="Times New Roman"/>
          <w:sz w:val="18"/>
          <w:szCs w:val="18"/>
          <w:color w:val="auto"/>
        </w:rPr>
        <w:t>On February 9, 2024, the Company and the former owners of Dharma agreed to amend the conditions of the Recreational Sales Milestone (the “Amended Agreement”). Under the Amended Agreement, the former owners waived their right to the Recreational Sales Milestone in exchange for the delivery of 1,250,000 Subordinate Voting Shares. On February 15, 2024, the Company recorded a gain of $15,991 thousand, representing the settlement of the Recreational Sales Milestone and distributed the shares to the former owners of Dharma, which had a fair market value of $17,259 thousand, which was based on the value of the shares as traded on the Canadian Securities Exchange on the date of distribution. The gain was recorded within sales general and administrative expenses on the unaudited interim condensed consolidated statement of operations.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(ii)  Repurchase of Subordinate Voting Shares</w:t>
      </w:r>
    </w:p>
    <w:p>
      <w:pPr>
        <w:spacing w:after="0" w:line="229" w:lineRule="exact"/>
        <w:rPr>
          <w:sz w:val="20"/>
          <w:szCs w:val="20"/>
          <w:color w:val="auto"/>
        </w:rPr>
      </w:pPr>
    </w:p>
    <w:p>
      <w:pPr>
        <w:ind w:left="520" w:right="220"/>
        <w:spacing w:after="0" w:line="266" w:lineRule="auto"/>
        <w:rPr>
          <w:sz w:val="20"/>
          <w:szCs w:val="20"/>
          <w:color w:val="auto"/>
        </w:rPr>
      </w:pPr>
      <w:r>
        <w:rPr>
          <w:rFonts w:ascii="Times New Roman" w:cs="Times New Roman" w:eastAsia="Times New Roman" w:hAnsi="Times New Roman"/>
          <w:sz w:val="18"/>
          <w:szCs w:val="18"/>
          <w:color w:val="auto"/>
        </w:rPr>
        <w:t>Following the expiration of the Company's previous share program on September 10, 2024, on September 13, 2024, the Company's Board of Directors authorized a share repurchase program that allows the Company to repurchase up to 10,573,860 of its Subordinate Voting Shares over a 12-month period at an aggregate cost of up to $50,000 thousand. The share repurchase program commenced on September 23, 2024.</w:t>
      </w:r>
    </w:p>
    <w:p>
      <w:pPr>
        <w:spacing w:after="0" w:line="176" w:lineRule="exact"/>
        <w:rPr>
          <w:sz w:val="20"/>
          <w:szCs w:val="20"/>
          <w:color w:val="auto"/>
        </w:rPr>
      </w:pPr>
    </w:p>
    <w:p>
      <w:pPr>
        <w:ind w:left="520" w:right="100"/>
        <w:spacing w:after="0" w:line="282" w:lineRule="auto"/>
        <w:rPr>
          <w:sz w:val="20"/>
          <w:szCs w:val="20"/>
          <w:color w:val="auto"/>
        </w:rPr>
      </w:pPr>
      <w:r>
        <w:rPr>
          <w:rFonts w:ascii="Times New Roman" w:cs="Times New Roman" w:eastAsia="Times New Roman" w:hAnsi="Times New Roman"/>
          <w:sz w:val="18"/>
          <w:szCs w:val="18"/>
          <w:color w:val="auto"/>
        </w:rPr>
        <w:t>Under the Company's original share repurchase program, a total of 6,568,125 Subordinate Voting Shares were repurchased for $73,304 thousand of which 2,725,000 Subordinate Voting Shares for $33,448 thousand were repurchased during the nine months ended September 30, 2024.</w:t>
      </w:r>
    </w:p>
    <w:p>
      <w:pPr>
        <w:spacing w:after="0" w:line="26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tab/>
        <w:t>Stock-Based Compensation</w:t>
      </w:r>
    </w:p>
    <w:p>
      <w:pPr>
        <w:spacing w:after="0" w:line="121" w:lineRule="exact"/>
        <w:rPr>
          <w:sz w:val="20"/>
          <w:szCs w:val="20"/>
          <w:color w:val="auto"/>
        </w:rPr>
      </w:pPr>
    </w:p>
    <w:p>
      <w:pPr>
        <w:ind w:left="520" w:right="140"/>
        <w:spacing w:after="0" w:line="256" w:lineRule="auto"/>
        <w:rPr>
          <w:sz w:val="20"/>
          <w:szCs w:val="20"/>
          <w:color w:val="auto"/>
        </w:rPr>
      </w:pPr>
      <w:r>
        <w:rPr>
          <w:rFonts w:ascii="Times New Roman" w:cs="Times New Roman" w:eastAsia="Times New Roman" w:hAnsi="Times New Roman"/>
          <w:sz w:val="18"/>
          <w:szCs w:val="18"/>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w:t>
      </w:r>
    </w:p>
    <w:p>
      <w:pPr>
        <w:spacing w:after="0" w:line="79" w:lineRule="exact"/>
        <w:rPr>
          <w:sz w:val="20"/>
          <w:szCs w:val="20"/>
          <w:color w:val="auto"/>
        </w:rPr>
      </w:pPr>
    </w:p>
    <w:p>
      <w:pPr>
        <w:jc w:val="both"/>
        <w:ind w:left="520" w:right="40"/>
        <w:spacing w:after="0" w:line="266" w:lineRule="auto"/>
        <w:rPr>
          <w:sz w:val="20"/>
          <w:szCs w:val="20"/>
          <w:color w:val="auto"/>
        </w:rPr>
      </w:pPr>
      <w:r>
        <w:rPr>
          <w:rFonts w:ascii="Times New Roman" w:cs="Times New Roman" w:eastAsia="Times New Roman" w:hAnsi="Times New Roman"/>
          <w:sz w:val="18"/>
          <w:szCs w:val="18"/>
          <w:color w:val="auto"/>
        </w:rPr>
        <w:t>In June 2018, the Company established the Green Thumb Industries Inc. 2018 Stock and Incentive Plan, which was amended by Amendment No. 1, Amendment No. 2 and Amendment No. 3 thereto (as amended, the “Plan”). The maximum number of Restricted Stock Units (“RSUs”) and options outstanding under the Plan at any time shall not exceed 10% of the Company's then issued and outstanding shares on an as-converted basis.</w:t>
      </w:r>
    </w:p>
    <w:p>
      <w:pPr>
        <w:spacing w:after="0" w:line="68" w:lineRule="exact"/>
        <w:rPr>
          <w:sz w:val="20"/>
          <w:szCs w:val="20"/>
          <w:color w:val="auto"/>
        </w:rPr>
      </w:pPr>
    </w:p>
    <w:p>
      <w:pPr>
        <w:ind w:left="520"/>
        <w:spacing w:after="0" w:line="255" w:lineRule="auto"/>
        <w:rPr>
          <w:sz w:val="20"/>
          <w:szCs w:val="20"/>
          <w:color w:val="auto"/>
        </w:rPr>
      </w:pPr>
      <w:r>
        <w:rPr>
          <w:rFonts w:ascii="Times New Roman" w:cs="Times New Roman" w:eastAsia="Times New Roman" w:hAnsi="Times New Roman"/>
          <w:sz w:val="18"/>
          <w:szCs w:val="18"/>
          <w:color w:val="auto"/>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options expected to vest differs from the previous estimate. Any cumulative adjustment prior to vesting is recognized in the current period with no adjustment to prior periods for expense previously recognized. Option and RSU awards generally vest over three years, and options typically have a life of five to ten years. Option grants under the Plan are determined by the Compensation Committee of the Company’s Board of Directors with the option price set at no less than 100% of the fair market value of a share on the date of grant.</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2" w:name="page23"/>
    <w:bookmarkEnd w:id="22"/>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72" w:right="268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315" w:lineRule="exact"/>
        <w:rPr>
          <w:sz w:val="20"/>
          <w:szCs w:val="20"/>
          <w:color w:val="auto"/>
        </w:rPr>
      </w:pPr>
    </w:p>
    <w:p>
      <w:pPr>
        <w:ind w:left="452" w:hanging="452"/>
        <w:spacing w:after="0"/>
        <w:tabs>
          <w:tab w:leader="none" w:pos="45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360" w:lineRule="exact"/>
        <w:rPr>
          <w:rFonts w:ascii="Times New Roman" w:cs="Times New Roman" w:eastAsia="Times New Roman" w:hAnsi="Times New Roman"/>
          <w:sz w:val="18"/>
          <w:szCs w:val="18"/>
          <w:b w:val="1"/>
          <w:bCs w:val="1"/>
          <w:color w:val="auto"/>
        </w:rPr>
      </w:pPr>
    </w:p>
    <w:p>
      <w:pPr>
        <w:ind w:left="372" w:hanging="372"/>
        <w:spacing w:after="0"/>
        <w:tabs>
          <w:tab w:leader="none" w:pos="372"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-288290</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Stock option activity is summarized as follows:</w:t>
      </w:r>
    </w:p>
    <w:p>
      <w:pPr>
        <w:spacing w:after="0" w:line="247" w:lineRule="exact"/>
        <w:rPr>
          <w:sz w:val="20"/>
          <w:szCs w:val="20"/>
          <w:color w:val="auto"/>
        </w:rPr>
      </w:pPr>
    </w:p>
    <w:tbl>
      <w:tblPr>
        <w:tblLayout w:type="fixed"/>
        <w:tblInd w:w="672"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80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178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7"/>
        </w:trPr>
        <w:tc>
          <w:tcPr>
            <w:tcW w:w="4500" w:type="dxa"/>
            <w:vAlign w:val="bottom"/>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 Contractual Life</w:t>
            </w:r>
          </w:p>
        </w:tc>
        <w:tc>
          <w:tcPr>
            <w:tcW w:w="0" w:type="dxa"/>
            <w:vAlign w:val="bottom"/>
          </w:tcPr>
          <w:p>
            <w:pPr>
              <w:spacing w:after="0"/>
              <w:rPr>
                <w:sz w:val="1"/>
                <w:szCs w:val="1"/>
                <w:color w:val="auto"/>
              </w:rPr>
            </w:pPr>
          </w:p>
        </w:tc>
      </w:tr>
      <w:tr>
        <w:trPr>
          <w:trHeight w:val="237"/>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10,071,467</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3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797,289</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(1,331,937)</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7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(1,044,836)</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8,491,983</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as of September 30, 2024</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3,400,436</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The Company used the Black-Scholes option pricing model to estimate the fair value of the options granted during the nine months ended</w:t>
      </w:r>
    </w:p>
    <w:p>
      <w:pPr>
        <w:spacing w:after="0" w:line="27"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September 30, 2024 and the year ended December 31, 2023, using the following ranges of assumptions:</w:t>
      </w:r>
    </w:p>
    <w:p>
      <w:pPr>
        <w:spacing w:after="0" w:line="295" w:lineRule="exact"/>
        <w:rPr>
          <w:sz w:val="20"/>
          <w:szCs w:val="20"/>
          <w:color w:val="auto"/>
        </w:rPr>
      </w:pPr>
    </w:p>
    <w:tbl>
      <w:tblPr>
        <w:tblLayout w:type="fixed"/>
        <w:tblInd w:w="672"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3"/>
        </w:trPr>
        <w:tc>
          <w:tcPr>
            <w:tcW w:w="4500" w:type="dxa"/>
            <w:vAlign w:val="bottom"/>
          </w:tcPr>
          <w:p>
            <w:pPr>
              <w:spacing w:after="0"/>
              <w:rPr>
                <w:sz w:val="18"/>
                <w:szCs w:val="18"/>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7"/>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3.02% - 3.92%</w:t>
            </w:r>
          </w:p>
        </w:tc>
        <w:tc>
          <w:tcPr>
            <w:tcW w:w="2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3.06% - 4.32%</w:t>
            </w:r>
          </w:p>
        </w:tc>
      </w:tr>
      <w:tr>
        <w:trPr>
          <w:trHeight w:val="23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47"/>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62% - 64%</w:t>
            </w:r>
          </w:p>
        </w:tc>
        <w:tc>
          <w:tcPr>
            <w:tcW w:w="2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64%</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option life</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4.46 - 4.5 years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 – 4.5 years</w:t>
            </w:r>
          </w:p>
        </w:tc>
      </w:tr>
    </w:tbl>
    <w:p>
      <w:pPr>
        <w:spacing w:after="0" w:line="233"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As permitted under ASC 718, the Company has made an accounting policy choice to account for forfeitures when they occur.</w:t>
      </w:r>
    </w:p>
    <w:p>
      <w:pPr>
        <w:spacing w:after="0" w:line="200" w:lineRule="exact"/>
        <w:rPr>
          <w:sz w:val="20"/>
          <w:szCs w:val="20"/>
          <w:color w:val="auto"/>
        </w:rPr>
      </w:pPr>
    </w:p>
    <w:p>
      <w:pPr>
        <w:spacing w:after="0" w:line="241" w:lineRule="exact"/>
        <w:rPr>
          <w:sz w:val="20"/>
          <w:szCs w:val="20"/>
          <w:color w:val="auto"/>
        </w:rPr>
      </w:pPr>
    </w:p>
    <w:p>
      <w:pPr>
        <w:ind w:left="51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unvested RSU awards as of September 30, 2024 and December 31, 2023 and the changes during the nine months ended September 30, 2024:</w:t>
      </w:r>
    </w:p>
    <w:p>
      <w:pPr>
        <w:spacing w:after="0" w:line="183" w:lineRule="exact"/>
        <w:rPr>
          <w:sz w:val="20"/>
          <w:szCs w:val="20"/>
          <w:color w:val="auto"/>
        </w:rPr>
      </w:pPr>
    </w:p>
    <w:tbl>
      <w:tblPr>
        <w:tblLayout w:type="fixed"/>
        <w:tblInd w:w="672"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480" w:type="dxa"/>
            <w:vAlign w:val="bottom"/>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20" w:type="dxa"/>
            <w:vAlign w:val="bottom"/>
          </w:tcPr>
          <w:p>
            <w:pPr>
              <w:spacing w:after="0"/>
              <w:rPr>
                <w:sz w:val="13"/>
                <w:szCs w:val="13"/>
                <w:color w:val="auto"/>
              </w:rPr>
            </w:pPr>
          </w:p>
        </w:tc>
        <w:tc>
          <w:tcPr>
            <w:tcW w:w="24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c>
          <w:tcPr>
            <w:tcW w:w="0" w:type="dxa"/>
            <w:vAlign w:val="bottom"/>
          </w:tcPr>
          <w:p>
            <w:pPr>
              <w:spacing w:after="0"/>
              <w:rPr>
                <w:sz w:val="1"/>
                <w:szCs w:val="1"/>
                <w:color w:val="auto"/>
              </w:rPr>
            </w:pPr>
          </w:p>
        </w:tc>
      </w:tr>
      <w:tr>
        <w:trPr>
          <w:trHeight w:val="109"/>
        </w:trPr>
        <w:tc>
          <w:tcPr>
            <w:tcW w:w="47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460" w:type="dxa"/>
            <w:vAlign w:val="bottom"/>
            <w:vMerge w:val="restart"/>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78"/>
        </w:trPr>
        <w:tc>
          <w:tcPr>
            <w:tcW w:w="4720" w:type="dxa"/>
            <w:vAlign w:val="bottom"/>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2023</w:t>
            </w:r>
          </w:p>
        </w:tc>
        <w:tc>
          <w:tcPr>
            <w:tcW w:w="2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3,620,638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3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2,635,868</w:t>
            </w:r>
          </w:p>
        </w:tc>
        <w:tc>
          <w:tcPr>
            <w:tcW w:w="22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47"/>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(789,511)</w:t>
            </w:r>
          </w:p>
        </w:tc>
        <w:tc>
          <w:tcPr>
            <w:tcW w:w="220" w:type="dxa"/>
            <w:vAlign w:val="bottom"/>
            <w:shd w:val="clear" w:color="auto" w:fill="CFF0FC"/>
          </w:tcPr>
          <w:p>
            <w:pPr>
              <w:spacing w:after="0"/>
              <w:rPr>
                <w:sz w:val="21"/>
                <w:szCs w:val="21"/>
                <w:color w:val="auto"/>
              </w:rPr>
            </w:pP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3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(905,176)</w:t>
            </w: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41"/>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at September 30, 2024</w:t>
            </w:r>
          </w:p>
        </w:tc>
        <w:tc>
          <w:tcPr>
            <w:tcW w:w="2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4,561,819</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The stock-based compensation expense for the three and nine months ended September 30, 2024 and 2023 was as follows:</w:t>
      </w:r>
    </w:p>
    <w:p>
      <w:pPr>
        <w:spacing w:after="0" w:line="259" w:lineRule="exact"/>
        <w:rPr>
          <w:sz w:val="20"/>
          <w:szCs w:val="20"/>
          <w:color w:val="auto"/>
        </w:rPr>
      </w:pPr>
    </w:p>
    <w:tbl>
      <w:tblPr>
        <w:tblLayout w:type="fixed"/>
        <w:tblInd w:w="752" w:type="dxa"/>
        <w:tblCellMar>
          <w:top w:w="0" w:type="dxa"/>
          <w:left w:w="0" w:type="dxa"/>
          <w:bottom w:w="0" w:type="dxa"/>
          <w:right w:w="0" w:type="dxa"/>
        </w:tblCellMar>
      </w:tblPr>
      <w:tr>
        <w:trPr>
          <w:trHeight w:val="187"/>
        </w:trPr>
        <w:tc>
          <w:tcPr>
            <w:tcW w:w="3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7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3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12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3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Borders>
              <w:bottom w:val="single" w:sz="8" w:color="auto"/>
            </w:tcBorders>
            <w:gridSpan w:val="3"/>
          </w:tcPr>
          <w:p>
            <w:pPr>
              <w:jc w:val="center"/>
              <w:ind w:left="7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Borders>
              <w:bottom w:val="single" w:sz="8" w:color="auto"/>
            </w:tcBorders>
          </w:tcPr>
          <w:p>
            <w:pPr>
              <w:spacing w:after="0"/>
              <w:rPr>
                <w:sz w:val="20"/>
                <w:szCs w:val="20"/>
                <w:color w:val="auto"/>
              </w:rPr>
            </w:pPr>
          </w:p>
        </w:tc>
      </w:tr>
      <w:tr>
        <w:trPr>
          <w:trHeight w:val="23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expense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12,795</w:t>
            </w:r>
          </w:p>
        </w:tc>
      </w:tr>
      <w:tr>
        <w:trPr>
          <w:trHeight w:val="2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6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8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15,624</w:t>
            </w:r>
          </w:p>
        </w:tc>
        <w:tc>
          <w:tcPr>
            <w:tcW w:w="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8,040</w:t>
            </w:r>
          </w:p>
        </w:tc>
      </w:tr>
      <w:tr>
        <w:trPr>
          <w:trHeight w:val="281"/>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 Based Compensation Expense</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1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23,705</w:t>
            </w:r>
          </w:p>
        </w:tc>
        <w:tc>
          <w:tcPr>
            <w:tcW w:w="1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-24765</wp:posOffset>
            </wp:positionV>
            <wp:extent cx="1200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-8255</wp:posOffset>
            </wp:positionV>
            <wp:extent cx="12001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4834890</wp:posOffset>
            </wp:positionH>
            <wp:positionV relativeFrom="paragraph">
              <wp:posOffset>-24765</wp:posOffset>
            </wp:positionV>
            <wp:extent cx="1117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4834890</wp:posOffset>
            </wp:positionH>
            <wp:positionV relativeFrom="paragraph">
              <wp:posOffset>-8255</wp:posOffset>
            </wp:positionV>
            <wp:extent cx="11176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5752465</wp:posOffset>
            </wp:positionH>
            <wp:positionV relativeFrom="paragraph">
              <wp:posOffset>-24765</wp:posOffset>
            </wp:positionV>
            <wp:extent cx="1111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5752465</wp:posOffset>
            </wp:positionH>
            <wp:positionV relativeFrom="paragraph">
              <wp:posOffset>-8255</wp:posOffset>
            </wp:positionV>
            <wp:extent cx="1111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05" w:lineRule="exact"/>
        <w:rPr>
          <w:sz w:val="20"/>
          <w:szCs w:val="20"/>
          <w:color w:val="auto"/>
        </w:rPr>
      </w:pPr>
    </w:p>
    <w:p>
      <w:pPr>
        <w:ind w:left="512" w:right="700"/>
        <w:spacing w:after="0" w:line="282" w:lineRule="auto"/>
        <w:rPr>
          <w:sz w:val="20"/>
          <w:szCs w:val="20"/>
          <w:color w:val="auto"/>
        </w:rPr>
      </w:pPr>
      <w:r>
        <w:rPr>
          <w:rFonts w:ascii="Times New Roman" w:cs="Times New Roman" w:eastAsia="Times New Roman" w:hAnsi="Times New Roman"/>
          <w:sz w:val="18"/>
          <w:szCs w:val="18"/>
          <w:color w:val="auto"/>
        </w:rPr>
        <w:t>As of September 30, 2024, $54,282 thousand of total unrecognized expense related to stock-based compensation awards is expected to be recognized over a weighted-average period of 2.03 years.</w:t>
      </w:r>
    </w:p>
    <w:p>
      <w:pPr>
        <w:sectPr>
          <w:pgSz w:w="11900" w:h="16838" w:orient="portrait"/>
          <w:cols w:equalWidth="0" w:num="1">
            <w:col w:w="11132"/>
          </w:cols>
          <w:pgMar w:left="328" w:top="765" w:right="439" w:bottom="1440" w:gutter="0" w:footer="0" w:header="0"/>
        </w:sectPr>
      </w:pPr>
    </w:p>
    <w:p>
      <w:pPr>
        <w:spacing w:after="0" w:line="189"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765" w:right="439" w:bottom="1440" w:gutter="0" w:footer="0" w:header="0"/>
          <w:type w:val="continuous"/>
        </w:sectPr>
      </w:pPr>
    </w:p>
    <w:bookmarkStart w:id="23" w:name="page24"/>
    <w:bookmarkEnd w:id="2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8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194" w:lineRule="exact"/>
        <w:rPr>
          <w:sz w:val="20"/>
          <w:szCs w:val="20"/>
          <w:color w:val="auto"/>
        </w:rPr>
      </w:pPr>
    </w:p>
    <w:p>
      <w:pPr>
        <w:ind w:left="540" w:hanging="532"/>
        <w:spacing w:after="0"/>
        <w:tabs>
          <w:tab w:leader="none" w:pos="5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income tax expense and effective tax rates for the three and nine months ended September 30, 2024 and 2023:</w:t>
      </w:r>
    </w:p>
    <w:p>
      <w:pPr>
        <w:sectPr>
          <w:pgSz w:w="11900" w:h="16838" w:orient="portrait"/>
          <w:cols w:equalWidth="0" w:num="1">
            <w:col w:w="11240"/>
          </w:cols>
          <w:pgMar w:left="320" w:top="765" w:right="339" w:bottom="1440" w:gutter="0" w:footer="0" w:header="0"/>
        </w:sectPr>
      </w:pPr>
    </w:p>
    <w:p>
      <w:pPr>
        <w:spacing w:after="0" w:line="236"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16510</wp:posOffset>
            </wp:positionV>
            <wp:extent cx="17399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76" w:lineRule="exact"/>
        <w:rPr>
          <w:sz w:val="20"/>
          <w:szCs w:val="20"/>
          <w:color w:val="auto"/>
        </w:rPr>
      </w:pPr>
    </w:p>
    <w:p>
      <w:pPr>
        <w:ind w:left="5480"/>
        <w:spacing w:after="0"/>
        <w:tabs>
          <w:tab w:leader="none" w:pos="69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16510</wp:posOffset>
            </wp:positionV>
            <wp:extent cx="16459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76" w:lineRule="exact"/>
        <w:rPr>
          <w:sz w:val="20"/>
          <w:szCs w:val="20"/>
          <w:color w:val="auto"/>
        </w:rPr>
      </w:pPr>
    </w:p>
    <w:p>
      <w:pPr>
        <w:ind w:left="26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6" w:lineRule="exact"/>
        <w:rPr>
          <w:sz w:val="20"/>
          <w:szCs w:val="20"/>
          <w:color w:val="auto"/>
        </w:rPr>
      </w:pPr>
    </w:p>
    <w:p>
      <w:pPr>
        <w:sectPr>
          <w:pgSz w:w="11900" w:h="16838" w:orient="portrait"/>
          <w:cols w:equalWidth="0" w:num="2">
            <w:col w:w="7480" w:space="720"/>
            <w:col w:w="3040"/>
          </w:cols>
          <w:pgMar w:left="320" w:top="765" w:right="339" w:bottom="1440" w:gutter="0" w:footer="0" w:header="0"/>
          <w:type w:val="continuous"/>
        </w:sectPr>
      </w:pPr>
    </w:p>
    <w:tbl>
      <w:tblPr>
        <w:tblLayout w:type="fixed"/>
        <w:tblInd w:w="680" w:type="dxa"/>
        <w:tblCellMar>
          <w:top w:w="0" w:type="dxa"/>
          <w:left w:w="0" w:type="dxa"/>
          <w:bottom w:w="0" w:type="dxa"/>
          <w:right w:w="0" w:type="dxa"/>
        </w:tblCellMar>
      </w:tblPr>
      <w:tr>
        <w:trPr>
          <w:trHeight w:val="236"/>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39,703</w:t>
            </w:r>
          </w:p>
        </w:tc>
        <w:tc>
          <w:tcPr>
            <w:tcW w:w="520" w:type="dxa"/>
            <w:vAlign w:val="bottom"/>
            <w:tcBorders>
              <w:top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45,333</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156,017</w:t>
            </w:r>
          </w:p>
        </w:tc>
        <w:tc>
          <w:tcPr>
            <w:tcW w:w="44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127,829</w:t>
            </w:r>
          </w:p>
        </w:tc>
      </w:tr>
      <w:tr>
        <w:trPr>
          <w:trHeight w:val="23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30,922</w:t>
            </w: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34,526</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94,970</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93,927</w:t>
            </w:r>
          </w:p>
        </w:tc>
      </w:tr>
      <w:tr>
        <w:trPr>
          <w:trHeight w:val="247"/>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5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r>
    </w:tbl>
    <w:p>
      <w:pPr>
        <w:spacing w:after="0" w:line="200" w:lineRule="exact"/>
        <w:rPr>
          <w:sz w:val="20"/>
          <w:szCs w:val="20"/>
          <w:color w:val="auto"/>
        </w:rPr>
      </w:pPr>
    </w:p>
    <w:p>
      <w:pPr>
        <w:spacing w:after="0" w:line="2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effective tax rates for the three months ended September 30, 2024 and 2023 were based on the Company’s forecasted annualized effective tax rates and were adjusted for discrete items that occurred within the periods presented.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its cannabis operations, the Company is subject to the limitations of the U.S. Internal Revenue Code of 1986, as amended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and provides for effective tax rates that are well in excess of statutory tax rates.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paid during the nine months ended September 30, 2024 and 2023 were $87,946 thousand and $80,398 thousand, respectively.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4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221" w:lineRule="exact"/>
        <w:rPr>
          <w:sz w:val="20"/>
          <w:szCs w:val="20"/>
          <w:color w:val="auto"/>
        </w:rPr>
      </w:pPr>
    </w:p>
    <w:p>
      <w:pPr>
        <w:ind w:left="540" w:hanging="532"/>
        <w:spacing w:after="0"/>
        <w:tabs>
          <w:tab w:leader="none" w:pos="5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2024 and 2023 other income (expense) was comprised of the following:</w:t>
      </w:r>
    </w:p>
    <w:p>
      <w:pPr>
        <w:spacing w:after="0" w:line="300" w:lineRule="exact"/>
        <w:rPr>
          <w:sz w:val="20"/>
          <w:szCs w:val="20"/>
          <w:color w:val="auto"/>
        </w:rPr>
      </w:pPr>
    </w:p>
    <w:tbl>
      <w:tblPr>
        <w:tblLayout w:type="fixed"/>
        <w:tblInd w:w="680" w:type="dxa"/>
        <w:tblCellMar>
          <w:top w:w="0" w:type="dxa"/>
          <w:left w:w="0" w:type="dxa"/>
          <w:bottom w:w="0" w:type="dxa"/>
          <w:right w:w="0" w:type="dxa"/>
        </w:tblCellMar>
      </w:tblPr>
      <w:tr>
        <w:trPr>
          <w:trHeight w:val="187"/>
        </w:trPr>
        <w:tc>
          <w:tcPr>
            <w:tcW w:w="3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0" w:type="dxa"/>
            <w:vAlign w:val="bottom"/>
            <w:tcBorders>
              <w:bottom w:val="single" w:sz="8" w:color="auto"/>
            </w:tcBorders>
            <w:gridSpan w:val="4"/>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9"/>
        </w:trPr>
        <w:tc>
          <w:tcPr>
            <w:tcW w:w="3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8"/>
                <w:szCs w:val="18"/>
                <w:color w:val="auto"/>
              </w:rPr>
            </w:pPr>
          </w:p>
        </w:tc>
        <w:tc>
          <w:tcPr>
            <w:tcW w:w="11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3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60" w:type="dxa"/>
            <w:vAlign w:val="bottom"/>
            <w:tcBorders>
              <w:bottom w:val="single" w:sz="8" w:color="auto"/>
            </w:tcBorders>
            <w:gridSpan w:val="3"/>
          </w:tcPr>
          <w:p>
            <w:pPr>
              <w:jc w:val="center"/>
              <w:ind w:left="7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Borders>
              <w:bottom w:val="single" w:sz="8" w:color="auto"/>
            </w:tcBorders>
            <w:gridSpan w:val="3"/>
          </w:tcPr>
          <w:p>
            <w:pPr>
              <w:jc w:val="center"/>
              <w:ind w:left="72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Borders>
              <w:bottom w:val="single" w:sz="8" w:color="auto"/>
            </w:tcBorders>
          </w:tcPr>
          <w:p>
            <w:pPr>
              <w:spacing w:after="0"/>
              <w:rPr>
                <w:sz w:val="18"/>
                <w:szCs w:val="18"/>
                <w:color w:val="auto"/>
              </w:rPr>
            </w:pPr>
          </w:p>
        </w:tc>
      </w:tr>
      <w:tr>
        <w:trPr>
          <w:trHeight w:val="223"/>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Fair value adjustments on equity investments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724</w:t>
            </w:r>
          </w:p>
        </w:tc>
        <w:tc>
          <w:tcPr>
            <w:tcW w:w="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w:t>
            </w:r>
          </w:p>
        </w:tc>
      </w:tr>
      <w:tr>
        <w:trPr>
          <w:trHeight w:val="220"/>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adjustments on warrants issued</w:t>
            </w:r>
          </w:p>
        </w:tc>
        <w:tc>
          <w:tcPr>
            <w:tcW w:w="6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(1,329)</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w:t>
            </w:r>
          </w:p>
        </w:tc>
      </w:tr>
      <w:tr>
        <w:trPr>
          <w:trHeight w:val="23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equity method investments</w:t>
            </w:r>
          </w:p>
        </w:tc>
        <w:tc>
          <w:tcPr>
            <w:tcW w:w="6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(202)</w:t>
            </w: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w:t>
            </w: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68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176</w:t>
            </w:r>
          </w:p>
        </w:tc>
        <w:tc>
          <w:tcPr>
            <w:tcW w:w="2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r>
      <w:tr>
        <w:trPr>
          <w:trHeight w:val="267"/>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Income (Expense)</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(290)</w:t>
            </w:r>
          </w:p>
        </w:tc>
        <w:tc>
          <w:tcPr>
            <w:tcW w:w="2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bottom w:val="single" w:sz="8" w:color="auto"/>
            </w:tcBorders>
            <w:shd w:val="clear" w:color="auto" w:fill="CFF0FC"/>
          </w:tcPr>
          <w:p>
            <w:pPr>
              <w:spacing w:after="0"/>
              <w:rPr>
                <w:sz w:val="23"/>
                <w:szCs w:val="23"/>
                <w:color w:val="auto"/>
              </w:rPr>
            </w:pPr>
          </w:p>
        </w:tc>
        <w:tc>
          <w:tcPr>
            <w:tcW w:w="9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(631)</w:t>
            </w:r>
          </w:p>
        </w:tc>
        <w:tc>
          <w:tcPr>
            <w:tcW w:w="2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411</w:t>
            </w:r>
          </w:p>
        </w:tc>
        <w:tc>
          <w:tcPr>
            <w:tcW w:w="2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bottom w:val="single" w:sz="8" w:color="auto"/>
            </w:tcBorders>
            <w:shd w:val="clear" w:color="auto" w:fill="CFF0FC"/>
          </w:tcPr>
          <w:p>
            <w:pPr>
              <w:spacing w:after="0"/>
              <w:rPr>
                <w:sz w:val="23"/>
                <w:szCs w:val="2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-24765</wp:posOffset>
            </wp:positionV>
            <wp:extent cx="14605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14605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17145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1714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17145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1714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1" w:lineRule="exact"/>
        <w:rPr>
          <w:sz w:val="20"/>
          <w:szCs w:val="20"/>
          <w:color w:val="auto"/>
        </w:rPr>
      </w:pPr>
    </w:p>
    <w:p>
      <w:pPr>
        <w:ind w:left="540" w:hanging="532"/>
        <w:spacing w:after="0"/>
        <w:tabs>
          <w:tab w:leader="none" w:pos="5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unaudited interim condensed consolidated statements of operations.</w:t>
      </w:r>
    </w:p>
    <w:p>
      <w:pPr>
        <w:spacing w:after="0" w:line="71" w:lineRule="exact"/>
        <w:rPr>
          <w:sz w:val="20"/>
          <w:szCs w:val="20"/>
          <w:color w:val="auto"/>
        </w:rPr>
      </w:pPr>
    </w:p>
    <w:p>
      <w:pPr>
        <w:ind w:left="400" w:hanging="392"/>
        <w:spacing w:after="0"/>
        <w:tabs>
          <w:tab w:leader="none" w:pos="4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left="520" w:right="60"/>
        <w:spacing w:after="0" w:line="261" w:lineRule="auto"/>
        <w:rPr>
          <w:sz w:val="20"/>
          <w:szCs w:val="20"/>
          <w:color w:val="auto"/>
        </w:rPr>
      </w:pPr>
      <w:r>
        <w:rPr>
          <w:rFonts w:ascii="Times New Roman" w:cs="Times New Roman" w:eastAsia="Times New Roman" w:hAnsi="Times New Roman"/>
          <w:sz w:val="18"/>
          <w:szCs w:val="18"/>
          <w:color w:val="auto"/>
        </w:rPr>
        <w:t>The Company’s operations are subject to a variety of local and state regulations. Failure to comply with one or more of those regulations could result in fines, sanctions, restrictions on its operations, or losses of permits that could result in the Company ceasing operations in that specific state or local jurisdiction. The Company may be subject to regulatory fines, penalties, or restrictions in the future as cannabis and other regulations continue to evolve and are subject to differing interpretations.</w:t>
      </w:r>
    </w:p>
    <w:p>
      <w:pPr>
        <w:spacing w:after="0" w:line="6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Claims and Litigation</w:t>
      </w:r>
    </w:p>
    <w:p>
      <w:pPr>
        <w:spacing w:after="0" w:line="121" w:lineRule="exact"/>
        <w:rPr>
          <w:sz w:val="20"/>
          <w:szCs w:val="20"/>
          <w:color w:val="auto"/>
        </w:rPr>
      </w:pPr>
    </w:p>
    <w:p>
      <w:pPr>
        <w:ind w:left="520"/>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arising out of operations in the normal course of business. During the quarter ending September 30, 2024, the Company received Findings of Fact and Conclusions of Law regarding an October 30, 2019 complaint filed against Green Thumb (“Defendant”) alleging Defendant breached a commercial property lease with ineffective termination. The court ruled in favor of plaintiff landlord in the amount of $7,307 thousand, representing unpaid rent. In addition, the court found Defendant liable for interest and attorney fees, which have yet to be determined. As of September 30, 2024, the Company accrued the amount of probable loss that can reasonably be estimated within accrued liabilities on the unaudited interim condensed consolidated balance sheets. No final Order of Judgment has been entered in the case and the Company has reserved all rights and intends to contest the findings, including an appeal if necessary.</w:t>
      </w:r>
    </w:p>
    <w:p>
      <w:pPr>
        <w:spacing w:after="0" w:line="81" w:lineRule="exact"/>
        <w:rPr>
          <w:sz w:val="20"/>
          <w:szCs w:val="20"/>
          <w:color w:val="auto"/>
        </w:rPr>
      </w:pPr>
    </w:p>
    <w:p>
      <w:pPr>
        <w:jc w:val="both"/>
        <w:ind w:left="520" w:right="180"/>
        <w:spacing w:after="0" w:line="266" w:lineRule="auto"/>
        <w:rPr>
          <w:sz w:val="20"/>
          <w:szCs w:val="20"/>
          <w:color w:val="auto"/>
        </w:rPr>
      </w:pPr>
      <w:r>
        <w:rPr>
          <w:rFonts w:ascii="Times New Roman" w:cs="Times New Roman" w:eastAsia="Times New Roman" w:hAnsi="Times New Roman"/>
          <w:sz w:val="18"/>
          <w:szCs w:val="18"/>
          <w:color w:val="auto"/>
        </w:rPr>
        <w:t>Other than the matter discussed above, as of September 30, 2024 and December 31, 2023,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6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tab/>
        <w:t>Construction Commitments</w:t>
      </w:r>
    </w:p>
    <w:p>
      <w:pPr>
        <w:spacing w:after="0" w:line="121" w:lineRule="exact"/>
        <w:rPr>
          <w:sz w:val="20"/>
          <w:szCs w:val="20"/>
          <w:color w:val="auto"/>
        </w:rPr>
      </w:pPr>
    </w:p>
    <w:p>
      <w:pPr>
        <w:ind w:left="520" w:right="320"/>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held approximately $19,800 thousand of open construction commitments to contractors on work being performed.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0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315" w:lineRule="exact"/>
        <w:rPr>
          <w:sz w:val="20"/>
          <w:szCs w:val="20"/>
          <w:color w:val="auto"/>
        </w:rPr>
      </w:pPr>
    </w:p>
    <w:p>
      <w:pPr>
        <w:ind w:left="540" w:hanging="532"/>
        <w:spacing w:after="0"/>
        <w:tabs>
          <w:tab w:leader="none" w:pos="5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87"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assets or liabilities;</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that are observable for the asset or liability, either directly or indirectly; and</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for the asset or liability that are not based on observable market data.</w:t>
      </w:r>
    </w:p>
    <w:p>
      <w:pPr>
        <w:spacing w:after="0" w:line="115" w:lineRule="exact"/>
        <w:rPr>
          <w:sz w:val="20"/>
          <w:szCs w:val="20"/>
          <w:color w:val="auto"/>
        </w:rPr>
      </w:pPr>
    </w:p>
    <w:p>
      <w:pPr>
        <w:ind w:left="400" w:hanging="392"/>
        <w:spacing w:after="0"/>
        <w:tabs>
          <w:tab w:leader="none" w:pos="4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left="520" w:right="62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investments, accounts payable and accrued liabilities, notes payable, warrant liability, and contingent consideration payable.</w:t>
      </w:r>
    </w:p>
    <w:p>
      <w:pPr>
        <w:spacing w:after="0" w:line="54" w:lineRule="exact"/>
        <w:rPr>
          <w:sz w:val="20"/>
          <w:szCs w:val="20"/>
          <w:color w:val="auto"/>
        </w:rPr>
      </w:pPr>
    </w:p>
    <w:p>
      <w:pPr>
        <w:ind w:left="520" w:right="20"/>
        <w:spacing w:after="0" w:line="261" w:lineRule="auto"/>
        <w:rPr>
          <w:sz w:val="20"/>
          <w:szCs w:val="20"/>
          <w:color w:val="auto"/>
        </w:rPr>
      </w:pPr>
      <w:r>
        <w:rPr>
          <w:rFonts w:ascii="Times New Roman" w:cs="Times New Roman" w:eastAsia="Times New Roman" w:hAnsi="Times New Roman"/>
          <w:sz w:val="18"/>
          <w:szCs w:val="18"/>
          <w:color w:val="auto"/>
        </w:rPr>
        <w:t>It was not practicable to estimate the fair value of the Company's long-term notes payable, which consist of charitable contributions, April 30, 2021 Notes, the Credit Facility and mortgage notes, since there were no quoted market prices or active trading markets. The carrying amount of notes payable at September 30, 2024 and December 31, 2023 was $255,579 thousand and $308,523 thousand, respectively, which includes $9,397 thousand and $2,996 thousand, respectively, of short-term debt due within one year.</w:t>
      </w:r>
    </w:p>
    <w:p>
      <w:pPr>
        <w:spacing w:after="0" w:line="72" w:lineRule="exact"/>
        <w:rPr>
          <w:sz w:val="20"/>
          <w:szCs w:val="20"/>
          <w:color w:val="auto"/>
        </w:rPr>
      </w:pPr>
    </w:p>
    <w:p>
      <w:pPr>
        <w:ind w:left="520" w:right="580"/>
        <w:spacing w:after="0" w:line="282" w:lineRule="auto"/>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 The fair values of the Company’s financial instruments associated with each of the three levels of the hierarchy are:</w:t>
      </w:r>
    </w:p>
    <w:p>
      <w:pPr>
        <w:spacing w:after="0" w:line="178" w:lineRule="exact"/>
        <w:rPr>
          <w:sz w:val="20"/>
          <w:szCs w:val="20"/>
          <w:color w:val="auto"/>
        </w:rPr>
      </w:pPr>
    </w:p>
    <w:tbl>
      <w:tblPr>
        <w:tblLayout w:type="fixed"/>
        <w:tblInd w:w="620" w:type="dxa"/>
        <w:tblCellMar>
          <w:top w:w="0" w:type="dxa"/>
          <w:left w:w="0" w:type="dxa"/>
          <w:bottom w:w="0" w:type="dxa"/>
          <w:right w:w="0" w:type="dxa"/>
        </w:tblCellMar>
      </w:tblPr>
      <w:tr>
        <w:trPr>
          <w:trHeight w:val="225"/>
        </w:trPr>
        <w:tc>
          <w:tcPr>
            <w:tcW w:w="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gridSpan w:val="2"/>
          </w:tcPr>
          <w:p>
            <w:pPr>
              <w:spacing w:after="0"/>
              <w:rPr>
                <w:sz w:val="19"/>
                <w:szCs w:val="19"/>
                <w:color w:val="auto"/>
              </w:rPr>
            </w:pPr>
          </w:p>
        </w:tc>
        <w:tc>
          <w:tcPr>
            <w:tcW w:w="320" w:type="dxa"/>
            <w:vAlign w:val="bottom"/>
            <w:tcBorders>
              <w:bottom w:val="single" w:sz="8" w:color="auto"/>
            </w:tcBorders>
            <w:gridSpan w:val="2"/>
          </w:tcPr>
          <w:p>
            <w:pPr>
              <w:spacing w:after="0"/>
              <w:rPr>
                <w:sz w:val="19"/>
                <w:szCs w:val="19"/>
                <w:color w:val="auto"/>
              </w:rPr>
            </w:pPr>
          </w:p>
        </w:tc>
        <w:tc>
          <w:tcPr>
            <w:tcW w:w="9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3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173,641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9"/>
                <w:szCs w:val="19"/>
                <w:color w:val="auto"/>
              </w:rPr>
            </w:pPr>
          </w:p>
        </w:tc>
        <w:tc>
          <w:tcPr>
            <w:tcW w:w="1760" w:type="dxa"/>
            <w:vAlign w:val="bottom"/>
            <w:gridSpan w:val="5"/>
            <w:shd w:val="clear" w:color="auto" w:fill="CFF0FC"/>
          </w:tcPr>
          <w:p>
            <w:pPr>
              <w:ind w:left="104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173,641</w:t>
            </w:r>
          </w:p>
        </w:tc>
      </w:tr>
      <w:tr>
        <w:trPr>
          <w:trHeight w:val="220"/>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0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24,188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60" w:type="dxa"/>
            <w:vAlign w:val="bottom"/>
            <w:gridSpan w:val="5"/>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37,234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61,422</w:t>
            </w:r>
          </w:p>
        </w:tc>
      </w:tr>
      <w:tr>
        <w:trPr>
          <w:trHeight w:val="233"/>
        </w:trPr>
        <w:tc>
          <w:tcPr>
            <w:tcW w:w="32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10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ind w:left="104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CFF0FC"/>
            </w:tcBorders>
            <w:gridSpan w:val="2"/>
            <w:shd w:val="clear" w:color="auto" w:fill="CFF0FC"/>
          </w:tcPr>
          <w:p>
            <w:pPr>
              <w:spacing w:after="0"/>
              <w:rPr>
                <w:sz w:val="20"/>
                <w:szCs w:val="20"/>
                <w:color w:val="auto"/>
              </w:rPr>
            </w:pPr>
          </w:p>
        </w:tc>
        <w:tc>
          <w:tcPr>
            <w:tcW w:w="320" w:type="dxa"/>
            <w:vAlign w:val="bottom"/>
            <w:tcBorders>
              <w:bottom w:val="single" w:sz="8" w:color="auto"/>
            </w:tcBorders>
            <w:gridSpan w:val="2"/>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(728)</w:t>
            </w:r>
          </w:p>
        </w:tc>
      </w:tr>
      <w:tr>
        <w:trPr>
          <w:trHeight w:val="227"/>
        </w:trPr>
        <w:tc>
          <w:tcPr>
            <w:tcW w:w="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197,829</w:t>
            </w:r>
          </w:p>
        </w:tc>
        <w:tc>
          <w:tcPr>
            <w:tcW w:w="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9"/>
                <w:szCs w:val="19"/>
                <w:color w:val="auto"/>
              </w:rPr>
            </w:pPr>
          </w:p>
        </w:tc>
        <w:tc>
          <w:tcPr>
            <w:tcW w:w="1760" w:type="dxa"/>
            <w:vAlign w:val="bottom"/>
            <w:gridSpan w:val="5"/>
          </w:tcPr>
          <w:p>
            <w:pPr>
              <w:ind w:left="10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36,506</w:t>
            </w:r>
          </w:p>
        </w:tc>
        <w:tc>
          <w:tcPr>
            <w:tcW w:w="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234,335</w:t>
            </w:r>
          </w:p>
        </w:tc>
      </w:tr>
      <w:tr>
        <w:trPr>
          <w:trHeight w:val="20"/>
        </w:trPr>
        <w:tc>
          <w:tcPr>
            <w:tcW w:w="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449"/>
        </w:trPr>
        <w:tc>
          <w:tcPr>
            <w:tcW w:w="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161,634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9"/>
                <w:szCs w:val="19"/>
                <w:color w:val="auto"/>
              </w:rPr>
            </w:pPr>
          </w:p>
        </w:tc>
        <w:tc>
          <w:tcPr>
            <w:tcW w:w="1760" w:type="dxa"/>
            <w:vAlign w:val="bottom"/>
            <w:gridSpan w:val="5"/>
            <w:shd w:val="clear" w:color="auto" w:fill="CFF0FC"/>
          </w:tcPr>
          <w:p>
            <w:pPr>
              <w:ind w:left="106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161,634</w:t>
            </w:r>
          </w:p>
        </w:tc>
        <w:tc>
          <w:tcPr>
            <w:tcW w:w="60" w:type="dxa"/>
            <w:vAlign w:val="bottom"/>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08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24,215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60" w:type="dxa"/>
            <w:vAlign w:val="bottom"/>
            <w:gridSpan w:val="5"/>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40,146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64,361</w:t>
            </w:r>
          </w:p>
        </w:tc>
        <w:tc>
          <w:tcPr>
            <w:tcW w:w="60" w:type="dxa"/>
            <w:vAlign w:val="bottom"/>
          </w:tcPr>
          <w:p>
            <w:pPr>
              <w:spacing w:after="0"/>
              <w:rPr>
                <w:sz w:val="19"/>
                <w:szCs w:val="19"/>
                <w:color w:val="auto"/>
              </w:rPr>
            </w:pPr>
          </w:p>
        </w:tc>
      </w:tr>
      <w:tr>
        <w:trPr>
          <w:trHeight w:val="239"/>
        </w:trPr>
        <w:tc>
          <w:tcPr>
            <w:tcW w:w="60" w:type="dxa"/>
            <w:vAlign w:val="bottom"/>
          </w:tcPr>
          <w:p>
            <w:pPr>
              <w:spacing w:after="0"/>
              <w:rPr>
                <w:sz w:val="20"/>
                <w:szCs w:val="20"/>
                <w:color w:val="auto"/>
              </w:rPr>
            </w:pPr>
          </w:p>
        </w:tc>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Contingent Consideration Payable</w:t>
            </w:r>
          </w:p>
        </w:tc>
        <w:tc>
          <w:tcPr>
            <w:tcW w:w="10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760" w:type="dxa"/>
            <w:vAlign w:val="bottom"/>
            <w:gridSpan w:val="5"/>
            <w:shd w:val="clear" w:color="auto" w:fill="CFF0FC"/>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(33,250)</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(33,250)</w:t>
            </w:r>
          </w:p>
        </w:tc>
        <w:tc>
          <w:tcPr>
            <w:tcW w:w="60" w:type="dxa"/>
            <w:vAlign w:val="bottom"/>
          </w:tcPr>
          <w:p>
            <w:pPr>
              <w:spacing w:after="0"/>
              <w:rPr>
                <w:sz w:val="20"/>
                <w:szCs w:val="20"/>
                <w:color w:val="auto"/>
              </w:rPr>
            </w:pPr>
          </w:p>
        </w:tc>
      </w:tr>
      <w:tr>
        <w:trPr>
          <w:trHeight w:val="243"/>
        </w:trPr>
        <w:tc>
          <w:tcPr>
            <w:tcW w:w="6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gridSpan w:val="4"/>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(3,117)</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60" w:type="dxa"/>
            <w:vAlign w:val="bottom"/>
          </w:tcPr>
          <w:p>
            <w:pPr>
              <w:spacing w:after="0"/>
              <w:rPr>
                <w:sz w:val="21"/>
                <w:szCs w:val="21"/>
                <w:color w:val="auto"/>
              </w:rPr>
            </w:pPr>
          </w:p>
        </w:tc>
      </w:tr>
      <w:tr>
        <w:trPr>
          <w:trHeight w:val="260"/>
        </w:trPr>
        <w:tc>
          <w:tcPr>
            <w:tcW w:w="60" w:type="dxa"/>
            <w:vAlign w:val="bottom"/>
          </w:tcPr>
          <w:p>
            <w:pPr>
              <w:spacing w:after="0"/>
              <w:rPr>
                <w:sz w:val="22"/>
                <w:szCs w:val="22"/>
                <w:color w:val="auto"/>
              </w:rPr>
            </w:pPr>
          </w:p>
        </w:tc>
        <w:tc>
          <w:tcPr>
            <w:tcW w:w="3140" w:type="dxa"/>
            <w:vAlign w:val="bottom"/>
            <w:tcBorders>
              <w:top w:val="single" w:sz="8" w:color="CFF0FC"/>
              <w:bottom w:val="single" w:sz="8" w:color="CFF0FC"/>
            </w:tcBorders>
            <w:shd w:val="clear" w:color="auto" w:fill="CFF0FC"/>
          </w:tcPr>
          <w:p>
            <w:pPr>
              <w:spacing w:after="0"/>
              <w:rPr>
                <w:sz w:val="22"/>
                <w:szCs w:val="22"/>
                <w:color w:val="auto"/>
              </w:rPr>
            </w:pPr>
          </w:p>
        </w:tc>
        <w:tc>
          <w:tcPr>
            <w:tcW w:w="10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top w:val="single" w:sz="8" w:color="CFF0FC"/>
              <w:bottom w:val="single" w:sz="8" w:color="CFF0FC"/>
            </w:tcBorders>
            <w:shd w:val="clear" w:color="auto" w:fill="CFF0FC"/>
          </w:tcPr>
          <w:p>
            <w:pPr>
              <w:spacing w:after="0"/>
              <w:rPr>
                <w:sz w:val="22"/>
                <w:szCs w:val="22"/>
                <w:color w:val="auto"/>
              </w:rPr>
            </w:pPr>
          </w:p>
        </w:tc>
        <w:tc>
          <w:tcPr>
            <w:tcW w:w="1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185,849</w:t>
            </w:r>
          </w:p>
        </w:tc>
        <w:tc>
          <w:tcPr>
            <w:tcW w:w="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top w:val="single" w:sz="8" w:color="CFF0FC"/>
              <w:bottom w:val="single" w:sz="8" w:color="CFF0FC"/>
            </w:tcBorders>
            <w:shd w:val="clear" w:color="auto" w:fill="CFF0FC"/>
          </w:tcPr>
          <w:p>
            <w:pPr>
              <w:spacing w:after="0"/>
              <w:rPr>
                <w:sz w:val="22"/>
                <w:szCs w:val="22"/>
                <w:color w:val="auto"/>
              </w:rPr>
            </w:pPr>
          </w:p>
        </w:tc>
        <w:tc>
          <w:tcPr>
            <w:tcW w:w="1240" w:type="dxa"/>
            <w:vAlign w:val="bottom"/>
            <w:tcBorders>
              <w:top w:val="single" w:sz="8" w:color="auto"/>
              <w:bottom w:val="single" w:sz="8" w:color="auto"/>
            </w:tcBorders>
            <w:gridSpan w:val="2"/>
            <w:shd w:val="clear" w:color="auto" w:fill="CFF0FC"/>
          </w:tcPr>
          <w:p>
            <w:pPr>
              <w:ind w:left="10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top w:val="single" w:sz="8" w:color="CFF0FC"/>
              <w:bottom w:val="single" w:sz="8" w:color="auto"/>
            </w:tcBorders>
            <w:shd w:val="clear" w:color="auto" w:fill="CFF0FC"/>
          </w:tcPr>
          <w:p>
            <w:pPr>
              <w:spacing w:after="0"/>
              <w:rPr>
                <w:sz w:val="22"/>
                <w:szCs w:val="22"/>
                <w:color w:val="auto"/>
              </w:rPr>
            </w:pPr>
          </w:p>
        </w:tc>
        <w:tc>
          <w:tcPr>
            <w:tcW w:w="920" w:type="dxa"/>
            <w:vAlign w:val="bottom"/>
            <w:tcBorders>
              <w:top w:val="single" w:sz="8" w:color="CFF0FC"/>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3,779</w:t>
            </w:r>
          </w:p>
        </w:tc>
        <w:tc>
          <w:tcPr>
            <w:tcW w:w="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top w:val="single" w:sz="8" w:color="CFF0FC"/>
              <w:bottom w:val="single" w:sz="8" w:color="auto"/>
            </w:tcBorders>
            <w:shd w:val="clear" w:color="auto" w:fill="CFF0FC"/>
          </w:tcPr>
          <w:p>
            <w:pPr>
              <w:spacing w:after="0"/>
              <w:rPr>
                <w:sz w:val="22"/>
                <w:szCs w:val="22"/>
                <w:color w:val="auto"/>
              </w:rPr>
            </w:pPr>
          </w:p>
        </w:tc>
        <w:tc>
          <w:tcPr>
            <w:tcW w:w="12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189,628</w:t>
            </w: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-1567815</wp:posOffset>
            </wp:positionV>
            <wp:extent cx="137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-1567815</wp:posOffset>
            </wp:positionV>
            <wp:extent cx="137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-1567815</wp:posOffset>
            </wp:positionV>
            <wp:extent cx="16319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-25400</wp:posOffset>
            </wp:positionV>
            <wp:extent cx="14541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14541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-179705</wp:posOffset>
            </wp:positionV>
            <wp:extent cx="1454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-25400</wp:posOffset>
            </wp:positionV>
            <wp:extent cx="13716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-8255</wp:posOffset>
            </wp:positionV>
            <wp:extent cx="13716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-179705</wp:posOffset>
            </wp:positionV>
            <wp:extent cx="137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-25400</wp:posOffset>
            </wp:positionV>
            <wp:extent cx="13716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1371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2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315" w:lineRule="exact"/>
        <w:rPr>
          <w:sz w:val="20"/>
          <w:szCs w:val="20"/>
          <w:color w:val="auto"/>
        </w:rPr>
      </w:pPr>
    </w:p>
    <w:p>
      <w:pPr>
        <w:ind w:left="540" w:hanging="532"/>
        <w:spacing w:after="0"/>
        <w:tabs>
          <w:tab w:leader="none" w:pos="5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CODM does not review total assets or net income (loss) by segments; therefore, such information is not presented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presents revenues by type for the three and nine months ended September 30, 2024 and 2023:</w:t>
      </w:r>
    </w:p>
    <w:p>
      <w:pPr>
        <w:spacing w:after="0" w:line="200" w:lineRule="exact"/>
        <w:rPr>
          <w:sz w:val="20"/>
          <w:szCs w:val="20"/>
          <w:color w:val="auto"/>
        </w:rPr>
      </w:pPr>
    </w:p>
    <w:p>
      <w:pPr>
        <w:spacing w:after="0" w:line="251"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20" w:type="dxa"/>
            <w:vAlign w:val="bottom"/>
          </w:tcPr>
          <w:p>
            <w:pPr>
              <w:spacing w:after="0"/>
              <w:rPr>
                <w:sz w:val="18"/>
                <w:szCs w:val="18"/>
                <w:color w:val="auto"/>
              </w:rPr>
            </w:pPr>
          </w:p>
        </w:tc>
        <w:tc>
          <w:tcPr>
            <w:tcW w:w="258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5"/>
        </w:trPr>
        <w:tc>
          <w:tcPr>
            <w:tcW w:w="3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180" w:type="dxa"/>
            <w:vAlign w:val="bottom"/>
            <w:tcBorders>
              <w:bottom w:val="single" w:sz="8" w:color="auto"/>
            </w:tcBorders>
          </w:tcPr>
          <w:p>
            <w:pPr>
              <w:spacing w:after="0"/>
              <w:rPr>
                <w:sz w:val="21"/>
                <w:szCs w:val="21"/>
                <w:color w:val="auto"/>
              </w:rPr>
            </w:pPr>
          </w:p>
        </w:tc>
      </w:tr>
      <w:tr>
        <w:trPr>
          <w:trHeight w:val="241"/>
        </w:trPr>
        <w:tc>
          <w:tcPr>
            <w:tcW w:w="3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3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78"/>
              </w:rPr>
              <w:t>thousands)</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(in</w:t>
            </w:r>
          </w:p>
        </w:tc>
        <w:tc>
          <w:tcPr>
            <w:tcW w:w="1400" w:type="dxa"/>
            <w:vAlign w:val="bottom"/>
            <w:tcBorders>
              <w:bottom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73"/>
              </w:rPr>
              <w:t>thousands)</w:t>
            </w:r>
          </w:p>
        </w:tc>
      </w:tr>
      <w:tr>
        <w:trPr>
          <w:trHeight w:val="23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tc>
        <w:tc>
          <w:tcPr>
            <w:tcW w:w="7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r>
      <w:tr>
        <w:trPr>
          <w:trHeight w:val="23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206,124</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205,441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614,558</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582,363</w:t>
            </w:r>
          </w:p>
        </w:tc>
      </w:tr>
      <w:tr>
        <w:trPr>
          <w:trHeight w:val="247"/>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Packaged Goods</w:t>
            </w:r>
          </w:p>
        </w:tc>
        <w:tc>
          <w:tcPr>
            <w:tcW w:w="7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165,500</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150,425</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471,735</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412,096</w:t>
            </w:r>
          </w:p>
        </w:tc>
      </w:tr>
      <w:tr>
        <w:trPr>
          <w:trHeight w:val="23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Eliminations</w:t>
            </w:r>
          </w:p>
        </w:tc>
        <w:tc>
          <w:tcPr>
            <w:tcW w:w="74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(84,759)</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(80,468)</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(243,475)</w:t>
            </w: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(218,137)</w:t>
            </w:r>
          </w:p>
        </w:tc>
      </w:tr>
      <w:tr>
        <w:trPr>
          <w:trHeight w:val="281"/>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Revenues, Net of Discounts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286,865</w:t>
            </w:r>
          </w:p>
        </w:tc>
        <w:tc>
          <w:tcPr>
            <w:tcW w:w="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FF0FC"/>
          </w:tcPr>
          <w:p>
            <w:pPr>
              <w:spacing w:after="0"/>
              <w:rPr>
                <w:sz w:val="24"/>
                <w:szCs w:val="24"/>
                <w:color w:val="auto"/>
              </w:rPr>
            </w:pPr>
          </w:p>
        </w:tc>
        <w:tc>
          <w:tcPr>
            <w:tcW w:w="9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275,398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842,818</w:t>
            </w:r>
          </w:p>
        </w:tc>
        <w:tc>
          <w:tcPr>
            <w:tcW w:w="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776,322</w:t>
            </w:r>
          </w:p>
        </w:tc>
      </w:tr>
      <w:tr>
        <w:trPr>
          <w:trHeight w:val="220"/>
        </w:trPr>
        <w:tc>
          <w:tcPr>
            <w:tcW w:w="3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tc>
        <w:tc>
          <w:tcPr>
            <w:tcW w:w="740" w:type="dxa"/>
            <w:vAlign w:val="bottom"/>
            <w:tcBorders>
              <w:top w:val="single" w:sz="8" w:color="CFF0FC"/>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4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10,657</w:t>
            </w:r>
          </w:p>
        </w:tc>
        <w:tc>
          <w:tcPr>
            <w:tcW w:w="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9,598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31,339</w:t>
            </w:r>
          </w:p>
        </w:tc>
        <w:tc>
          <w:tcPr>
            <w:tcW w:w="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27,539</w:t>
            </w:r>
          </w:p>
        </w:tc>
      </w:tr>
      <w:tr>
        <w:trPr>
          <w:trHeight w:val="23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Consumer Packaged Goods</w:t>
            </w:r>
          </w:p>
        </w:tc>
        <w:tc>
          <w:tcPr>
            <w:tcW w:w="7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17,835</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16,030</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45,824</w:t>
            </w:r>
          </w:p>
        </w:tc>
      </w:tr>
      <w:tr>
        <w:trPr>
          <w:trHeight w:val="243"/>
        </w:trPr>
        <w:tc>
          <w:tcPr>
            <w:tcW w:w="3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Eliminations</w:t>
            </w:r>
          </w:p>
        </w:tc>
        <w:tc>
          <w:tcPr>
            <w:tcW w:w="7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Depreciation and Amortization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28,492</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25,628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84,252</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73,363</w:t>
            </w:r>
          </w:p>
        </w:tc>
      </w:tr>
      <w:tr>
        <w:trPr>
          <w:trHeight w:val="20"/>
        </w:trPr>
        <w:tc>
          <w:tcPr>
            <w:tcW w:w="3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Income Taxes</w:t>
            </w:r>
          </w:p>
        </w:tc>
        <w:tc>
          <w:tcPr>
            <w:tcW w:w="7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3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15,447</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18,551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49,416</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50,890</w:t>
            </w:r>
          </w:p>
        </w:tc>
      </w:tr>
      <w:tr>
        <w:trPr>
          <w:trHeight w:val="247"/>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Packaged Goods</w:t>
            </w:r>
          </w:p>
        </w:tc>
        <w:tc>
          <w:tcPr>
            <w:tcW w:w="7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15,475</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15,975</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45,554</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43,037</w:t>
            </w:r>
          </w:p>
        </w:tc>
      </w:tr>
      <w:tr>
        <w:trPr>
          <w:trHeight w:val="23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Eliminations</w:t>
            </w:r>
          </w:p>
        </w:tc>
        <w:tc>
          <w:tcPr>
            <w:tcW w:w="74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3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Income Taxes</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30,922</w:t>
            </w:r>
          </w:p>
        </w:tc>
        <w:tc>
          <w:tcPr>
            <w:tcW w:w="2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34,526</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94,970</w:t>
            </w:r>
          </w:p>
        </w:tc>
        <w:tc>
          <w:tcPr>
            <w:tcW w:w="20" w:type="dxa"/>
            <w:vAlign w:val="bottom"/>
            <w:tcBorders>
              <w:bottom w:val="single" w:sz="8" w:color="auto"/>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93,927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-1636395</wp:posOffset>
            </wp:positionV>
            <wp:extent cx="1625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-1619250</wp:posOffset>
            </wp:positionV>
            <wp:extent cx="1625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-1636395</wp:posOffset>
            </wp:positionV>
            <wp:extent cx="1371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-1619250</wp:posOffset>
            </wp:positionV>
            <wp:extent cx="137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-1636395</wp:posOffset>
            </wp:positionV>
            <wp:extent cx="1371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-1619250</wp:posOffset>
            </wp:positionV>
            <wp:extent cx="1371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-993775</wp:posOffset>
            </wp:positionV>
            <wp:extent cx="1625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-993775</wp:posOffset>
            </wp:positionV>
            <wp:extent cx="1371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-993775</wp:posOffset>
            </wp:positionV>
            <wp:extent cx="13716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-24765</wp:posOffset>
            </wp:positionV>
            <wp:extent cx="16256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1625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1371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137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1371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137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Goodwill assigned to the Retail segment as of September 30, 2024 and December 31, 2023 was $273,802 thousand in each period. Intangible assets, net assigned to the Retail segment as of September 30, 2024 and December 31, 2023 was $260,390 thousand and $278,492 thousand, respectively.</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Goodwill assigned to the Consumer Packaged Goods segment as of September 30, 2024 and December 31, 2023 was $315,889 thousand in each period. Intangible assets, net assigned to the Consumer Packaged Goods segment as of September 30, 2024 and December 31, 2023 was $240,470 thousand and $260,186 thousand, respectively.</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assets are aggregated into two reportable segments (Retail and Consumer Packaged Goods). For the purposes of testing goodwill, Green Thumb has identified two reporting units which align with our reportable segments (Retail and Consumer Packaged Goods). All revenues are derived from customers domiciled in the United States and all assets are located in the United States.</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27" w:name="page28"/>
    <w:bookmarkEnd w:id="2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60" w:hanging="4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302" w:lineRule="exact"/>
        <w:rPr>
          <w:sz w:val="20"/>
          <w:szCs w:val="20"/>
          <w:color w:val="auto"/>
        </w:rPr>
      </w:pPr>
    </w:p>
    <w:p>
      <w:pPr>
        <w:ind w:left="540" w:hanging="532"/>
        <w:spacing w:after="0"/>
        <w:tabs>
          <w:tab w:leader="none" w:pos="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05, 2024, the Company agreed to extend a $20,000 thousand convertible secured note to Agrify Corporation (“Agrify”) a leading provider of cultivation and extraction solutions for the cannabis industry, of which $10,000 thousand will be drawn upon at closing. Prior to this financing, Green Thumb acquired an ownership stake of approximately 43% in Agrify’s common stock from its outgoing CEO and Chairman and a Director in exchange for approximately $18,000 thousand in cash and Subordinate Voting Shares of Green Thumb subject to certain post-closing conditions (the “Transaction”). As part of the Transaction, Green Thumb also acquired warrants that would allow the Company to extend its ownership stake if exercised.</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Following the acceptance of the resignations of a Director and its CEO and Chairman, the Agrify Board appointed Benjamin Kovler as its Chairman and Interim CEO. In addition Armon Vakili, Vice President, Strategic Initiatives and Partnerships of Green Thumb, was also appointed to join the Agrify Board.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8" w:name="page29"/>
    <w:bookmarkEnd w:id="28"/>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 DISCUSSION AND ANALYSIS OF FINANCIAL CONDITION AND RESULTS OF OPERATION</w:t>
      </w:r>
    </w:p>
    <w:p>
      <w:pPr>
        <w:spacing w:after="0" w:line="12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This management discussion and analysis (“MD&amp;A”) of the financial condition and results of operations of Green Thumb Industries Inc. (the “Company” or “Green Thumb”) is for the three and nine months ended September 30, 2024 and 2023. It is supplemental to, and should be read in conjunction with, the Company’s unaudited interim condensed consolidated financial statements as of September 30, 2024 and the consolidated financial statements for the year ended December 31, 2023 included in the Company’s Annual Report on Form 10-K for the year ended December 31, 2023 filed with the U.S. Securities and Exchange Commission (“SEC”) on February 29, 2024 (the “2023 Form 10-K”) and the accompanying notes for each respective period. The Company’s financial statements are prepared in accordance with accounting principles generally accepted in the United States (“GAAP”). Financial information presented in this MD&amp;A is presented in United States dollars (“$” or “US$”), unless otherwise indicated.</w:t>
      </w:r>
    </w:p>
    <w:p>
      <w:pPr>
        <w:spacing w:after="0" w:line="189"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This MD&amp;A contains certain “forward-looking statements” and certain “forward-looking information” as defined under applicable United States securities laws. Please refer to the discussion of forward-looking statements and information set out under the heading “Disclosure Regarding Forward-Looking Statements,” identified in the ‘‘Risks and Uncertainties’’ section of this MD&amp;A and in Part I, Item 1A, “Risk Factors of the 2023 Form 10-K.” As a result of many factors, the Company’s actual results may differ materially from those anticipated in these forward-looking statements and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121" w:lineRule="exact"/>
        <w:rPr>
          <w:sz w:val="20"/>
          <w:szCs w:val="20"/>
          <w:color w:val="auto"/>
        </w:rPr>
      </w:pPr>
    </w:p>
    <w:p>
      <w:pPr>
        <w:ind w:right="240" w:firstLine="554"/>
        <w:spacing w:after="0" w:line="266" w:lineRule="auto"/>
        <w:rPr>
          <w:sz w:val="20"/>
          <w:szCs w:val="20"/>
          <w:color w:val="auto"/>
        </w:rPr>
      </w:pPr>
      <w:r>
        <w:rPr>
          <w:rFonts w:ascii="Times New Roman" w:cs="Times New Roman" w:eastAsia="Times New Roman" w:hAnsi="Times New Roman"/>
          <w:sz w:val="18"/>
          <w:szCs w:val="18"/>
          <w:color w:val="auto"/>
        </w:rPr>
        <w:t>Established in 2014 and headquartered in Chicago, Illinois, Green Thumb, a national cannabis consumer packaged goods company and retailer, promotes well-being through the power of cannabis while being committed to community and sustainable, profitable growth. As of September 30, 2024, Green Thumb has operations in fourteen U.S. markets, employs approximately 4,800 people and serves millions of patients and customers annually.</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Green Thumb’s core business is manufacturing, distributing and marketing a portfolio of cannabis consumer packaged goods brands (which we refer to as our Consumer Packaged Goods business), including &amp;Shine, Beboe, Dogwalkers, Doctor Solomon’s, Good Green, incredibles and RYTHM. The Company distributes and markets these products primarily to third-party licensed retail cannabis stores across the United States as well as to Green Thumb-owned retail stores (which we refer to as our Retail business).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Company’s Consumer Packaged Goods portfolio is primarily generated from plant material that Green Thumb grows and processes itself, which we use to produce our consumer packaged goods in twenty manufacturing facilities. This portfolio consists of cannabis product categories, including flower, pre-rolls, concentrates, vape, capsules, tinctures, edibles, topicals, as well as other cannabis-related products across a range of stock keeping units ("SKUs") (none of which product categories are individually material to the Company).</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Green Thumb owns and operates a national cannabis retail chain called RISE Dispensaries that provides relationship-centric retail experiences aimed to deliver a superior level of customer service through high-engagement consumer interaction, a consultative, transparent and education-forward selling approach and a consistently available assortment of cannabis products. In addition, Green Thumb owns Retail stores under other names, primarily where naming is subject to licensing or similar restrictions. The income from Green Thumb’s Retail business is primarily derived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The RISE Dispensaries currently are located in all fourteen of the states in which we operate. As of September 30, 2024, the Company had 98 open and operating Retail locations. The Company’s new store opening plans will remain fluid depending on market conditions, obtaining local licensing, construction and other permissions and subject to the Company’s capital allocation plans.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Consolidated</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The following table sets forth the Company’s selected consolidated financial results for the periods, and as of the dates, indicated. The (i) unaudited interim condensed consolidated statements of operations for the three and nine months ended September 30, 2024 and 2023 and (ii) unaudited interim condensed consolidated balance sheets as of September 30, 2024 and December 31, 2023 have been derived from, and should be read in conjunction with, the unaudited interim condensed consolidated financial statements and accompanying notes presented in Item 1 of this quarterly report on Form 10-Q.</w:t>
      </w:r>
    </w:p>
    <w:p>
      <w:pPr>
        <w:spacing w:after="0" w:line="178" w:lineRule="exact"/>
        <w:rPr>
          <w:sz w:val="20"/>
          <w:szCs w:val="20"/>
          <w:color w:val="auto"/>
        </w:rPr>
      </w:pPr>
    </w:p>
    <w:p>
      <w:pPr>
        <w:ind w:right="460" w:firstLine="509"/>
        <w:spacing w:after="0" w:line="312" w:lineRule="auto"/>
        <w:rPr>
          <w:sz w:val="20"/>
          <w:szCs w:val="20"/>
          <w:color w:val="auto"/>
        </w:rPr>
      </w:pPr>
      <w:r>
        <w:rPr>
          <w:rFonts w:ascii="Times New Roman" w:cs="Times New Roman" w:eastAsia="Times New Roman" w:hAnsi="Times New Roman"/>
          <w:sz w:val="17"/>
          <w:szCs w:val="17"/>
          <w:color w:val="auto"/>
        </w:rPr>
        <w:t>The Company’s unaudited interim condensed consolidated financial statements have been prepared in accordance with GAAP and on a going-concern basis that contemplates continuity of operations and realization of assets and liquidation of liabilities in the ordinary course of business.</w:t>
      </w:r>
    </w:p>
    <w:p>
      <w:pPr>
        <w:spacing w:after="0" w:line="35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80" w:type="dxa"/>
            <w:vAlign w:val="bottom"/>
          </w:tcPr>
          <w:p>
            <w:pPr>
              <w:spacing w:after="0"/>
              <w:rPr>
                <w:sz w:val="13"/>
                <w:szCs w:val="13"/>
                <w:color w:val="auto"/>
              </w:rPr>
            </w:pPr>
          </w:p>
        </w:tc>
        <w:tc>
          <w:tcPr>
            <w:tcW w:w="226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Pr>
          <w:p>
            <w:pPr>
              <w:spacing w:after="0"/>
              <w:rPr>
                <w:sz w:val="13"/>
                <w:szCs w:val="13"/>
                <w:color w:val="auto"/>
              </w:rPr>
            </w:pPr>
          </w:p>
        </w:tc>
        <w:tc>
          <w:tcPr>
            <w:tcW w:w="11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QTD Change</w:t>
            </w:r>
          </w:p>
        </w:tc>
        <w:tc>
          <w:tcPr>
            <w:tcW w:w="160" w:type="dxa"/>
            <w:vAlign w:val="bottom"/>
          </w:tcPr>
          <w:p>
            <w:pPr>
              <w:spacing w:after="0"/>
              <w:rPr>
                <w:sz w:val="13"/>
                <w:szCs w:val="13"/>
                <w:color w:val="auto"/>
              </w:rPr>
            </w:pPr>
          </w:p>
        </w:tc>
        <w:tc>
          <w:tcPr>
            <w:tcW w:w="120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YTD Change</w:t>
            </w:r>
          </w:p>
        </w:tc>
        <w:tc>
          <w:tcPr>
            <w:tcW w:w="0" w:type="dxa"/>
            <w:vAlign w:val="bottom"/>
          </w:tcPr>
          <w:p>
            <w:pPr>
              <w:spacing w:after="0"/>
              <w:rPr>
                <w:sz w:val="1"/>
                <w:szCs w:val="1"/>
                <w:color w:val="auto"/>
              </w:rPr>
            </w:pPr>
          </w:p>
        </w:tc>
      </w:tr>
      <w:tr>
        <w:trPr>
          <w:trHeight w:val="109"/>
        </w:trPr>
        <w:tc>
          <w:tcPr>
            <w:tcW w:w="6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gridSpan w:val="3"/>
            <w:vMerge w:val="restart"/>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30,</w:t>
            </w: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60" w:type="dxa"/>
            <w:vAlign w:val="bottom"/>
            <w:gridSpan w:val="6"/>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68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Borders>
              <w:bottom w:val="single" w:sz="8" w:color="auto"/>
            </w:tcBorders>
            <w:gridSpan w:val="3"/>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w:t>
            </w:r>
          </w:p>
        </w:tc>
        <w:tc>
          <w:tcPr>
            <w:tcW w:w="3080" w:type="dxa"/>
            <w:vAlign w:val="bottom"/>
            <w:tcBorders>
              <w:bottom w:val="single" w:sz="8" w:color="auto"/>
            </w:tcBorders>
            <w:gridSpan w:val="8"/>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w w:val="98"/>
              </w:rPr>
              <w:t>thousands, except share and per share amounts)</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Increase</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85"/>
              </w:rPr>
              <w:t>(Decrease)</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Revenues, Net of Discounts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286,865</w:t>
            </w: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275,398</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842,818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776,322</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11,467</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66,496</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6"/>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4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(139,274)</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(141,592)</w:t>
            </w:r>
          </w:p>
        </w:tc>
        <w:tc>
          <w:tcPr>
            <w:tcW w:w="2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(399,778)</w:t>
            </w:r>
          </w:p>
        </w:tc>
        <w:tc>
          <w:tcPr>
            <w:tcW w:w="140" w:type="dxa"/>
            <w:vAlign w:val="bottom"/>
          </w:tcPr>
          <w:p>
            <w:pPr>
              <w:spacing w:after="0"/>
              <w:rPr>
                <w:sz w:val="15"/>
                <w:szCs w:val="15"/>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(392,515)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(2,318)</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5"/>
                <w:szCs w:val="15"/>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7,263</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9"/>
        </w:trPr>
        <w:tc>
          <w:tcPr>
            <w:tcW w:w="3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147,591</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133,806</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443,040</w:t>
            </w: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383,807</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13,785</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59,233</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5"/>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4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104,967</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84,779</w:t>
            </w:r>
          </w:p>
        </w:tc>
        <w:tc>
          <w:tcPr>
            <w:tcW w:w="28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275,725</w:t>
            </w:r>
          </w:p>
        </w:tc>
        <w:tc>
          <w:tcPr>
            <w:tcW w:w="14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249,515</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20,188</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26,210</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14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104,967</w:t>
            </w: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84,779</w:t>
            </w:r>
          </w:p>
        </w:tc>
        <w:tc>
          <w:tcPr>
            <w:tcW w:w="2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275,725</w:t>
            </w:r>
          </w:p>
        </w:tc>
        <w:tc>
          <w:tcPr>
            <w:tcW w:w="14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249,515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20,188</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Pr>
          <w:p>
            <w:pPr>
              <w:spacing w:after="0"/>
              <w:rPr>
                <w:sz w:val="14"/>
                <w:szCs w:val="14"/>
                <w:color w:val="auto"/>
              </w:rPr>
            </w:pPr>
          </w:p>
        </w:tc>
        <w:tc>
          <w:tcPr>
            <w:tcW w:w="70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26,210</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9"/>
        </w:trPr>
        <w:tc>
          <w:tcPr>
            <w:tcW w:w="3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42,624</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49,027</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167,315</w:t>
            </w: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134,292</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(6,403)</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33,023</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5"/>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Other Expense</w:t>
            </w:r>
          </w:p>
        </w:tc>
        <w:tc>
          <w:tcPr>
            <w:tcW w:w="14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(2,921)</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(3,694)</w:t>
            </w:r>
          </w:p>
        </w:tc>
        <w:tc>
          <w:tcPr>
            <w:tcW w:w="2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(11,298)</w:t>
            </w:r>
          </w:p>
        </w:tc>
        <w:tc>
          <w:tcPr>
            <w:tcW w:w="1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(6,463)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Pr>
          <w:p>
            <w:pPr>
              <w:spacing w:after="0"/>
              <w:rPr>
                <w:sz w:val="15"/>
                <w:szCs w:val="15"/>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4,835</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33"/>
        </w:trPr>
        <w:tc>
          <w:tcPr>
            <w:tcW w:w="3520" w:type="dxa"/>
            <w:vAlign w:val="bottom"/>
            <w:gridSpan w:val="2"/>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Income Before Provision for Income Taxes And Non-</w:t>
            </w:r>
          </w:p>
        </w:tc>
        <w:tc>
          <w:tcPr>
            <w:tcW w:w="140" w:type="dxa"/>
            <w:vAlign w:val="bottom"/>
            <w:shd w:val="clear" w:color="auto" w:fill="CFF0FC"/>
          </w:tcPr>
          <w:p>
            <w:pPr>
              <w:spacing w:after="0"/>
              <w:rPr>
                <w:sz w:val="11"/>
                <w:szCs w:val="11"/>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39,703</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45,333</w:t>
            </w:r>
          </w:p>
        </w:tc>
        <w:tc>
          <w:tcPr>
            <w:tcW w:w="280" w:type="dxa"/>
            <w:vAlign w:val="bottom"/>
            <w:shd w:val="clear" w:color="auto" w:fill="CFF0FC"/>
          </w:tcPr>
          <w:p>
            <w:pPr>
              <w:spacing w:after="0"/>
              <w:rPr>
                <w:sz w:val="11"/>
                <w:szCs w:val="11"/>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156,017</w:t>
            </w: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5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127,829</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(5,630)</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28,188</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5"/>
        </w:trPr>
        <w:tc>
          <w:tcPr>
            <w:tcW w:w="3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Controlling Interest</w:t>
            </w:r>
          </w:p>
        </w:tc>
        <w:tc>
          <w:tcPr>
            <w:tcW w:w="140" w:type="dxa"/>
            <w:vAlign w:val="bottom"/>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5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48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gridSpan w:val="2"/>
            <w:vMerge w:val="continue"/>
            <w:shd w:val="clear" w:color="auto" w:fill="CFF0FC"/>
          </w:tcPr>
          <w:p>
            <w:pPr>
              <w:spacing w:after="0"/>
              <w:rPr>
                <w:sz w:val="16"/>
                <w:szCs w:val="16"/>
                <w:color w:val="auto"/>
              </w:rPr>
            </w:pPr>
          </w:p>
        </w:tc>
        <w:tc>
          <w:tcPr>
            <w:tcW w:w="50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30,922</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34,526</w:t>
            </w:r>
          </w:p>
        </w:tc>
        <w:tc>
          <w:tcPr>
            <w:tcW w:w="2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94,970</w:t>
            </w:r>
          </w:p>
        </w:tc>
        <w:tc>
          <w:tcPr>
            <w:tcW w:w="1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93,927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(3,604)</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5"/>
                <w:szCs w:val="15"/>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1,043</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9"/>
        </w:trPr>
        <w:tc>
          <w:tcPr>
            <w:tcW w:w="3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Before Non-Controlling Interest</w:t>
            </w: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8,781</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10,807</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61,047</w:t>
            </w: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33,902</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27,145</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76"/>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14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295</w:t>
            </w:r>
          </w:p>
        </w:tc>
        <w:tc>
          <w:tcPr>
            <w:tcW w:w="2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851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60" w:type="dxa"/>
            <w:vAlign w:val="bottom"/>
          </w:tcPr>
          <w:p>
            <w:pPr>
              <w:spacing w:after="0"/>
              <w:rPr>
                <w:sz w:val="15"/>
                <w:szCs w:val="15"/>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(208)</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9"/>
        </w:trPr>
        <w:tc>
          <w:tcPr>
            <w:tcW w:w="3520" w:type="dxa"/>
            <w:vAlign w:val="bottom"/>
            <w:tcBorders>
              <w:bottom w:val="single" w:sz="8" w:color="CFF0FC"/>
            </w:tcBorders>
            <w:gridSpan w:val="2"/>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Attributable To Green Thumb Industries Inc.</w:t>
            </w:r>
          </w:p>
        </w:tc>
        <w:tc>
          <w:tcPr>
            <w:tcW w:w="14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8,616</w:t>
            </w:r>
          </w:p>
        </w:tc>
        <w:tc>
          <w:tcPr>
            <w:tcW w:w="140" w:type="dxa"/>
            <w:vAlign w:val="bottom"/>
            <w:tcBorders>
              <w:bottom w:val="single" w:sz="8" w:color="CFF0FC"/>
            </w:tcBorders>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10,512</w:t>
            </w:r>
          </w:p>
        </w:tc>
        <w:tc>
          <w:tcPr>
            <w:tcW w:w="28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60,404</w:t>
            </w:r>
          </w:p>
        </w:tc>
        <w:tc>
          <w:tcPr>
            <w:tcW w:w="14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33,051</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(1,896)</w:t>
            </w:r>
          </w:p>
        </w:tc>
        <w:tc>
          <w:tcPr>
            <w:tcW w:w="4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w:t>
            </w:r>
          </w:p>
        </w:tc>
        <w:tc>
          <w:tcPr>
            <w:tcW w:w="16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shd w:val="clear" w:color="auto" w:fill="CFF0FC"/>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27,353</w:t>
            </w:r>
          </w:p>
        </w:tc>
        <w:tc>
          <w:tcPr>
            <w:tcW w:w="5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56"/>
        </w:trPr>
        <w:tc>
          <w:tcPr>
            <w:tcW w:w="352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Per Share - Basic</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0.04</w:t>
            </w:r>
          </w:p>
        </w:tc>
        <w:tc>
          <w:tcPr>
            <w:tcW w:w="1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0.05</w:t>
            </w:r>
          </w:p>
        </w:tc>
        <w:tc>
          <w:tcPr>
            <w:tcW w:w="2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0.26</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0.14</w:t>
            </w:r>
          </w:p>
        </w:tc>
        <w:tc>
          <w:tcPr>
            <w:tcW w:w="8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(0.01)</w:t>
            </w:r>
          </w:p>
        </w:tc>
        <w:tc>
          <w:tcPr>
            <w:tcW w:w="4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w:t>
            </w: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0.12</w:t>
            </w:r>
          </w:p>
        </w:tc>
        <w:tc>
          <w:tcPr>
            <w:tcW w:w="5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tcBorders>
              <w:bottom w:val="single" w:sz="8" w:color="CFF0FC"/>
            </w:tcBorders>
            <w:gridSpan w:val="2"/>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Per Share - Diluted</w:t>
            </w:r>
          </w:p>
        </w:tc>
        <w:tc>
          <w:tcPr>
            <w:tcW w:w="14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0.04</w:t>
            </w:r>
          </w:p>
        </w:tc>
        <w:tc>
          <w:tcPr>
            <w:tcW w:w="140" w:type="dxa"/>
            <w:vAlign w:val="bottom"/>
            <w:tcBorders>
              <w:bottom w:val="single" w:sz="8" w:color="CFF0FC"/>
            </w:tcBorders>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0.05</w:t>
            </w:r>
          </w:p>
        </w:tc>
        <w:tc>
          <w:tcPr>
            <w:tcW w:w="28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0.26</w:t>
            </w:r>
          </w:p>
        </w:tc>
        <w:tc>
          <w:tcPr>
            <w:tcW w:w="14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0.14</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(0.01)</w:t>
            </w:r>
          </w:p>
        </w:tc>
        <w:tc>
          <w:tcPr>
            <w:tcW w:w="4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(20)%</w:t>
            </w:r>
          </w:p>
        </w:tc>
        <w:tc>
          <w:tcPr>
            <w:tcW w:w="16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shd w:val="clear" w:color="auto" w:fill="CFF0FC"/>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0.12</w:t>
            </w:r>
          </w:p>
        </w:tc>
        <w:tc>
          <w:tcPr>
            <w:tcW w:w="5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56"/>
        </w:trPr>
        <w:tc>
          <w:tcPr>
            <w:tcW w:w="352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Weighted Average Number of Shares Outstanding – Basic</w:t>
            </w:r>
          </w:p>
        </w:tc>
        <w:tc>
          <w:tcPr>
            <w:tcW w:w="140" w:type="dxa"/>
            <w:vAlign w:val="bottom"/>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236,303,348</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239,459,783</w:t>
            </w:r>
          </w:p>
        </w:tc>
        <w:tc>
          <w:tcPr>
            <w:tcW w:w="280" w:type="dxa"/>
            <w:vAlign w:val="bottom"/>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236,821,181</w:t>
            </w:r>
          </w:p>
        </w:tc>
        <w:tc>
          <w:tcPr>
            <w:tcW w:w="140" w:type="dxa"/>
            <w:vAlign w:val="bottom"/>
          </w:tcPr>
          <w:p>
            <w:pPr>
              <w:spacing w:after="0"/>
              <w:rPr>
                <w:sz w:val="13"/>
                <w:szCs w:val="13"/>
                <w:color w:val="auto"/>
              </w:rPr>
            </w:pPr>
          </w:p>
        </w:tc>
        <w:tc>
          <w:tcPr>
            <w:tcW w:w="1000" w:type="dxa"/>
            <w:vAlign w:val="bottom"/>
            <w:tcBorders>
              <w:bottom w:val="single" w:sz="8" w:color="auto"/>
            </w:tcBorders>
            <w:gridSpan w:val="3"/>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238,248,852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tcBorders>
              <w:bottom w:val="single" w:sz="8" w:color="CFF0FC"/>
            </w:tcBorders>
            <w:gridSpan w:val="2"/>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Weighted Average Number of Shares Outstanding – Diluted</w:t>
            </w:r>
          </w:p>
        </w:tc>
        <w:tc>
          <w:tcPr>
            <w:tcW w:w="14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238,295,887</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240,289,959</w:t>
            </w:r>
          </w:p>
        </w:tc>
        <w:tc>
          <w:tcPr>
            <w:tcW w:w="28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239,934,521</w:t>
            </w:r>
          </w:p>
        </w:tc>
        <w:tc>
          <w:tcPr>
            <w:tcW w:w="1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gridSpan w:val="3"/>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239,827,112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7"/>
        </w:trPr>
        <w:tc>
          <w:tcPr>
            <w:tcW w:w="6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4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5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6"/>
                <w:szCs w:val="16"/>
                <w:b w:val="1"/>
                <w:bCs w:val="1"/>
                <w:color w:val="auto"/>
              </w:rPr>
              <w:t>(in</w:t>
            </w:r>
          </w:p>
        </w:tc>
        <w:tc>
          <w:tcPr>
            <w:tcW w:w="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w w:val="80"/>
              </w:rPr>
              <w:t>thousands)</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2,514,872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2,490,057</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579,482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660,751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-2353310</wp:posOffset>
            </wp:positionV>
            <wp:extent cx="9461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3052445</wp:posOffset>
            </wp:positionH>
            <wp:positionV relativeFrom="paragraph">
              <wp:posOffset>-2357120</wp:posOffset>
            </wp:positionV>
            <wp:extent cx="111125" cy="154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-2357120</wp:posOffset>
            </wp:positionV>
            <wp:extent cx="102870" cy="154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4621530</wp:posOffset>
            </wp:positionH>
            <wp:positionV relativeFrom="paragraph">
              <wp:posOffset>-2357120</wp:posOffset>
            </wp:positionV>
            <wp:extent cx="119380"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19380" cy="154305"/>
                    </a:xfrm>
                    <a:prstGeom prst="rect">
                      <a:avLst/>
                    </a:prstGeom>
                    <a:noFill/>
                  </pic:spPr>
                </pic:pic>
              </a:graphicData>
            </a:graphic>
          </wp:anchor>
        </w:drawing>
        <w:drawing>
          <wp:anchor simplePos="0" relativeHeight="251657728" behindDoc="1" locked="0" layoutInCell="0" allowOverlap="1">
            <wp:simplePos x="0" y="0"/>
            <wp:positionH relativeFrom="column">
              <wp:posOffset>5349875</wp:posOffset>
            </wp:positionH>
            <wp:positionV relativeFrom="paragraph">
              <wp:posOffset>-2357120</wp:posOffset>
            </wp:positionV>
            <wp:extent cx="93980"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-1315720</wp:posOffset>
            </wp:positionV>
            <wp:extent cx="857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-1298575</wp:posOffset>
            </wp:positionV>
            <wp:extent cx="857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-1315720</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-1298575</wp:posOffset>
            </wp:positionV>
            <wp:extent cx="7747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-1315720</wp:posOffset>
            </wp:positionV>
            <wp:extent cx="939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-1298575</wp:posOffset>
            </wp:positionV>
            <wp:extent cx="939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-1315720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-1298575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-1315720</wp:posOffset>
            </wp:positionV>
            <wp:extent cx="946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-1298575</wp:posOffset>
            </wp:positionV>
            <wp:extent cx="9461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-1041400</wp:posOffset>
            </wp:positionV>
            <wp:extent cx="857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-1024255</wp:posOffset>
            </wp:positionV>
            <wp:extent cx="857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-1041400</wp:posOffset>
            </wp:positionV>
            <wp:extent cx="774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-1024255</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-1041400</wp:posOffset>
            </wp:positionV>
            <wp:extent cx="939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-1024255</wp:posOffset>
            </wp:positionV>
            <wp:extent cx="939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-1041400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-1024255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-1041400</wp:posOffset>
            </wp:positionV>
            <wp:extent cx="9461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-1024255</wp:posOffset>
            </wp:positionV>
            <wp:extent cx="946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-767080</wp:posOffset>
            </wp:positionV>
            <wp:extent cx="857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-749935</wp:posOffset>
            </wp:positionV>
            <wp:extent cx="857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-767080</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-749935</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-767080</wp:posOffset>
            </wp:positionV>
            <wp:extent cx="939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-749935</wp:posOffset>
            </wp:positionV>
            <wp:extent cx="939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01" w:lineRule="exact"/>
        <w:rPr>
          <w:sz w:val="20"/>
          <w:szCs w:val="20"/>
          <w:color w:val="auto"/>
        </w:rPr>
      </w:pPr>
    </w:p>
    <w:p>
      <w:pPr>
        <w:ind w:right="374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Three Months Ended September 30, 2024 Compared to the Three Months Ended September 30, 2023 </w:t>
      </w:r>
      <w:r>
        <w:rPr>
          <w:rFonts w:ascii="Times New Roman" w:cs="Times New Roman" w:eastAsia="Times New Roman" w:hAnsi="Times New Roman"/>
          <w:sz w:val="18"/>
          <w:szCs w:val="18"/>
          <w:i w:val="1"/>
          <w:iCs w:val="1"/>
          <w:color w:val="auto"/>
        </w:rPr>
        <w:t>Revenues, net of Discounts</w:t>
      </w: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Revenues, net of discounts for the three months ended September 30, 2024 was $286,865 thousand, up 4% from $275,398 thousand for the three months ended September 30, 2023. Key performance drivers for the period included the expansion of the adult-use market in New York and Maryland, legalization of adult-use sales in Ohio, which began on August 6, 2024, and revenue generated from new retail stores, partially offset by price compression and increased competition in certain markets.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generated revenue from 98 Retail stores during the quarter compared to 85 in the same quarter of the prior year. Retail revenues made up 72% of total revenues during the three months ended September 30, 2024 as compared to 75% during the three months ended September 30, 2023. Since September 30, 2023, the Company has opened twelve new Retail stores in Florida and two new Retail stores in New York. The Company also disposed of one Retail store in Massachusetts.</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Consumer Packaged Goods revenues made up 28% of total revenues during the three months ended September 30, 2024 as compared to 25% during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Cost of goods sold are derived from retail purchases made by the Company from its third-party licensed producers operating within our state markets and costs related to the internal cultivation and production of cannabis. Cost of goods sold for the three months ended September 30, 2024 was $139,274 thousand, down 2% from $141,592 thousand for the three months ended September 30, 2023. The decrease was driven by operational leverage from the Company's Consumer Packaged Goods business and an increase in Retail sales of Green Thumb-produced products.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Gross profit for the three months ended September 30, 2024 was $147,591 thousand, representing a gross margin on the sale of branded cannabis flower and processed and packaged products including concentrates, edibles, topicals and other cannabis products, of 51%. This is compared to gross profit for the three months ended September 30, 2023 of $133,806 thousand, or a 49% gross margin. The increase in gross profit (dollars) was directly attributable to the revenue increase as described above. The increase in gross margin (percent) was primarily driven by operational leverage from the Company's Consumer Packaged Goods business, as described above, and lower costs associated with the purchase of Retail inventory.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expenses for the three months ended September 30, 2024 were $104,967 thousand, or 37% of revenues, net of discounts, an increase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$20,188 thousand compared to the same period in the prior year. Total expenses for the three months ended September 30, 2023 were $84,779 thousand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of revenues, net of discounts. The increase in total expenses was attributable to increased costs associated with ongoing claims and litigation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costs associated with the opening and operation of new Retail stores as described above.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Total other income (expense) for the three months ended September 30, 2024 was $(2,921) thousand, a favorable change of $773 thousand, primarily due to favorable fair value adjustments on the Company's warrant liability during the three months ended September 30, 2024, as compared to the three months ended September 30, 2023.</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Provision for Income Taxes and Non-Controlling Interest</w:t>
      </w:r>
    </w:p>
    <w:p>
      <w:pPr>
        <w:spacing w:after="0" w:line="11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Income before provision for income taxes and non-controlling interest for the three months ended September 30, 2024 was $39,703 thousand, a decrease of $5,630 thousand compared to the three months ended September 30, 2023.</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presented under the heading “Non-GAAP Measures” below, after adjusting for non-cash equity incentive compensation of $8,349 thousand and $7,215 thousand in the three months ended September 30, 2024 and 2023, respectively, and other nonoperating expenses of $9,727 thousand and $1,119 thousand in three months ended September 30, 2024 and 2023, respectively, adjusted earnings before interest, depreciation, and amortization (“Adjusted EBITDA”) was $89,192 thousand and $82,989 thousand,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For the three months ended September 30, 2024, federal and state income tax expense totaled $30,922 thousand compared to expense of $34,526 thousand for the three months ended September 30, 2023.</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to the Nine Months Ended September 30,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p>
      <w:pPr>
        <w:spacing w:after="0" w:line="22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Revenues, net of discounts for the nine months ended September 30, 2024 was $842,818 thousand, an increase of 9% from $776,322 for the nine months ended September 30, 2023. The increase in revenue was largely due to expansion of adult-use market in Maryland, growth in Consumer Packaged Goods revenues in New York and New Jersey, legalization of adult-use sales in Ohio, as well as revenue generated from new retail stores opened in the current period, partially offset by price compression and increased competition in certain markets.</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generated revenue from 98 retail stores during the period compared to 85 in the same period of the prior year. Since September 30, 2023, the Company has opened twelve new Retail stores in Florida and two new Retail stores in New York. The Company also disposed of one Retail store in Massachusetts.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Cost of goods sold are derived from retail purchases made by the Company from its third-party licensed producers operating within our state markets and costs related to the internal cultivation and production of cannabis. Cost of goods sold for the nine months ended September 30, 2024 was $399,778 thousand, an increase of 2% from $392,515 thousand for the nine months ended September 30, 2023, driven by increased volume from the launch of adult-use sales in Maryland as described above, and new retail store openings since September 30, 2023 in Florida and New York.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Gross profit for the nine months ended September 30, 2024 was $443,040 thousand, representing a gross margin on the sale of branded cannabis flower and processed and packaged products including concentrates, edibles, topicals and other cannabis products, of 53%. This is compared to gross profit for the nine months ended September 30, 2023 of $383,807 thousand or a 49% gross margin. The increase in gross profit (dollars) was directly attributable to the revenue increase as described above, while the increase in gross margin (percent) was primarily driven by operational leverage from the Company's CPG business, as described above, and lower costs associated with the purchase of Retail inventory.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22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Total expenses for the nine months ended September 30, 2024 were $275,725 thousand or 33% of revenues, net of discounts, an increase of $26,210 thousand over the same period in the prior year. Total expenses for the nine months ended September 30, 2023 were $249,515 thousand or 32% of revenues, net of discounts. The increase in total expenses was attributable to increased costs associated with ongoing claims and litigation and increased costs associated with the opening and operation of new Retail stores as described above. The increase in total expenses was partially offset by favorable fair value adjustments associated with the Company's contingent consideration arrangements recorded during the nine months ended September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w:t>
      </w:r>
    </w:p>
    <w:p>
      <w:pPr>
        <w:spacing w:after="0" w:line="22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Total other income (expense) for the nine months ended September 30, 2024 was $(11,298) thousand, an unfavorable change of $4,835 thousand over the same period in the prior year, primarily due to a decrease in capitalized interest during the nine months ended September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Provision for Income Taxes and Non-Controlling Interest</w:t>
      </w:r>
    </w:p>
    <w:p>
      <w:pPr>
        <w:spacing w:after="0" w:line="22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Income before provision for income taxes and non-controlling interest for the nine months ended September 30, 2024 was $156,017 thousand, an increase of $28,188 thousand compared to the nine months ended September 30, 2023.</w:t>
      </w:r>
    </w:p>
    <w:p>
      <w:pPr>
        <w:spacing w:after="0" w:line="16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As presented under the heading “Non-GAAP Measures” below, after adjusting for non-cash equity incentive compensation of $23,705 thousand and $20,835 thousand, and other nonoperating (income) expenses, of $(1,736) thousand and $6,549 thousand in the nine months ended September 30, 2024 and 2023, respectively, Adjusted EBITDA was $273,536 thousand and $235,039 thousand, respectively.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For the nine months ended September 30, 2024, federal and state income tax expense totaled $94,970 thousand compared to expense of $93,927 thousand for the nine months ended September 30,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by Segment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revenues, net of discounts by segment for the three and nine months ended September 30, 2024 and 2023:</w:t>
      </w:r>
    </w:p>
    <w:p>
      <w:pPr>
        <w:spacing w:after="0" w:line="340" w:lineRule="exact"/>
        <w:rPr>
          <w:sz w:val="20"/>
          <w:szCs w:val="20"/>
          <w:color w:val="auto"/>
        </w:rPr>
      </w:pPr>
    </w:p>
    <w:tbl>
      <w:tblPr>
        <w:tblLayout w:type="fixed"/>
        <w:tblInd w:w="680" w:type="dxa"/>
        <w:tblCellMar>
          <w:top w:w="0" w:type="dxa"/>
          <w:left w:w="0" w:type="dxa"/>
          <w:bottom w:w="0" w:type="dxa"/>
          <w:right w:w="0" w:type="dxa"/>
        </w:tblCellMar>
      </w:tblPr>
      <w:tr>
        <w:trPr>
          <w:trHeight w:val="187"/>
        </w:trPr>
        <w:tc>
          <w:tcPr>
            <w:tcW w:w="3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2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QTD Change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Borders>
              <w:top w:val="single" w:sz="8" w:color="auto"/>
              <w:bottom w:val="single" w:sz="8" w:color="auto"/>
            </w:tcBorders>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Borders>
              <w:top w:val="single" w:sz="8" w:color="auto"/>
              <w:bottom w:val="single" w:sz="8" w:color="auto"/>
            </w:tcBorders>
            <w:gridSpan w:val="2"/>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5"/>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2"/>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206,124</w:t>
            </w:r>
          </w:p>
        </w:tc>
        <w:tc>
          <w:tcPr>
            <w:tcW w:w="20" w:type="dxa"/>
            <w:vAlign w:val="bottom"/>
          </w:tcPr>
          <w:p>
            <w:pPr>
              <w:spacing w:after="0"/>
              <w:rPr>
                <w:sz w:val="14"/>
                <w:szCs w:val="14"/>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205,441</w:t>
            </w:r>
          </w:p>
        </w:tc>
        <w:tc>
          <w:tcPr>
            <w:tcW w:w="4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color w:val="auto"/>
              </w:rPr>
              <w:t>683</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6"/>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Consumer Packaged Goods</w:t>
            </w:r>
          </w:p>
        </w:tc>
        <w:tc>
          <w:tcPr>
            <w:tcW w:w="1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165,500</w:t>
            </w: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150,425</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76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15,075</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Eliminations</w:t>
            </w:r>
          </w:p>
        </w:tc>
        <w:tc>
          <w:tcPr>
            <w:tcW w:w="1220" w:type="dxa"/>
            <w:vAlign w:val="bottom"/>
          </w:tcPr>
          <w:p>
            <w:pPr>
              <w:spacing w:after="0"/>
              <w:rPr>
                <w:sz w:val="15"/>
                <w:szCs w:val="15"/>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(84,759)</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(80,468)</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Borders>
              <w:bottom w:val="single" w:sz="8" w:color="auto"/>
            </w:tcBorders>
            <w:gridSpan w:val="2"/>
          </w:tcPr>
          <w:p>
            <w:pPr>
              <w:jc w:val="right"/>
              <w:ind w:right="368"/>
              <w:spacing w:after="0"/>
              <w:rPr>
                <w:sz w:val="20"/>
                <w:szCs w:val="20"/>
                <w:color w:val="auto"/>
              </w:rPr>
            </w:pPr>
            <w:r>
              <w:rPr>
                <w:rFonts w:ascii="Times New Roman" w:cs="Times New Roman" w:eastAsia="Times New Roman" w:hAnsi="Times New Roman"/>
                <w:sz w:val="14"/>
                <w:szCs w:val="14"/>
                <w:color w:val="auto"/>
              </w:rPr>
              <w:t>4,291</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 Net of Discounts</w:t>
            </w:r>
          </w:p>
        </w:tc>
        <w:tc>
          <w:tcPr>
            <w:tcW w:w="12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286,865</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275,398</w:t>
            </w: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tcBorders>
              <w:bottom w:val="single" w:sz="8" w:color="auto"/>
            </w:tcBorders>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11,467</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696"/>
        </w:trPr>
        <w:tc>
          <w:tcPr>
            <w:tcW w:w="3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40" w:type="dxa"/>
            <w:vAlign w:val="bottom"/>
            <w:gridSpan w:val="2"/>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jc w:val="right"/>
              <w:ind w:right="94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50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09"/>
        </w:trPr>
        <w:tc>
          <w:tcPr>
            <w:tcW w:w="30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720" w:type="dxa"/>
            <w:vAlign w:val="bottom"/>
            <w:vMerge w:val="restart"/>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78"/>
        </w:trPr>
        <w:tc>
          <w:tcPr>
            <w:tcW w:w="30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Borders>
              <w:bottom w:val="single" w:sz="8" w:color="auto"/>
            </w:tcBorders>
            <w:vMerge w:val="continue"/>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Borders>
              <w:bottom w:val="single" w:sz="8" w:color="auto"/>
            </w:tcBorders>
            <w:gridSpan w:val="5"/>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20" w:type="dxa"/>
            <w:vAlign w:val="bottom"/>
            <w:tcBorders>
              <w:bottom w:val="single" w:sz="8" w:color="auto"/>
            </w:tcBorders>
            <w:gridSpan w:val="2"/>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69"/>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614,558</w:t>
            </w:r>
          </w:p>
        </w:tc>
        <w:tc>
          <w:tcPr>
            <w:tcW w:w="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582,363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4"/>
                <w:szCs w:val="14"/>
                <w:color w:val="auto"/>
              </w:rPr>
              <w:t>32,195</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 Packaged Goods</w:t>
            </w:r>
          </w:p>
        </w:tc>
        <w:tc>
          <w:tcPr>
            <w:tcW w:w="122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471,735</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412,096</w:t>
            </w:r>
          </w:p>
        </w:tc>
        <w:tc>
          <w:tcPr>
            <w:tcW w:w="180" w:type="dxa"/>
            <w:vAlign w:val="bottom"/>
          </w:tcPr>
          <w:p>
            <w:pPr>
              <w:spacing w:after="0"/>
              <w:rPr>
                <w:sz w:val="15"/>
                <w:szCs w:val="15"/>
                <w:color w:val="auto"/>
              </w:rPr>
            </w:pPr>
          </w:p>
        </w:tc>
        <w:tc>
          <w:tcPr>
            <w:tcW w:w="176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59,639</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5"/>
        </w:trPr>
        <w:tc>
          <w:tcPr>
            <w:tcW w:w="3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Intersegment Eliminations</w:t>
            </w:r>
          </w:p>
        </w:tc>
        <w:tc>
          <w:tcPr>
            <w:tcW w:w="12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(243,475)</w:t>
            </w:r>
          </w:p>
        </w:tc>
        <w:tc>
          <w:tcPr>
            <w:tcW w:w="20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(218,137)</w:t>
            </w:r>
          </w:p>
        </w:tc>
        <w:tc>
          <w:tcPr>
            <w:tcW w:w="18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720" w:type="dxa"/>
            <w:vAlign w:val="bottom"/>
            <w:tcBorders>
              <w:bottom w:val="single" w:sz="8" w:color="auto"/>
            </w:tcBorders>
            <w:shd w:val="clear" w:color="auto" w:fill="CFF0FC"/>
          </w:tcPr>
          <w:p>
            <w:pPr>
              <w:jc w:val="right"/>
              <w:ind w:right="328"/>
              <w:spacing w:after="0"/>
              <w:rPr>
                <w:sz w:val="20"/>
                <w:szCs w:val="20"/>
                <w:color w:val="auto"/>
              </w:rPr>
            </w:pPr>
            <w:r>
              <w:rPr>
                <w:rFonts w:ascii="Times New Roman" w:cs="Times New Roman" w:eastAsia="Times New Roman" w:hAnsi="Times New Roman"/>
                <w:sz w:val="14"/>
                <w:szCs w:val="14"/>
                <w:color w:val="auto"/>
              </w:rPr>
              <w:t>25,338</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 Net of Discounts</w:t>
            </w: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842,818</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776,322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66,496</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-1336675</wp:posOffset>
            </wp:positionV>
            <wp:extent cx="14605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-1319530</wp:posOffset>
            </wp:positionV>
            <wp:extent cx="14605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-1336675</wp:posOffset>
            </wp:positionV>
            <wp:extent cx="137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-1319530</wp:posOffset>
            </wp:positionV>
            <wp:extent cx="13716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-145415</wp:posOffset>
            </wp:positionV>
            <wp:extent cx="14605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-145415</wp:posOffset>
            </wp:positionV>
            <wp:extent cx="13716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 Compared with the Three Months Ended September 30, 2023</w:t>
      </w:r>
    </w:p>
    <w:p>
      <w:pPr>
        <w:spacing w:after="0" w:line="12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Revenues, net of discounts, for the Retail segment were $206,124 thousand, an increase of $683 thousand, compared to the three months ended September 30, 2023. The increase in Retail revenues, net of discounts, was primarily driven by the expansion of the adult-use market in New York and Maryland, legalization of adult-use sales in Ohio and revenue generated from new retail stores, primarily offset by price compression and increased competition in certain markets.</w:t>
      </w:r>
    </w:p>
    <w:p>
      <w:pPr>
        <w:spacing w:after="0" w:line="18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Revenues, net of discounts, for the Consumer Packaged Goods segment were $165,500 thousand, an increase of $15,075 thousand or 10%, compared to the three months ended September 30, 2023. The increase in Consumer Packaged Goods revenues, net of discounts, was primarily driven by the increased production due to the completion of various construction projects in late 2023.</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Intersegment eliminations associated with the Consumer Packaged Goods segment were $(84,759) thousand, an increase of $4,291 thousand or 5% compared to the three months ended September 30, 2023. The increase in intersegment eliminations was driven by increased intercompany sales, primarily to Company-owned Retail stores in Florida, New York and Pennsylvania. Consumer Packaged Goods revenues, net of intersegment eliminations, made up 28% of total revenues during the three months ended September 30, 2024 as compared to 25% during the three months ended September 30, 2023.</w:t>
      </w:r>
    </w:p>
    <w:p>
      <w:pPr>
        <w:spacing w:after="0" w:line="18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9"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with the Nine Months Ended September 30, 2023</w:t>
      </w:r>
    </w:p>
    <w:p>
      <w:pPr>
        <w:spacing w:after="0" w:line="24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Revenues, net of discounts for the Retail segment were $614,558, an increase of $32,195 or 6%, compared to the nine months ended September 30, 2023. The increase in Retail revenues, net of discounts, was primarily driven by the legalization of adult-use sales in Maryland, continued growth in existing markets, as well as revenue generated from new retail stores opened in the current period, partially offset by price compression and increased competition in certain markets.</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Revenues, net of discounts, for the Consumer Packaged Goods segment were $471,735 thousand, an increase of $59,639 thousand or 14%, compared to the nine months ended September 30, 2023. The increase in Consumer Packaged Goods revenues was primarily driven by the expansion of adult-use sales in Maryland, New York, New Jersey and Ohio, as described above, as well as increased production associated with the completion of various construction projects in 2023.</w:t>
      </w:r>
    </w:p>
    <w:p>
      <w:pPr>
        <w:spacing w:after="0" w:line="180"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Intersegment eliminations associated with the Consumer Packaged Goods segment were $243,475 thousand, an increase of $25,338 thousand or 12% compared to the nine months ended September 30, 2023. The increase in intersegment eliminations was driven by increased intercompany sales to Company-owned retail stores primarily in Maryland, Pennsylvania, and New York. Consumer Packaged Goods revenues, net of intersegment eliminations, made up 27% of total revenues during the nine months ended September 30, 2024 as compared to 25% during the nine months ended September 30, 2023.</w:t>
      </w:r>
    </w:p>
    <w:p>
      <w:pPr>
        <w:spacing w:after="0" w:line="16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Drivers of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derives its revenue from two revenue streams: a Consumer Packaged Goods business in which it manufactures, sells and distributes its portfolio of Consumer Packaged Goods brands including &amp;Shine, Beboe, Dogwalkers, Dr. Solomon’s, Good Green, incredibles, and RYTHM, primarily to third-party customers; and a Retail business in which it sells finished goods sourced primarily from third-party cannabis manufacturers in addition to the Company’s own Consumer Packaged Goods products direct to the end consumer in its Retail stores, as well as direct-to-consumer delivery where permitted by state law.</w:t>
      </w:r>
    </w:p>
    <w:p>
      <w:pPr>
        <w:spacing w:after="0" w:line="183"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revenue was contributed from Retail and Consumer Packaged Goods sales across California, Connecticut, Florida, Illinois, Maryland, Massachusetts, Minnesota, Nevada, New Jersey, New York, Ohio, Pennsylvania, Rhode Island and Virginia.</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w:t>
      </w:r>
    </w:p>
    <w:p>
      <w:pPr>
        <w:spacing w:after="0" w:line="19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continued to be focused on creating sustainable, profitable growth of the Company’s business within its current markets while considering strategic acquisition and partnership opportunities.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Total expenses other than the cost of goods sold consist of selling costs to support customer relationships and marketing and branding activities. It also includes a significant investment in the corporate infrastructure required to support the Company’s ongoing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Retail selling costs generally correlate to revenue. As new locations begin operations, these locations generally experience higher selling costs as a percentage of revenue compared to more established locations, which experience a more constant rate of selling costs. As a percentage of sales, the Company expects selling costs to remain constant in the more established locations and increase in the newer locations as business continues to grow.</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also include costs incurred at the Company’s corporate offices, primarily related to back office personnel costs, including salaries, incentive compensation, benefits, stock-based compensation and other professional service costs, and fair value adjustments on the Company's contingent consideration arrangements. The Company expects to continue to invest considerably in this area to support the business by attracting and retaining top-tier talent. Furthermore, the Company anticipates an increase in stock-based compensation expenses related to recruiting and hiring talent, along with legal and professional fees associated with being a publicly traded company in Canada and registered with the SEC.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federally illegal cannabis industry, it is subject to the limitations of the U.S. Internal Revenue Code of 1986, as amended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33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20" w:type="dxa"/>
            <w:vAlign w:val="bottom"/>
            <w:tcBorders>
              <w:bottom w:val="single" w:sz="8" w:color="auto"/>
            </w:tcBorders>
            <w:gridSpan w:val="5"/>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5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Net Income Before Non-Controlling Interest</w:t>
            </w:r>
          </w:p>
        </w:tc>
        <w:tc>
          <w:tcPr>
            <w:tcW w:w="5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8,781</w:t>
            </w: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10,807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61,047</w:t>
            </w: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33,902</w:t>
            </w:r>
          </w:p>
        </w:tc>
        <w:tc>
          <w:tcPr>
            <w:tcW w:w="0" w:type="dxa"/>
            <w:vAlign w:val="bottom"/>
          </w:tcPr>
          <w:p>
            <w:pPr>
              <w:spacing w:after="0"/>
              <w:rPr>
                <w:sz w:val="1"/>
                <w:szCs w:val="1"/>
                <w:color w:val="auto"/>
              </w:rPr>
            </w:pPr>
          </w:p>
        </w:tc>
      </w:tr>
      <w:tr>
        <w:trPr>
          <w:trHeight w:val="175"/>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 net</w:t>
            </w: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(1,576)</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(4,838)</w:t>
            </w:r>
          </w:p>
        </w:tc>
        <w:tc>
          <w:tcPr>
            <w:tcW w:w="0" w:type="dxa"/>
            <w:vAlign w:val="bottom"/>
          </w:tcPr>
          <w:p>
            <w:pPr>
              <w:spacing w:after="0"/>
              <w:rPr>
                <w:sz w:val="1"/>
                <w:szCs w:val="1"/>
                <w:color w:val="auto"/>
              </w:rPr>
            </w:pPr>
          </w:p>
        </w:tc>
      </w:tr>
      <w:tr>
        <w:trPr>
          <w:trHeight w:val="17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5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5,296</w:t>
            </w:r>
          </w:p>
        </w:tc>
        <w:tc>
          <w:tcPr>
            <w:tcW w:w="1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4,639</w:t>
            </w: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18,791</w:t>
            </w: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11,324</w:t>
            </w:r>
          </w:p>
        </w:tc>
        <w:tc>
          <w:tcPr>
            <w:tcW w:w="0" w:type="dxa"/>
            <w:vAlign w:val="bottom"/>
          </w:tcPr>
          <w:p>
            <w:pPr>
              <w:spacing w:after="0"/>
              <w:rPr>
                <w:sz w:val="1"/>
                <w:szCs w:val="1"/>
                <w:color w:val="auto"/>
              </w:rPr>
            </w:pPr>
          </w:p>
        </w:tc>
      </w:tr>
      <w:tr>
        <w:trPr>
          <w:trHeight w:val="175"/>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30,922</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34,526</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94,970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93,927</w:t>
            </w:r>
          </w:p>
        </w:tc>
        <w:tc>
          <w:tcPr>
            <w:tcW w:w="0" w:type="dxa"/>
            <w:vAlign w:val="bottom"/>
          </w:tcPr>
          <w:p>
            <w:pPr>
              <w:spacing w:after="0"/>
              <w:rPr>
                <w:sz w:val="1"/>
                <w:szCs w:val="1"/>
                <w:color w:val="auto"/>
              </w:rPr>
            </w:pPr>
          </w:p>
        </w:tc>
      </w:tr>
      <w:tr>
        <w:trPr>
          <w:trHeight w:val="175"/>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Other Expense (Income)</w:t>
            </w:r>
          </w:p>
        </w:tc>
        <w:tc>
          <w:tcPr>
            <w:tcW w:w="5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75"/>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5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28,492</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25,628</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84,252</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73,363</w:t>
            </w:r>
          </w:p>
        </w:tc>
        <w:tc>
          <w:tcPr>
            <w:tcW w:w="0" w:type="dxa"/>
            <w:vAlign w:val="bottom"/>
          </w:tcPr>
          <w:p>
            <w:pPr>
              <w:spacing w:after="0"/>
              <w:rPr>
                <w:sz w:val="1"/>
                <w:szCs w:val="1"/>
                <w:color w:val="auto"/>
              </w:rPr>
            </w:pPr>
          </w:p>
        </w:tc>
      </w:tr>
      <w:tr>
        <w:trPr>
          <w:trHeight w:val="131"/>
        </w:trPr>
        <w:tc>
          <w:tcPr>
            <w:tcW w:w="42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Earnings before interest, taxes, depreciation and</w:t>
            </w:r>
          </w:p>
        </w:tc>
        <w:tc>
          <w:tcPr>
            <w:tcW w:w="5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FF0FC"/>
          </w:tcPr>
          <w:p>
            <w:pPr>
              <w:spacing w:after="0"/>
              <w:rPr>
                <w:sz w:val="11"/>
                <w:szCs w:val="11"/>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71,116</w:t>
            </w:r>
          </w:p>
        </w:tc>
        <w:tc>
          <w:tcPr>
            <w:tcW w:w="1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FF0FC"/>
          </w:tcPr>
          <w:p>
            <w:pPr>
              <w:spacing w:after="0"/>
              <w:rPr>
                <w:sz w:val="11"/>
                <w:szCs w:val="11"/>
                <w:color w:val="auto"/>
              </w:rPr>
            </w:pPr>
          </w:p>
        </w:tc>
        <w:tc>
          <w:tcPr>
            <w:tcW w:w="9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74,655</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251,567</w:t>
            </w:r>
          </w:p>
        </w:tc>
        <w:tc>
          <w:tcPr>
            <w:tcW w:w="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207,655</w:t>
            </w:r>
          </w:p>
        </w:tc>
        <w:tc>
          <w:tcPr>
            <w:tcW w:w="0" w:type="dxa"/>
            <w:vAlign w:val="bottom"/>
          </w:tcPr>
          <w:p>
            <w:pPr>
              <w:spacing w:after="0"/>
              <w:rPr>
                <w:sz w:val="1"/>
                <w:szCs w:val="1"/>
                <w:color w:val="auto"/>
              </w:rPr>
            </w:pPr>
          </w:p>
        </w:tc>
      </w:tr>
      <w:tr>
        <w:trPr>
          <w:trHeight w:val="186"/>
        </w:trPr>
        <w:tc>
          <w:tcPr>
            <w:tcW w:w="4200" w:type="dxa"/>
            <w:vAlign w:val="bottom"/>
            <w:tcBorders>
              <w:bottom w:val="single" w:sz="8" w:color="CFF0FC"/>
            </w:tcBorders>
            <w:shd w:val="clear" w:color="auto" w:fill="CFF0FC"/>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amortization (EBITDA) (non-GAAP measure)</w:t>
            </w:r>
          </w:p>
        </w:tc>
        <w:tc>
          <w:tcPr>
            <w:tcW w:w="520" w:type="dxa"/>
            <w:vAlign w:val="bottom"/>
            <w:tcBorders>
              <w:bottom w:val="single" w:sz="8" w:color="CFF0FC"/>
            </w:tcBorders>
            <w:vMerge w:val="continue"/>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vMerge w:val="continue"/>
            <w:shd w:val="clear" w:color="auto" w:fill="CFF0FC"/>
          </w:tcPr>
          <w:p>
            <w:pPr>
              <w:spacing w:after="0"/>
              <w:rPr>
                <w:sz w:val="16"/>
                <w:szCs w:val="16"/>
                <w:color w:val="auto"/>
              </w:rPr>
            </w:pPr>
          </w:p>
        </w:tc>
        <w:tc>
          <w:tcPr>
            <w:tcW w:w="160" w:type="dxa"/>
            <w:vAlign w:val="bottom"/>
            <w:tcBorders>
              <w:bottom w:val="single" w:sz="8" w:color="CFF0FC"/>
            </w:tcBorders>
            <w:vMerge w:val="continue"/>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vMerge w:val="continue"/>
            <w:shd w:val="clear" w:color="auto" w:fill="CFF0FC"/>
          </w:tcPr>
          <w:p>
            <w:pPr>
              <w:spacing w:after="0"/>
              <w:rPr>
                <w:sz w:val="16"/>
                <w:szCs w:val="16"/>
                <w:color w:val="auto"/>
              </w:rPr>
            </w:pPr>
          </w:p>
        </w:tc>
        <w:tc>
          <w:tcPr>
            <w:tcW w:w="100" w:type="dxa"/>
            <w:vAlign w:val="bottom"/>
            <w:tcBorders>
              <w:bottom w:val="single" w:sz="8" w:color="CFF0FC"/>
            </w:tcBorders>
            <w:vMerge w:val="continue"/>
            <w:shd w:val="clear" w:color="auto" w:fill="CFF0FC"/>
          </w:tcPr>
          <w:p>
            <w:pPr>
              <w:spacing w:after="0"/>
              <w:rPr>
                <w:sz w:val="16"/>
                <w:szCs w:val="16"/>
                <w:color w:val="auto"/>
              </w:rPr>
            </w:pPr>
          </w:p>
        </w:tc>
        <w:tc>
          <w:tcPr>
            <w:tcW w:w="1220" w:type="dxa"/>
            <w:vAlign w:val="bottom"/>
            <w:tcBorders>
              <w:bottom w:val="single" w:sz="8" w:color="CFF0FC"/>
            </w:tcBorders>
            <w:vMerge w:val="continue"/>
            <w:shd w:val="clear" w:color="auto" w:fill="CFF0FC"/>
          </w:tcPr>
          <w:p>
            <w:pPr>
              <w:spacing w:after="0"/>
              <w:rPr>
                <w:sz w:val="16"/>
                <w:szCs w:val="16"/>
                <w:color w:val="auto"/>
              </w:rPr>
            </w:pPr>
          </w:p>
        </w:tc>
        <w:tc>
          <w:tcPr>
            <w:tcW w:w="120" w:type="dxa"/>
            <w:vAlign w:val="bottom"/>
            <w:tcBorders>
              <w:bottom w:val="single" w:sz="8" w:color="CFF0FC"/>
            </w:tcBorders>
            <w:vMerge w:val="continue"/>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20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4"/>
                <w:szCs w:val="14"/>
                <w:color w:val="auto"/>
              </w:rPr>
              <w:t>Stock-based Compensation, Non-cash</w:t>
            </w:r>
          </w:p>
        </w:tc>
        <w:tc>
          <w:tcPr>
            <w:tcW w:w="520" w:type="dxa"/>
            <w:vAlign w:val="bottom"/>
            <w:tcBorders>
              <w:top w:val="single" w:sz="8" w:color="CFF0FC"/>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8,349</w:t>
            </w:r>
          </w:p>
        </w:tc>
        <w:tc>
          <w:tcPr>
            <w:tcW w:w="160" w:type="dxa"/>
            <w:vAlign w:val="bottom"/>
            <w:tcBorders>
              <w:top w:val="single" w:sz="8" w:color="CFF0FC"/>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7,215</w:t>
            </w:r>
          </w:p>
        </w:tc>
        <w:tc>
          <w:tcPr>
            <w:tcW w:w="100" w:type="dxa"/>
            <w:vAlign w:val="bottom"/>
            <w:tcBorders>
              <w:top w:val="single" w:sz="8" w:color="CFF0FC"/>
            </w:tcBorders>
          </w:tcPr>
          <w:p>
            <w:pPr>
              <w:spacing w:after="0"/>
              <w:rPr>
                <w:sz w:val="13"/>
                <w:szCs w:val="13"/>
                <w:color w:val="auto"/>
              </w:rPr>
            </w:pPr>
          </w:p>
        </w:tc>
        <w:tc>
          <w:tcPr>
            <w:tcW w:w="12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23,705</w:t>
            </w:r>
          </w:p>
        </w:tc>
        <w:tc>
          <w:tcPr>
            <w:tcW w:w="120" w:type="dxa"/>
            <w:vAlign w:val="bottom"/>
            <w:tcBorders>
              <w:top w:val="single" w:sz="8" w:color="CFF0FC"/>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20,835</w:t>
            </w:r>
          </w:p>
        </w:tc>
        <w:tc>
          <w:tcPr>
            <w:tcW w:w="0" w:type="dxa"/>
            <w:vAlign w:val="bottom"/>
          </w:tcPr>
          <w:p>
            <w:pPr>
              <w:spacing w:after="0"/>
              <w:rPr>
                <w:sz w:val="1"/>
                <w:szCs w:val="1"/>
                <w:color w:val="auto"/>
              </w:rPr>
            </w:pPr>
          </w:p>
        </w:tc>
      </w:tr>
      <w:tr>
        <w:trPr>
          <w:trHeight w:val="175"/>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Acquisition, Transaction and Other Non-operating Costs (Income)</w:t>
            </w:r>
          </w:p>
        </w:tc>
        <w:tc>
          <w:tcPr>
            <w:tcW w:w="5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9,727</w:t>
            </w:r>
          </w:p>
        </w:tc>
        <w:tc>
          <w:tcPr>
            <w:tcW w:w="16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1,119</w:t>
            </w:r>
          </w:p>
        </w:tc>
        <w:tc>
          <w:tcPr>
            <w:tcW w:w="10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12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6,549</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EBITDA (Non-GAAP Measure)</w:t>
            </w: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89,192</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82,989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273,536</w:t>
            </w: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235,039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-393700</wp:posOffset>
            </wp:positionV>
            <wp:extent cx="1028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-376555</wp:posOffset>
            </wp:positionV>
            <wp:extent cx="1028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-393700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-376555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-393700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-376555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-145415</wp:posOffset>
            </wp:positionV>
            <wp:extent cx="10287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-145415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-145415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Liquidity, Financing Activities During the Period, and Capital Resources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total current liabilities of $160,669 thousand and $126,050 thousand, respectively, and cash and cash equivalents of $173,641 thousand and $161,634 thousand, respectively, to meet its current obligations. The Company had working capital of $231,205 thousand as of September 30, 2024, an increase of $14,493 thousand as compared to December 31, 2023. This increase in working capital was primarily driven by an increase in inventory.</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generates cash from its operations and deploys its capital reserves to acquire and develop assets capable of producing additional revenues and earnings over both the immediate and long term. Capital reserves are primarily being utilized for capital expenditures, facility improvements, strategic investment opportunities, product development and marketing, as well as customer, supplier, and investor and industry relations.</w:t>
      </w:r>
    </w:p>
    <w:p>
      <w:pPr>
        <w:spacing w:after="0" w:line="68"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Company takes a cautious approach in allocating its capital to maximize its returns while ensuring appropriate liquidity. Given the current uncertainty of the future economic environment, the Company has taken additional measures in monitoring and deploying its capital to minimize the negative impact on its current operations and expansion plans.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Operating, Investing and Financing Activities</w:t>
      </w:r>
    </w:p>
    <w:p>
      <w:pPr>
        <w:spacing w:after="0" w:line="11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nine months ended September 30, 2024 and 2023 were as follows:</w:t>
      </w:r>
    </w:p>
    <w:p>
      <w:pPr>
        <w:spacing w:after="0" w:line="205" w:lineRule="exact"/>
        <w:rPr>
          <w:sz w:val="20"/>
          <w:szCs w:val="20"/>
          <w:color w:val="auto"/>
        </w:rPr>
      </w:pPr>
    </w:p>
    <w:tbl>
      <w:tblPr>
        <w:tblLayout w:type="fixed"/>
        <w:tblInd w:w="760" w:type="dxa"/>
        <w:tblCellMar>
          <w:top w:w="0" w:type="dxa"/>
          <w:left w:w="0" w:type="dxa"/>
          <w:bottom w:w="0" w:type="dxa"/>
          <w:right w:w="0" w:type="dxa"/>
        </w:tblCellMar>
      </w:tblPr>
      <w:tr>
        <w:trPr>
          <w:trHeight w:val="225"/>
        </w:trPr>
        <w:tc>
          <w:tcPr>
            <w:tcW w:w="46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6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3"/>
        </w:trPr>
        <w:tc>
          <w:tcPr>
            <w:tcW w:w="46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80" w:type="dxa"/>
            <w:vAlign w:val="bottom"/>
            <w:tcBorders>
              <w:bottom w:val="single" w:sz="8" w:color="auto"/>
            </w:tcBorders>
            <w:gridSpan w:val="3"/>
          </w:tcPr>
          <w:p>
            <w:pPr>
              <w:jc w:val="center"/>
              <w:ind w:left="8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60" w:type="dxa"/>
            <w:vAlign w:val="bottom"/>
            <w:tcBorders>
              <w:bottom w:val="single" w:sz="8" w:color="auto"/>
            </w:tcBorders>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151,845</w:t>
            </w: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153,872</w:t>
            </w:r>
          </w:p>
        </w:tc>
      </w:tr>
      <w:tr>
        <w:trPr>
          <w:trHeight w:val="220"/>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(53,435)</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(187,444)</w:t>
            </w:r>
          </w:p>
        </w:tc>
      </w:tr>
      <w:tr>
        <w:trPr>
          <w:trHeight w:val="23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(86,403)</w:t>
            </w: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(7,268)</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or Adoption of Accounting Practices</w:t>
      </w:r>
    </w:p>
    <w:p>
      <w:pPr>
        <w:spacing w:after="0" w:line="12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Refer to the discussion of recently adopted/issued accounting pronouncements under Part I, Item 1, Notes to Unaudited Interim Condensed Consolidated Financial Statements, Note 1—Overview and Basis of Presentation.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critical accounting policies and estimates from the information provided in “Management’s Discussion and Analysis of Financial Condition and Results of Operations,” included in our 2023 Form 10-K.</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36" w:name="page37"/>
    <w:bookmarkEnd w:id="36"/>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market risk disclosures as set forth in Part II Item 7A of our 2023 Form 10-K.</w:t>
      </w:r>
    </w:p>
    <w:p>
      <w:pPr>
        <w:spacing w:after="0" w:line="34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carried out an evaluation under the supervision and with the participation of the Company's Chief Executive Officer and Chief Financial Officer, of the effectiveness of the design and operation of our disclosure controls and procedures, as such term is defined in Rules 13a-15(e) and 15d-15(e) of the Securities Exchange Act of 1934, as amended (the Exchange Act). Based upon that evaluation, management concluded that our disclosure controls and procedures were effective as of September 30,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third quarter of 2024 that have materially affected, or are reasonably likely to materially affect, our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Control Systems</w:t>
      </w:r>
    </w:p>
    <w:p>
      <w:pPr>
        <w:spacing w:after="0" w:line="1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Because of the inherent limitations in all control systems, no evaluation of controls can provide absolute assurance that all control issues and instances of fraud, if any, will be or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is a party to a variety of legal proceedings that arise out of operations in the normal course of business. While the results of these legal proceedings cannot be predicted with certainty, the Company believes that the final outcome of these proceedings will not have a material adverse effect, individually or in the aggregate, on our results of operations or financial condition.</w:t>
      </w:r>
    </w:p>
    <w:p>
      <w:pPr>
        <w:spacing w:after="0" w:line="38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our potential risks and uncertainties, see the information under the heading “Risk Factors” in our 2023 Form 10-K.</w:t>
      </w:r>
    </w:p>
    <w:p>
      <w:pPr>
        <w:spacing w:after="0" w:line="200" w:lineRule="exact"/>
        <w:rPr>
          <w:sz w:val="20"/>
          <w:szCs w:val="20"/>
          <w:color w:val="auto"/>
        </w:rPr>
      </w:pPr>
    </w:p>
    <w:p>
      <w:pPr>
        <w:spacing w:after="0" w:line="237" w:lineRule="exact"/>
        <w:rPr>
          <w:sz w:val="20"/>
          <w:szCs w:val="20"/>
          <w:color w:val="auto"/>
        </w:rPr>
      </w:pPr>
    </w:p>
    <w:p>
      <w:pPr>
        <w:ind w:right="3780"/>
        <w:spacing w:after="0" w:line="412"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Recent Sales of Unregistered Securities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Subordinate Voting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Multiple Voting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Super Voting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repurchases of our Subordinate Voting Shares during the nine months ended September 30, 2024:</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 except per share amounts)</w:t>
      </w:r>
    </w:p>
    <w:p>
      <w:pPr>
        <w:spacing w:after="0" w:line="28" w:lineRule="exact"/>
        <w:rPr>
          <w:sz w:val="20"/>
          <w:szCs w:val="20"/>
          <w:color w:val="auto"/>
        </w:rPr>
      </w:pPr>
    </w:p>
    <w:tbl>
      <w:tblPr>
        <w:tblLayout w:type="fixed"/>
        <w:tblInd w:w="680" w:type="dxa"/>
        <w:tblCellMar>
          <w:top w:w="0" w:type="dxa"/>
          <w:left w:w="0" w:type="dxa"/>
          <w:bottom w:w="0" w:type="dxa"/>
          <w:right w:w="0" w:type="dxa"/>
        </w:tblCellMar>
      </w:tblPr>
      <w:tr>
        <w:trPr>
          <w:trHeight w:val="131"/>
        </w:trPr>
        <w:tc>
          <w:tcPr>
            <w:tcW w:w="37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4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 may</w:t>
            </w:r>
          </w:p>
        </w:tc>
        <w:tc>
          <w:tcPr>
            <w:tcW w:w="0" w:type="dxa"/>
            <w:vAlign w:val="bottom"/>
          </w:tcPr>
          <w:p>
            <w:pPr>
              <w:spacing w:after="0"/>
              <w:rPr>
                <w:sz w:val="1"/>
                <w:szCs w:val="1"/>
                <w:color w:val="auto"/>
              </w:rPr>
            </w:pPr>
          </w:p>
        </w:tc>
      </w:tr>
      <w:tr>
        <w:trPr>
          <w:trHeight w:val="146"/>
        </w:trPr>
        <w:tc>
          <w:tcPr>
            <w:tcW w:w="3700" w:type="dxa"/>
            <w:vAlign w:val="bottom"/>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40" w:type="dxa"/>
            <w:vAlign w:val="bottom"/>
          </w:tcPr>
          <w:p>
            <w:pPr>
              <w:spacing w:after="0"/>
              <w:rPr>
                <w:sz w:val="12"/>
                <w:szCs w:val="12"/>
                <w:color w:val="auto"/>
              </w:rPr>
            </w:pP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yet be Purchased Under</w:t>
            </w:r>
          </w:p>
        </w:tc>
        <w:tc>
          <w:tcPr>
            <w:tcW w:w="0" w:type="dxa"/>
            <w:vAlign w:val="bottom"/>
          </w:tcPr>
          <w:p>
            <w:pPr>
              <w:spacing w:after="0"/>
              <w:rPr>
                <w:sz w:val="1"/>
                <w:szCs w:val="1"/>
                <w:color w:val="auto"/>
              </w:rPr>
            </w:pPr>
          </w:p>
        </w:tc>
      </w:tr>
      <w:tr>
        <w:trPr>
          <w:trHeight w:val="189"/>
        </w:trPr>
        <w:tc>
          <w:tcPr>
            <w:tcW w:w="370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8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Announced Program </w:t>
            </w:r>
            <w:r>
              <w:rPr>
                <w:rFonts w:ascii="Times New Roman" w:cs="Times New Roman" w:eastAsia="Times New Roman" w:hAnsi="Times New Roman"/>
                <w:sz w:val="19"/>
                <w:szCs w:val="19"/>
                <w:b w:val="1"/>
                <w:bCs w:val="1"/>
                <w:color w:val="auto"/>
                <w:vertAlign w:val="superscript"/>
              </w:rPr>
              <w:t>(1)</w:t>
            </w: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Program</w:t>
            </w:r>
          </w:p>
        </w:tc>
        <w:tc>
          <w:tcPr>
            <w:tcW w:w="0" w:type="dxa"/>
            <w:vAlign w:val="bottom"/>
          </w:tcPr>
          <w:p>
            <w:pPr>
              <w:spacing w:after="0"/>
              <w:rPr>
                <w:sz w:val="1"/>
                <w:szCs w:val="1"/>
                <w:color w:val="auto"/>
              </w:rPr>
            </w:pPr>
          </w:p>
        </w:tc>
      </w:tr>
      <w:tr>
        <w:trPr>
          <w:trHeight w:val="169"/>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0D0D0D"/>
              </w:rPr>
              <w:t>January 1, 2024 through January 31, 2024</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 $</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0D0D0D"/>
              </w:rPr>
              <w:t>February 1, 2024 through February 29, 2024</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0" w:type="dxa"/>
            <w:vAlign w:val="bottom"/>
          </w:tcPr>
          <w:p>
            <w:pPr>
              <w:spacing w:after="0"/>
              <w:rPr>
                <w:sz w:val="1"/>
                <w:szCs w:val="1"/>
                <w:color w:val="auto"/>
              </w:rPr>
            </w:pPr>
          </w:p>
        </w:tc>
      </w:tr>
      <w:tr>
        <w:trPr>
          <w:trHeight w:val="17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0D0D0D"/>
              </w:rPr>
              <w:t>March 1, 2024 through March 31, 2024</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1,067,000</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12.27</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1,067,000</w:t>
            </w:r>
          </w:p>
        </w:tc>
        <w:tc>
          <w:tcPr>
            <w:tcW w:w="14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46,600</w:t>
            </w: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0D0D0D"/>
              </w:rPr>
              <w:t>April 1, 2024 through April 30, 2024</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0" w:type="dxa"/>
            <w:vAlign w:val="bottom"/>
          </w:tcPr>
          <w:p>
            <w:pPr>
              <w:spacing w:after="0"/>
              <w:rPr>
                <w:sz w:val="1"/>
                <w:szCs w:val="1"/>
                <w:color w:val="auto"/>
              </w:rPr>
            </w:pPr>
          </w:p>
        </w:tc>
      </w:tr>
      <w:tr>
        <w:trPr>
          <w:trHeight w:val="175"/>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0D0D0D"/>
              </w:rPr>
              <w:t>May 1, 2024 through May 31, 2024</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659,100</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12.05</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659,100</w:t>
            </w:r>
          </w:p>
        </w:tc>
        <w:tc>
          <w:tcPr>
            <w:tcW w:w="14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38,660</w:t>
            </w: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0D0D0D"/>
              </w:rPr>
              <w:t>June 1, 2024 through June 30, 2024</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998,900</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12.33</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998,900</w:t>
            </w: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26,700</w:t>
            </w:r>
          </w:p>
        </w:tc>
        <w:tc>
          <w:tcPr>
            <w:tcW w:w="0" w:type="dxa"/>
            <w:vAlign w:val="bottom"/>
          </w:tcPr>
          <w:p>
            <w:pPr>
              <w:spacing w:after="0"/>
              <w:rPr>
                <w:sz w:val="1"/>
                <w:szCs w:val="1"/>
                <w:color w:val="auto"/>
              </w:rPr>
            </w:pPr>
          </w:p>
        </w:tc>
      </w:tr>
      <w:tr>
        <w:trPr>
          <w:trHeight w:val="175"/>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0D0D0D"/>
              </w:rPr>
              <w:t>July 1, 2024 through July 31, 2024</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4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0D0D0D"/>
              </w:rPr>
              <w:t>August 1, 2024 through August 31, 2024</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0" w:type="dxa"/>
            <w:vAlign w:val="bottom"/>
          </w:tcPr>
          <w:p>
            <w:pPr>
              <w:spacing w:after="0"/>
              <w:rPr>
                <w:sz w:val="1"/>
                <w:szCs w:val="1"/>
                <w:color w:val="auto"/>
              </w:rPr>
            </w:pPr>
          </w:p>
        </w:tc>
      </w:tr>
      <w:tr>
        <w:trPr>
          <w:trHeight w:val="17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0D0D0D"/>
              </w:rPr>
              <w:t>September 1, 2024 through September 30, 2024</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40" w:type="dxa"/>
            <w:vAlign w:val="bottom"/>
            <w:tcBorders>
              <w:bottom w:val="single" w:sz="8" w:color="auto"/>
            </w:tcBorders>
            <w:shd w:val="clear" w:color="auto" w:fill="CFF0FC"/>
          </w:tcPr>
          <w:p>
            <w:pPr>
              <w:spacing w:after="0"/>
              <w:rPr>
                <w:sz w:val="15"/>
                <w:szCs w:val="15"/>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50,000</w:t>
            </w: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0D0D0D"/>
              </w:rPr>
              <w:t>2,725,000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0D0D0D"/>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0D0D0D"/>
              </w:rPr>
              <w:t>12.27</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0D0D0D"/>
              </w:rPr>
              <w:t>2,725,000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0D0D0D"/>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0D0D0D"/>
              </w:rPr>
              <w:t>50,000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firstLine="8"/>
        <w:spacing w:after="0" w:line="294" w:lineRule="auto"/>
        <w:tabs>
          <w:tab w:leader="none" w:pos="170" w:val="left"/>
        </w:tabs>
        <w:numPr>
          <w:ilvl w:val="0"/>
          <w:numId w:val="4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Following the expiration of the Company's previous share program on September 10, 2024, on September 13, 2024, the Company's Board of Directors authorized a share repurchase program that allows the Company to repurchase up to 10,573,860 of its Subordinate Voting Shares over a 12-month period at an aggregate cost of up to $50,000 thousand. The share repurchase program commenced on September 23, 2024.</w:t>
      </w:r>
    </w:p>
    <w:p>
      <w:pPr>
        <w:spacing w:after="0" w:line="2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Under the Company's original share repurchase program, a total of 6,568,125 Subordinate Voting Shares were repurchased for $73,304 thousand of which 2,725,000 Subordinate Voting Shares for $33,448 thousand were repurchased during the nine months ended September 30, 2024.</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8" w:name="page39"/>
    <w:bookmarkEnd w:id="38"/>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2024, none of the Company's directors or Section 16 officers adopted or terminated a “Rule 10b5-1 trading arrangement” or a “non-Rule 10b5-1 trading arrangement”, as each term is defined in the Item 408(a) of Regulation S-K.</w:t>
      </w:r>
    </w:p>
    <w:p>
      <w:pPr>
        <w:spacing w:after="0" w:line="2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305" w:right="9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24"/>
        </w:trPr>
        <w:tc>
          <w:tcPr>
            <w:tcW w:w="11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exhibits are filed with this report:</w:t>
            </w:r>
          </w:p>
        </w:tc>
      </w:tr>
      <w:tr>
        <w:trPr>
          <w:trHeight w:val="432"/>
        </w:trPr>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24"/>
                <w:szCs w:val="24"/>
                <w:color w:val="auto"/>
              </w:rPr>
            </w:pPr>
          </w:p>
        </w:tc>
        <w:tc>
          <w:tcPr>
            <w:tcW w:w="9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AMENDMENT NO. 3 TO THE GREEN THUMB INDUSTRIES INC. 2018 STOCK AND INCENTIVE PLAN</w:t>
            </w:r>
          </w:p>
        </w:tc>
      </w:tr>
      <w:tr>
        <w:trPr>
          <w:trHeight w:val="20"/>
        </w:trPr>
        <w:tc>
          <w:tcPr>
            <w:tcW w:w="8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434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44"/>
        </w:trPr>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440" w:type="dxa"/>
            <w:vAlign w:val="bottom"/>
          </w:tcPr>
          <w:p>
            <w:pPr>
              <w:spacing w:after="0"/>
              <w:rPr>
                <w:sz w:val="24"/>
                <w:szCs w:val="24"/>
                <w:color w:val="auto"/>
              </w:rPr>
            </w:pPr>
          </w:p>
        </w:tc>
        <w:tc>
          <w:tcPr>
            <w:tcW w:w="9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CERTIFICATE OF CHIEF EXECUTIVE OFFICER</w:t>
            </w:r>
          </w:p>
        </w:tc>
      </w:tr>
      <w:tr>
        <w:trPr>
          <w:trHeight w:val="20"/>
        </w:trPr>
        <w:tc>
          <w:tcPr>
            <w:tcW w:w="8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6060" w:type="dxa"/>
            <w:vAlign w:val="bottom"/>
            <w:tcBorders>
              <w:left w:val="single" w:sz="8" w:color="0000EE"/>
            </w:tcBorders>
            <w:gridSpan w:val="2"/>
          </w:tcPr>
          <w:p>
            <w:pPr>
              <w:spacing w:after="0" w:line="20" w:lineRule="exact"/>
              <w:rPr>
                <w:sz w:val="1"/>
                <w:szCs w:val="1"/>
                <w:color w:val="auto"/>
              </w:rPr>
            </w:pPr>
          </w:p>
        </w:tc>
      </w:tr>
      <w:tr>
        <w:trPr>
          <w:trHeight w:val="331"/>
        </w:trPr>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440" w:type="dxa"/>
            <w:vAlign w:val="bottom"/>
          </w:tcPr>
          <w:p>
            <w:pPr>
              <w:spacing w:after="0"/>
              <w:rPr>
                <w:sz w:val="24"/>
                <w:szCs w:val="24"/>
                <w:color w:val="auto"/>
              </w:rPr>
            </w:pPr>
          </w:p>
        </w:tc>
        <w:tc>
          <w:tcPr>
            <w:tcW w:w="9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CERTIFICATE OF CHIEF FINANCIAL OFFICER</w:t>
            </w:r>
          </w:p>
        </w:tc>
      </w:tr>
      <w:tr>
        <w:trPr>
          <w:trHeight w:val="20"/>
        </w:trPr>
        <w:tc>
          <w:tcPr>
            <w:tcW w:w="8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r>
      <w:tr>
        <w:trPr>
          <w:trHeight w:val="331"/>
        </w:trPr>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440" w:type="dxa"/>
            <w:vAlign w:val="bottom"/>
          </w:tcPr>
          <w:p>
            <w:pPr>
              <w:spacing w:after="0"/>
              <w:rPr>
                <w:sz w:val="24"/>
                <w:szCs w:val="24"/>
                <w:color w:val="auto"/>
              </w:rPr>
            </w:pPr>
          </w:p>
        </w:tc>
        <w:tc>
          <w:tcPr>
            <w:tcW w:w="9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p>
        </w:tc>
      </w:tr>
      <w:tr>
        <w:trPr>
          <w:trHeight w:val="20"/>
        </w:trPr>
        <w:tc>
          <w:tcPr>
            <w:tcW w:w="8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8140" w:type="dxa"/>
            <w:vAlign w:val="bottom"/>
            <w:gridSpan w:val="3"/>
            <w:shd w:val="clear" w:color="auto" w:fill="0000FF"/>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8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EE"/>
            </w:tcBorders>
            <w:shd w:val="clear" w:color="auto" w:fill="0000FF"/>
          </w:tcPr>
          <w:p>
            <w:pPr>
              <w:spacing w:after="0" w:line="20" w:lineRule="exact"/>
              <w:rPr>
                <w:sz w:val="1"/>
                <w:szCs w:val="1"/>
                <w:color w:val="auto"/>
              </w:rPr>
            </w:pPr>
          </w:p>
        </w:tc>
        <w:tc>
          <w:tcPr>
            <w:tcW w:w="8140" w:type="dxa"/>
            <w:vAlign w:val="bottom"/>
            <w:gridSpan w:val="3"/>
          </w:tcPr>
          <w:p>
            <w:pPr>
              <w:spacing w:after="0" w:line="20" w:lineRule="exact"/>
              <w:rPr>
                <w:sz w:val="1"/>
                <w:szCs w:val="1"/>
                <w:color w:val="auto"/>
              </w:rPr>
            </w:pPr>
          </w:p>
        </w:tc>
      </w:tr>
      <w:tr>
        <w:trPr>
          <w:trHeight w:val="331"/>
        </w:trPr>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440" w:type="dxa"/>
            <w:vAlign w:val="bottom"/>
          </w:tcPr>
          <w:p>
            <w:pPr>
              <w:spacing w:after="0"/>
              <w:rPr>
                <w:sz w:val="24"/>
                <w:szCs w:val="24"/>
                <w:color w:val="auto"/>
              </w:rPr>
            </w:pPr>
          </w:p>
        </w:tc>
        <w:tc>
          <w:tcPr>
            <w:tcW w:w="9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p>
        </w:tc>
      </w:tr>
      <w:tr>
        <w:trPr>
          <w:trHeight w:val="20"/>
        </w:trPr>
        <w:tc>
          <w:tcPr>
            <w:tcW w:w="8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9860" w:type="dxa"/>
            <w:vAlign w:val="bottom"/>
            <w:gridSpan w:val="4"/>
            <w:shd w:val="clear" w:color="auto" w:fill="0000FF"/>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8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EE"/>
            </w:tcBorders>
            <w:shd w:val="clear" w:color="auto" w:fill="0000FF"/>
          </w:tcPr>
          <w:p>
            <w:pPr>
              <w:spacing w:after="0" w:line="20" w:lineRule="exact"/>
              <w:rPr>
                <w:sz w:val="1"/>
                <w:szCs w:val="1"/>
                <w:color w:val="auto"/>
              </w:rPr>
            </w:pPr>
          </w:p>
        </w:tc>
        <w:tc>
          <w:tcPr>
            <w:tcW w:w="8140" w:type="dxa"/>
            <w:vAlign w:val="bottom"/>
            <w:gridSpan w:val="3"/>
          </w:tcPr>
          <w:p>
            <w:pPr>
              <w:spacing w:after="0" w:line="20" w:lineRule="exact"/>
              <w:rPr>
                <w:sz w:val="1"/>
                <w:szCs w:val="1"/>
                <w:color w:val="auto"/>
              </w:rPr>
            </w:pPr>
          </w:p>
        </w:tc>
      </w:tr>
      <w:tr>
        <w:trPr>
          <w:trHeight w:val="372"/>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40" w:type="dxa"/>
            <w:vAlign w:val="bottom"/>
          </w:tcPr>
          <w:p>
            <w:pPr>
              <w:spacing w:after="0"/>
              <w:rPr>
                <w:sz w:val="24"/>
                <w:szCs w:val="24"/>
                <w:color w:val="auto"/>
              </w:rPr>
            </w:pPr>
          </w:p>
        </w:tc>
        <w:tc>
          <w:tcPr>
            <w:tcW w:w="9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51"/>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101.Scs</w:t>
            </w:r>
          </w:p>
        </w:tc>
        <w:tc>
          <w:tcPr>
            <w:tcW w:w="440" w:type="dxa"/>
            <w:vAlign w:val="bottom"/>
          </w:tcPr>
          <w:p>
            <w:pPr>
              <w:spacing w:after="0"/>
              <w:rPr>
                <w:sz w:val="24"/>
                <w:szCs w:val="24"/>
                <w:color w:val="auto"/>
              </w:rPr>
            </w:pPr>
          </w:p>
        </w:tc>
        <w:tc>
          <w:tcPr>
            <w:tcW w:w="9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51"/>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40" w:type="dxa"/>
            <w:vAlign w:val="bottom"/>
          </w:tcPr>
          <w:p>
            <w:pPr>
              <w:spacing w:after="0"/>
              <w:rPr>
                <w:sz w:val="24"/>
                <w:szCs w:val="24"/>
                <w:color w:val="auto"/>
              </w:rPr>
            </w:pPr>
          </w:p>
        </w:tc>
        <w:tc>
          <w:tcPr>
            <w:tcW w:w="9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51"/>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40" w:type="dxa"/>
            <w:vAlign w:val="bottom"/>
          </w:tcPr>
          <w:p>
            <w:pPr>
              <w:spacing w:after="0"/>
              <w:rPr>
                <w:sz w:val="24"/>
                <w:szCs w:val="24"/>
                <w:color w:val="auto"/>
              </w:rPr>
            </w:pPr>
          </w:p>
        </w:tc>
        <w:tc>
          <w:tcPr>
            <w:tcW w:w="9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51"/>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40" w:type="dxa"/>
            <w:vAlign w:val="bottom"/>
          </w:tcPr>
          <w:p>
            <w:pPr>
              <w:spacing w:after="0"/>
              <w:rPr>
                <w:sz w:val="24"/>
                <w:szCs w:val="24"/>
                <w:color w:val="auto"/>
              </w:rPr>
            </w:pPr>
          </w:p>
        </w:tc>
        <w:tc>
          <w:tcPr>
            <w:tcW w:w="9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51"/>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40" w:type="dxa"/>
            <w:vAlign w:val="bottom"/>
          </w:tcPr>
          <w:p>
            <w:pPr>
              <w:spacing w:after="0"/>
              <w:rPr>
                <w:sz w:val="24"/>
                <w:szCs w:val="24"/>
                <w:color w:val="auto"/>
              </w:rPr>
            </w:pPr>
          </w:p>
        </w:tc>
        <w:tc>
          <w:tcPr>
            <w:tcW w:w="9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17" w:lineRule="exact"/>
        <w:rPr>
          <w:sz w:val="20"/>
          <w:szCs w:val="20"/>
          <w:color w:val="auto"/>
        </w:rPr>
      </w:pPr>
    </w:p>
    <w:p>
      <w:pPr>
        <w:ind w:left="5540" w:right="4940" w:hanging="5519"/>
        <w:spacing w:after="0" w:line="955" w:lineRule="auto"/>
        <w:tabs>
          <w:tab w:leader="none" w:pos="126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 Inline XBRL File)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5" w:right="439" w:bottom="1440" w:gutter="0" w:footer="0" w:header="0"/>
        </w:sectPr>
      </w:pPr>
    </w:p>
    <w:bookmarkStart w:id="40" w:name="page41"/>
    <w:bookmarkEnd w:id="40"/>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requirements of the Securities Exchange Act of 1934, the Company has duly caused this report to be signed on its behalf by the undersigned thereunto duly authorized.</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wp:posOffset>
            </wp:positionV>
            <wp:extent cx="28289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/s/Mathew Faulkner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wp:posOffset>
            </wp:positionV>
            <wp:extent cx="28289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Mathew Faulkner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81" w:right="619" w:bottom="1440" w:gutter="0" w:footer="0" w:header="0"/>
        </w:sectPr>
      </w:pPr>
    </w:p>
    <w:bookmarkStart w:id="41" w:name="page42"/>
    <w:bookmarkEnd w:id="41"/>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3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GREEN THUMB INDUSTRIES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2018 STOCK AND INCENTIVE PLAN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September 9, 2024, the Green Thumb Industries Inc. 2018 Stock and Incentive Plan (the “Plan”) is amended as follows:</w:t>
      </w:r>
    </w:p>
    <w:p>
      <w:pPr>
        <w:spacing w:after="0" w:line="225"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2(p) shall be deleted and replaced in its entirety with the following:</w:t>
      </w:r>
    </w:p>
    <w:p>
      <w:pPr>
        <w:spacing w:after="0" w:line="221" w:lineRule="exact"/>
        <w:rPr>
          <w:rFonts w:ascii="Times New Roman" w:cs="Times New Roman" w:eastAsia="Times New Roman" w:hAnsi="Times New Roman"/>
          <w:sz w:val="18"/>
          <w:szCs w:val="18"/>
          <w:color w:val="auto"/>
        </w:rPr>
      </w:pPr>
    </w:p>
    <w:p>
      <w:pPr>
        <w:jc w:val="both"/>
        <w:ind w:left="7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with respect to one Share as of any date shall mean (a) if the Shares are listed on any established stock exchange in the United States, the price of one Share at the close of the regular trading session of such exchange on such date, and if no sale of Shares shall have occurred on such date, on the preceding date on which there was a sale of Shares; (b) if the Shares are not so listed on any established stock exchange in the United States, the closing price quoted by the OTCQX Best Market on such date or, if there are no sale of Shares on such date, on the preceding date for which there was a sale of Shares; or (c) if the Shares are not publicly traded as of such date, the per share value of one Share, as determined by the Board, or any duly authorized Committee of the Board, in its sole discretion, by applying principles of valuation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1317625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Kovler, certify that:</w:t>
      </w:r>
    </w:p>
    <w:p>
      <w:pPr>
        <w:spacing w:after="0" w:line="117" w:lineRule="exact"/>
        <w:rPr>
          <w:sz w:val="20"/>
          <w:szCs w:val="20"/>
          <w:color w:val="auto"/>
        </w:rPr>
      </w:pPr>
    </w:p>
    <w:p>
      <w:pPr>
        <w:ind w:left="1140" w:hanging="504"/>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Green Thumb Industries Inc.;</w:t>
      </w:r>
    </w:p>
    <w:p>
      <w:pPr>
        <w:spacing w:after="0" w:line="117" w:lineRule="exact"/>
        <w:rPr>
          <w:rFonts w:ascii="Times New Roman" w:cs="Times New Roman" w:eastAsia="Times New Roman" w:hAnsi="Times New Roman"/>
          <w:sz w:val="18"/>
          <w:szCs w:val="18"/>
          <w:color w:val="auto"/>
        </w:rPr>
      </w:pPr>
    </w:p>
    <w:p>
      <w:pPr>
        <w:ind w:left="1140" w:right="100" w:hanging="504"/>
        <w:spacing w:after="0" w:line="266"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80" w:hanging="504"/>
        <w:spacing w:after="0" w:line="312" w:lineRule="auto"/>
        <w:tabs>
          <w:tab w:leader="none" w:pos="11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140" w:hanging="504"/>
        <w:spacing w:after="0" w:line="266"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2300" w:right="160" w:hanging="511"/>
        <w:spacing w:after="0" w:line="289" w:lineRule="auto"/>
        <w:tabs>
          <w:tab w:leader="none" w:pos="230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7"/>
          <w:szCs w:val="17"/>
          <w:color w:val="auto"/>
        </w:rPr>
      </w:pPr>
    </w:p>
    <w:p>
      <w:pPr>
        <w:ind w:left="2300" w:right="420" w:hanging="511"/>
        <w:spacing w:after="0" w:line="289" w:lineRule="auto"/>
        <w:tabs>
          <w:tab w:leader="none" w:pos="230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300" w:right="300" w:hanging="511"/>
        <w:spacing w:after="0" w:line="266" w:lineRule="auto"/>
        <w:tabs>
          <w:tab w:leader="none" w:pos="2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300" w:right="100" w:hanging="511"/>
        <w:spacing w:after="0" w:line="289" w:lineRule="auto"/>
        <w:tabs>
          <w:tab w:leader="none" w:pos="230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1140" w:right="300" w:hanging="504"/>
        <w:spacing w:after="0" w:line="266"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300" w:right="260" w:hanging="511"/>
        <w:spacing w:after="0" w:line="266" w:lineRule="auto"/>
        <w:tabs>
          <w:tab w:leader="none" w:pos="2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300" w:right="640" w:hanging="511"/>
        <w:spacing w:after="0" w:line="282" w:lineRule="auto"/>
        <w:tabs>
          <w:tab w:leader="none" w:pos="2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3" w:name="page44"/>
    <w:bookmarkEnd w:id="43"/>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Mathew Faulkner, certify that:</w:t>
      </w:r>
    </w:p>
    <w:p>
      <w:pPr>
        <w:spacing w:after="0" w:line="117" w:lineRule="exact"/>
        <w:rPr>
          <w:sz w:val="20"/>
          <w:szCs w:val="20"/>
          <w:color w:val="auto"/>
        </w:rPr>
      </w:pPr>
    </w:p>
    <w:p>
      <w:pPr>
        <w:ind w:left="1140" w:hanging="504"/>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Green Thumb Industries Inc.;</w:t>
      </w:r>
    </w:p>
    <w:p>
      <w:pPr>
        <w:spacing w:after="0" w:line="117" w:lineRule="exact"/>
        <w:rPr>
          <w:rFonts w:ascii="Times New Roman" w:cs="Times New Roman" w:eastAsia="Times New Roman" w:hAnsi="Times New Roman"/>
          <w:sz w:val="18"/>
          <w:szCs w:val="18"/>
          <w:color w:val="auto"/>
        </w:rPr>
      </w:pPr>
    </w:p>
    <w:p>
      <w:pPr>
        <w:ind w:left="1140" w:right="100" w:hanging="504"/>
        <w:spacing w:after="0" w:line="266"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80" w:hanging="504"/>
        <w:spacing w:after="0" w:line="312" w:lineRule="auto"/>
        <w:tabs>
          <w:tab w:leader="none" w:pos="11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140" w:hanging="504"/>
        <w:spacing w:after="0" w:line="266"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2300" w:right="160" w:hanging="511"/>
        <w:spacing w:after="0" w:line="289" w:lineRule="auto"/>
        <w:tabs>
          <w:tab w:leader="none" w:pos="230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7"/>
          <w:szCs w:val="17"/>
          <w:color w:val="auto"/>
        </w:rPr>
      </w:pPr>
    </w:p>
    <w:p>
      <w:pPr>
        <w:ind w:left="2300" w:right="420" w:hanging="511"/>
        <w:spacing w:after="0" w:line="289" w:lineRule="auto"/>
        <w:tabs>
          <w:tab w:leader="none" w:pos="230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300" w:right="300" w:hanging="511"/>
        <w:spacing w:after="0" w:line="266" w:lineRule="auto"/>
        <w:tabs>
          <w:tab w:leader="none" w:pos="2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300" w:right="100" w:hanging="511"/>
        <w:spacing w:after="0" w:line="289" w:lineRule="auto"/>
        <w:tabs>
          <w:tab w:leader="none" w:pos="230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1140" w:right="300" w:hanging="504"/>
        <w:spacing w:after="0" w:line="266"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300" w:right="260" w:hanging="511"/>
        <w:spacing w:after="0" w:line="266" w:lineRule="auto"/>
        <w:tabs>
          <w:tab w:leader="none" w:pos="2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300" w:right="640" w:hanging="511"/>
        <w:spacing w:after="0" w:line="282" w:lineRule="auto"/>
        <w:tabs>
          <w:tab w:leader="none" w:pos="2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/s/Mathew Faulkner</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Mathew Faulkner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Green Thumb Industries Inc. (the “Company”) on Form 10-Q for the three and nine months ended September 30, 2024 as filed with the Securities and Exchange Commission on the date hereof (the “Report”), I, Benjamin Kovler, Chief Executive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1" w:right="37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Green Thumb Industries Inc. (the “Company”) on Form 10-Q for the three and nine months ended September 30, 2024 as filed with the Securities and Exchange Commission on the date hereof (the “Report”), I, Mathew Faulkner, Chief Financial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/s/Mathew Faulkner</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Mathew Faulkner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1" w:right="37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lvl w:ilvl="1">
      <w:lvlJc w:val="left"/>
      <w:lvlText w:val="(%2)"/>
      <w:numFmt w:val="lowerLetter"/>
      <w:start w:val="1"/>
    </w:lvl>
  </w:abstractNum>
  <w:abstractNum w:abstractNumId="3">
    <w:nsid w:val="4353D0CD"/>
    <w:multiLevelType w:val="hybridMultilevel"/>
    <w:lvl w:ilvl="0">
      <w:lvlJc w:val="left"/>
      <w:lvlText w:val="(%1)"/>
      <w:numFmt w:val="lowerLetter"/>
      <w:start w:val="2"/>
    </w:lvl>
  </w:abstractNum>
  <w:abstractNum w:abstractNumId="4">
    <w:nsid w:val="B03E0C6"/>
    <w:multiLevelType w:val="hybridMultilevel"/>
    <w:lvl w:ilvl="0">
      <w:lvlJc w:val="left"/>
      <w:lvlText w:val="(%1)"/>
      <w:numFmt w:val="lowerLetter"/>
      <w:start w:val="3"/>
    </w:lvl>
  </w:abstractNum>
  <w:abstractNum w:abstractNumId="5">
    <w:nsid w:val="189A769B"/>
    <w:multiLevelType w:val="hybridMultilevel"/>
    <w:lvl w:ilvl="0">
      <w:lvlJc w:val="left"/>
      <w:lvlText w:val="(%1)"/>
      <w:numFmt w:val="lowerLetter"/>
      <w:start w:val="4"/>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lowerLetter"/>
      <w:start w:val="4"/>
    </w:lvl>
  </w:abstractNum>
  <w:abstractNum w:abstractNumId="8">
    <w:nsid w:val="2CA88611"/>
    <w:multiLevelType w:val="hybridMultilevel"/>
    <w:lvl w:ilvl="0">
      <w:lvlJc w:val="left"/>
      <w:lvlText w:val="(%1)"/>
      <w:numFmt w:val="lowerLetter"/>
      <w:start w:val="5"/>
    </w:lvl>
    <w:lvl w:ilvl="1">
      <w:lvlJc w:val="left"/>
      <w:lvlText w:val="(%2)"/>
      <w:numFmt w:val="lowerRoman"/>
      <w:start w:val="1"/>
    </w:lvl>
  </w:abstractNum>
  <w:abstractNum w:abstractNumId="9">
    <w:nsid w:val="836C40E"/>
    <w:multiLevelType w:val="hybridMultilevel"/>
    <w:lvl w:ilvl="0">
      <w:lvlJc w:val="left"/>
      <w:lvlText w:val="%1."/>
      <w:numFmt w:val="decimal"/>
      <w:start w:val="2"/>
    </w:lvl>
  </w:abstractNum>
  <w:abstractNum w:abstractNumId="10">
    <w:nsid w:val="2901D82"/>
    <w:multiLevelType w:val="hybridMultilevel"/>
    <w:lvl w:ilvl="0">
      <w:lvlJc w:val="left"/>
      <w:lvlText w:val="%1."/>
      <w:numFmt w:val="decimal"/>
      <w:start w:val="3"/>
    </w:lvl>
  </w:abstractNum>
  <w:abstractNum w:abstractNumId="11">
    <w:nsid w:val="3A95F874"/>
    <w:multiLevelType w:val="hybridMultilevel"/>
    <w:lvl w:ilvl="0">
      <w:lvlJc w:val="left"/>
      <w:lvlText w:val="%1."/>
      <w:numFmt w:val="decimal"/>
      <w:start w:val="4"/>
    </w:lvl>
    <w:lvl w:ilvl="1">
      <w:lvlJc w:val="left"/>
      <w:lvlText w:val="(%2)"/>
      <w:numFmt w:val="lowerLetter"/>
      <w:start w:val="1"/>
    </w:lvl>
  </w:abstractNum>
  <w:abstractNum w:abstractNumId="12">
    <w:nsid w:val="8138641"/>
    <w:multiLevelType w:val="hybridMultilevel"/>
    <w:lvl w:ilvl="0">
      <w:lvlJc w:val="left"/>
      <w:lvlText w:val="%1."/>
      <w:numFmt w:val="decimal"/>
      <w:start w:val="5"/>
    </w:lvl>
  </w:abstractNum>
  <w:abstractNum w:abstractNumId="13">
    <w:nsid w:val="1E7FF521"/>
    <w:multiLevelType w:val="hybridMultilevel"/>
    <w:lvl w:ilvl="0">
      <w:lvlJc w:val="left"/>
      <w:lvlText w:val="(%1)"/>
      <w:numFmt w:val="lowerLetter"/>
      <w:start w:val="1"/>
    </w:lvl>
  </w:abstractNum>
  <w:abstractNum w:abstractNumId="14">
    <w:nsid w:val="7C3DBD3D"/>
    <w:multiLevelType w:val="hybridMultilevel"/>
    <w:lvl w:ilvl="0">
      <w:lvlJc w:val="left"/>
      <w:lvlText w:val="%1."/>
      <w:numFmt w:val="decimal"/>
      <w:start w:val="5"/>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1."/>
      <w:numFmt w:val="decimal"/>
      <w:start w:val="5"/>
    </w:lvl>
  </w:abstractNum>
  <w:abstractNum w:abstractNumId="17">
    <w:nsid w:val="22221A70"/>
    <w:multiLevelType w:val="hybridMultilevel"/>
    <w:lvl w:ilvl="0">
      <w:lvlJc w:val="left"/>
      <w:lvlText w:val="%1."/>
      <w:numFmt w:val="decimal"/>
      <w:start w:val="6"/>
    </w:lvl>
  </w:abstractNum>
  <w:abstractNum w:abstractNumId="18">
    <w:nsid w:val="4516DDE9"/>
    <w:multiLevelType w:val="hybridMultilevel"/>
    <w:lvl w:ilvl="0">
      <w:lvlJc w:val="left"/>
      <w:lvlText w:val="(%1)"/>
      <w:numFmt w:val="lowerLetter"/>
      <w:start w:val="1"/>
    </w:lvl>
  </w:abstractNum>
  <w:abstractNum w:abstractNumId="19">
    <w:nsid w:val="3006C83E"/>
    <w:multiLevelType w:val="hybridMultilevel"/>
    <w:lvl w:ilvl="0">
      <w:lvlJc w:val="left"/>
      <w:lvlText w:val="(%1)"/>
      <w:numFmt w:val="lowerLetter"/>
      <w:start w:val="2"/>
    </w:lvl>
  </w:abstractNum>
  <w:abstractNum w:abstractNumId="20">
    <w:nsid w:val="614FD4A1"/>
    <w:multiLevelType w:val="hybridMultilevel"/>
    <w:lvl w:ilvl="0">
      <w:lvlJc w:val="left"/>
      <w:lvlText w:val="%1."/>
      <w:numFmt w:val="decimal"/>
      <w:start w:val="7"/>
    </w:lvl>
  </w:abstractNum>
  <w:abstractNum w:abstractNumId="21">
    <w:nsid w:val="419AC241"/>
    <w:multiLevelType w:val="hybridMultilevel"/>
    <w:lvl w:ilvl="0">
      <w:lvlJc w:val="left"/>
      <w:lvlText w:val="1"/>
      <w:numFmt w:val="bullet"/>
      <w:start w:val="1"/>
    </w:lvl>
  </w:abstractNum>
  <w:abstractNum w:abstractNumId="22">
    <w:nsid w:val="5577F8E1"/>
    <w:multiLevelType w:val="hybridMultilevel"/>
    <w:lvl w:ilvl="0">
      <w:lvlJc w:val="left"/>
      <w:lvlText w:val="2"/>
      <w:numFmt w:val="bullet"/>
      <w:start w:val="1"/>
    </w:lvl>
  </w:abstractNum>
  <w:abstractNum w:abstractNumId="23">
    <w:nsid w:val="440BADFC"/>
    <w:multiLevelType w:val="hybridMultilevel"/>
    <w:lvl w:ilvl="0">
      <w:lvlJc w:val="left"/>
      <w:lvlText w:val="3"/>
      <w:numFmt w:val="bullet"/>
      <w:start w:val="1"/>
    </w:lvl>
  </w:abstractNum>
  <w:abstractNum w:abstractNumId="24">
    <w:nsid w:val="5072367"/>
    <w:multiLevelType w:val="hybridMultilevel"/>
    <w:lvl w:ilvl="0">
      <w:lvlJc w:val="left"/>
      <w:lvlText w:val="(%1)"/>
      <w:numFmt w:val="lowerLetter"/>
    </w:lvl>
    <w:lvl w:ilvl="1">
      <w:lvlJc w:val="left"/>
      <w:lvlText w:val="4"/>
      <w:numFmt w:val="bullet"/>
      <w:start w:val="1"/>
    </w:lvl>
  </w:abstractNum>
  <w:abstractNum w:abstractNumId="25">
    <w:nsid w:val="3804823E"/>
    <w:multiLevelType w:val="hybridMultilevel"/>
    <w:lvl w:ilvl="0">
      <w:lvlJc w:val="left"/>
      <w:lvlText w:val="(%1)"/>
      <w:numFmt w:val="lowerLetter"/>
      <w:start w:val="2"/>
    </w:lvl>
  </w:abstractNum>
  <w:abstractNum w:abstractNumId="26">
    <w:nsid w:val="77465F01"/>
    <w:multiLevelType w:val="hybridMultilevel"/>
    <w:lvl w:ilvl="0">
      <w:lvlJc w:val="left"/>
      <w:lvlText w:val="%1."/>
      <w:numFmt w:val="decimal"/>
      <w:start w:val="8"/>
    </w:lvl>
  </w:abstractNum>
  <w:abstractNum w:abstractNumId="27">
    <w:nsid w:val="7724C67E"/>
    <w:multiLevelType w:val="hybridMultilevel"/>
    <w:lvl w:ilvl="0">
      <w:lvlJc w:val="left"/>
      <w:lvlText w:val="(%1)"/>
      <w:numFmt w:val="lowerLetter"/>
      <w:start w:val="1"/>
    </w:lvl>
  </w:abstractNum>
  <w:abstractNum w:abstractNumId="28">
    <w:nsid w:val="5C482A97"/>
    <w:multiLevelType w:val="hybridMultilevel"/>
    <w:lvl w:ilvl="0">
      <w:lvlJc w:val="left"/>
      <w:lvlText w:val="%1."/>
      <w:numFmt w:val="decimal"/>
      <w:start w:val="8"/>
    </w:lvl>
  </w:abstractNum>
  <w:abstractNum w:abstractNumId="29">
    <w:nsid w:val="2463B9EA"/>
    <w:multiLevelType w:val="hybridMultilevel"/>
    <w:lvl w:ilvl="0">
      <w:lvlJc w:val="left"/>
      <w:lvlText w:val="%1."/>
      <w:numFmt w:val="decimal"/>
      <w:start w:val="9"/>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1)"/>
      <w:numFmt w:val="lowerRoman"/>
      <w:start w:val="1"/>
    </w:lvl>
  </w:abstractNum>
  <w:abstractNum w:abstractNumId="32">
    <w:nsid w:val="2D517796"/>
    <w:multiLevelType w:val="hybridMultilevel"/>
    <w:lvl w:ilvl="0">
      <w:lvlJc w:val="left"/>
      <w:lvlText w:val="%1."/>
      <w:numFmt w:val="decimal"/>
      <w:start w:val="9"/>
    </w:lvl>
  </w:abstractNum>
  <w:abstractNum w:abstractNumId="33">
    <w:nsid w:val="580BD78F"/>
    <w:multiLevelType w:val="hybridMultilevel"/>
    <w:lvl w:ilvl="0">
      <w:lvlJc w:val="left"/>
      <w:lvlText w:val="%1."/>
      <w:numFmt w:val="decimal"/>
      <w:start w:val="9"/>
    </w:lvl>
    <w:lvl w:ilvl="1">
      <w:lvlJc w:val="left"/>
      <w:lvlText w:val="(%2)"/>
      <w:numFmt w:val="lowerLetter"/>
      <w:start w:val="3"/>
    </w:lvl>
  </w:abstractNum>
  <w:abstractNum w:abstractNumId="34">
    <w:nsid w:val="153EA438"/>
    <w:multiLevelType w:val="hybridMultilevel"/>
    <w:lvl w:ilvl="0">
      <w:lvlJc w:val="left"/>
      <w:lvlText w:val="%1."/>
      <w:numFmt w:val="decimal"/>
      <w:start w:val="10"/>
    </w:lvl>
  </w:abstractNum>
  <w:abstractNum w:abstractNumId="35">
    <w:nsid w:val="3855585C"/>
    <w:multiLevelType w:val="hybridMultilevel"/>
    <w:lvl w:ilvl="0">
      <w:lvlJc w:val="left"/>
      <w:lvlText w:val="%1."/>
      <w:numFmt w:val="decimal"/>
      <w:start w:val="11"/>
    </w:lvl>
  </w:abstractNum>
  <w:abstractNum w:abstractNumId="36">
    <w:nsid w:val="70A64E2A"/>
    <w:multiLevelType w:val="hybridMultilevel"/>
    <w:lvl w:ilvl="0">
      <w:lvlJc w:val="left"/>
      <w:lvlText w:val="%1."/>
      <w:numFmt w:val="decimal"/>
      <w:start w:val="12"/>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1."/>
      <w:numFmt w:val="decimal"/>
      <w:start w:val="13"/>
    </w:lvl>
  </w:abstractNum>
  <w:abstractNum w:abstractNumId="39">
    <w:nsid w:val="1D4ED43B"/>
    <w:multiLevelType w:val="hybridMultilevel"/>
    <w:lvl w:ilvl="0">
      <w:lvlJc w:val="left"/>
      <w:lvlText w:val="(%1)"/>
      <w:numFmt w:val="lowerLetter"/>
      <w:start w:val="1"/>
    </w:lvl>
  </w:abstractNum>
  <w:abstractNum w:abstractNumId="40">
    <w:nsid w:val="725A06FB"/>
    <w:multiLevelType w:val="hybridMultilevel"/>
    <w:lvl w:ilvl="0">
      <w:lvlJc w:val="left"/>
      <w:lvlText w:val="%1."/>
      <w:numFmt w:val="decimal"/>
      <w:start w:val="14"/>
    </w:lvl>
  </w:abstractNum>
  <w:abstractNum w:abstractNumId="41">
    <w:nsid w:val="2CD89A32"/>
    <w:multiLevelType w:val="hybridMultilevel"/>
    <w:lvl w:ilvl="0">
      <w:lvlJc w:val="left"/>
      <w:lvlText w:val="%1."/>
      <w:numFmt w:val="decimal"/>
      <w:start w:val="15"/>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04"/>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2024-11-08T05:32:38Z</dcterms:created>
  <dcterms:modified xsi:type="dcterms:W3CDTF">2024-11-08T05:32:38Z</dcterms:modified>
</cp:coreProperties>
</file>