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gtbif-20230331.htm"/>
      <w:bookmarkStart w:id="1" w:name="ksgtbif202303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spacing w:before="100" w:after="0"/>
        <w:jc w:val="center"/>
        <w:rPr>
          <w:rFonts w:ascii="Times New Roman" w:hAnsi="Times New Roman"/>
          <w:sz w:val="20"/>
        </w:rPr>
      </w:pPr>
      <w:r>
        <w:rPr>
          <w:rFonts w:ascii="Times New Roman;serif" w:hAnsi="Times New Roman;serif"/>
          <w:b/>
          <w:sz w:val="32"/>
        </w:rPr>
        <w:t>FORM 10-Q</w:t>
      </w:r>
      <w:r>
        <w:rPr>
          <w:rFonts w:ascii="Times New Roman" w:hAnsi="Times New Roman"/>
          <w:sz w:val="20"/>
        </w:rPr>
        <w:t xml:space="preserve"> </w:t>
      </w:r>
    </w:p>
    <w:p>
      <w:pPr>
        <w:pStyle w:val="TextBody"/>
        <w:spacing w:before="10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spacing w:before="100" w:after="0"/>
        <w:jc w:val="center"/>
        <w:rPr>
          <w:rFonts w:ascii="Times New Roman;serif" w:hAnsi="Times New Roman;serif"/>
          <w:b/>
          <w:sz w:val="16"/>
        </w:rPr>
      </w:pPr>
      <w:r>
        <w:rPr>
          <w:rFonts w:ascii="Times New Roman;serif" w:hAnsi="Times New Roman;serif"/>
          <w:b/>
          <w:sz w:val="16"/>
        </w:rPr>
        <w:t>For the quarterly period ended March 31, 2023</w:t>
      </w:r>
    </w:p>
    <w:p>
      <w:pPr>
        <w:pStyle w:val="TextBody"/>
        <w:spacing w:before="100" w:after="0"/>
        <w:jc w:val="center"/>
        <w:rPr>
          <w:rFonts w:ascii="Times New Roman" w:hAnsi="Times New Roman"/>
          <w:sz w:val="20"/>
        </w:rPr>
      </w:pPr>
      <w:r>
        <w:rPr>
          <w:rFonts w:ascii="Times New Roman;serif" w:hAnsi="Times New Roman;serif"/>
          <w:b/>
          <w:sz w:val="16"/>
        </w:rPr>
        <w:t>OR</w:t>
      </w:r>
      <w:r>
        <w:rPr>
          <w:rFonts w:ascii="Times New Roman" w:hAnsi="Times New Roman"/>
          <w:sz w:val="20"/>
        </w:rPr>
        <w:t xml:space="preserve"> </w:t>
      </w:r>
    </w:p>
    <w:p>
      <w:pPr>
        <w:pStyle w:val="TextBody"/>
        <w:spacing w:before="100" w:after="0"/>
        <w:jc w:val="left"/>
        <w:rPr/>
      </w:pPr>
      <w:r>
        <w:rPr/>
        <w:t xml:space="preserve">☐ </w:t>
      </w:r>
      <w:r>
        <w:rPr>
          <w:rFonts w:ascii="Times New Roman;serif" w:hAnsi="Times New Roman;serif"/>
          <w:b/>
          <w:sz w:val="20"/>
        </w:rPr>
        <w:t>TRANSITION REPORT PURSUANT TO SECTION 13 OR 15(d) OF THE SECURITIES EXCHANGE ACT OF 1934 For the transition period from to</w:t>
      </w:r>
      <w:r>
        <w:rPr>
          <w:rFonts w:ascii="Times New Roman" w:hAnsi="Times New Roman"/>
          <w:sz w:val="20"/>
        </w:rPr>
        <w:t xml:space="preserve"> </w:t>
      </w:r>
    </w:p>
    <w:p>
      <w:pPr>
        <w:pStyle w:val="TextBody"/>
        <w:spacing w:before="100" w:after="0"/>
        <w:jc w:val="center"/>
        <w:rPr/>
      </w:pPr>
      <w:r>
        <w:rPr/>
        <w:drawing>
          <wp:inline distT="0" distB="0" distL="0" distR="0">
            <wp:extent cx="4543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3425" cy="676275"/>
                    </a:xfrm>
                    <a:prstGeom prst="rect">
                      <a:avLst/>
                    </a:prstGeom>
                  </pic:spPr>
                </pic:pic>
              </a:graphicData>
            </a:graphic>
          </wp:inline>
        </w:drawing>
      </w:r>
      <w:r>
        <w:rPr/>
        <w:t> </w:t>
      </w:r>
    </w:p>
    <w:p>
      <w:pPr>
        <w:pStyle w:val="TextBody"/>
        <w:spacing w:before="80" w:after="0"/>
        <w:jc w:val="center"/>
        <w:rPr>
          <w:rFonts w:ascii="Times New Roman" w:hAnsi="Times New Roman"/>
          <w:sz w:val="20"/>
        </w:rPr>
      </w:pPr>
      <w:r>
        <w:rPr>
          <w:rFonts w:ascii="Times New Roman;serif" w:hAnsi="Times New Roman;serif"/>
          <w:b/>
          <w:sz w:val="16"/>
        </w:rPr>
        <w:t>Commission file number 000-56132</w:t>
      </w:r>
      <w:r>
        <w:rPr>
          <w:rFonts w:ascii="Times New Roman" w:hAnsi="Times New Roman"/>
          <w:sz w:val="20"/>
        </w:rPr>
        <w:t xml:space="preserve"> </w:t>
      </w:r>
    </w:p>
    <w:p>
      <w:pPr>
        <w:pStyle w:val="TextBody"/>
        <w:spacing w:before="100" w:after="0"/>
        <w:jc w:val="center"/>
        <w:rPr>
          <w:rFonts w:ascii="Times New Roman" w:hAnsi="Times New Roman"/>
          <w:sz w:val="20"/>
        </w:rPr>
      </w:pPr>
      <w:r>
        <w:rPr>
          <w:rFonts w:ascii="Times New Roman;serif" w:hAnsi="Times New Roman;serif"/>
          <w:b/>
          <w:sz w:val="44"/>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(Exact name of registrant as specified in its charter)</w:t>
      </w:r>
      <w:r>
        <w:rPr>
          <w:rFonts w:ascii="Times New Roman" w:hAnsi="Times New Roman"/>
          <w:sz w:val="20"/>
        </w:rPr>
        <w:t xml:space="preserve"> </w:t>
      </w:r>
    </w:p>
    <w:tbl>
      <w:tblPr>
        <w:tblW w:w="3197" w:type="dxa"/>
        <w:jc w:val="left"/>
        <w:tblInd w:w="0" w:type="dxa"/>
        <w:tblCellMar>
          <w:top w:w="28" w:type="dxa"/>
          <w:left w:w="28" w:type="dxa"/>
          <w:bottom w:w="28" w:type="dxa"/>
          <w:right w:w="28" w:type="dxa"/>
        </w:tblCellMar>
      </w:tblPr>
      <w:tblGrid>
        <w:gridCol w:w="2146"/>
        <w:gridCol w:w="1051"/>
      </w:tblGrid>
      <w:tr>
        <w:trPr/>
        <w:tc>
          <w:tcPr>
            <w:tcW w:w="21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British Columbia</w:t>
            </w:r>
          </w:p>
        </w:tc>
        <w:tc>
          <w:tcPr>
            <w:tcW w:w="105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98-1437430</w:t>
            </w:r>
          </w:p>
        </w:tc>
      </w:tr>
      <w:tr>
        <w:trPr/>
        <w:tc>
          <w:tcPr>
            <w:tcW w:w="2146" w:type="dxa"/>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(State or other jurisdiction of</w:t>
            </w:r>
          </w:p>
          <w:p>
            <w:pPr>
              <w:pStyle w:val="TableContents"/>
              <w:spacing w:before="0" w:after="20"/>
              <w:ind w:left="0" w:right="0" w:hanging="0"/>
              <w:jc w:val="center"/>
              <w:rPr>
                <w:rFonts w:ascii="Times New Roman;serif" w:hAnsi="Times New Roman;serif"/>
                <w:b/>
                <w:sz w:val="12"/>
              </w:rPr>
            </w:pPr>
            <w:r>
              <w:rPr>
                <w:rFonts w:ascii="Times New Roman;serif" w:hAnsi="Times New Roman;serif"/>
                <w:b/>
                <w:sz w:val="12"/>
              </w:rPr>
              <w:t>incorporation or organization)</w:t>
            </w:r>
          </w:p>
        </w:tc>
        <w:tc>
          <w:tcPr>
            <w:tcW w:w="1051" w:type="dxa"/>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(I.R.S. employer</w:t>
            </w:r>
          </w:p>
          <w:p>
            <w:pPr>
              <w:pStyle w:val="TableContents"/>
              <w:spacing w:before="0" w:after="20"/>
              <w:ind w:left="0" w:right="0" w:hanging="0"/>
              <w:jc w:val="center"/>
              <w:rPr>
                <w:rFonts w:ascii="Times New Roman;serif" w:hAnsi="Times New Roman;serif"/>
                <w:b/>
                <w:sz w:val="12"/>
              </w:rPr>
            </w:pPr>
            <w:r>
              <w:rPr>
                <w:rFonts w:ascii="Times New Roman;serif" w:hAnsi="Times New Roman;serif"/>
                <w:b/>
                <w:sz w:val="12"/>
              </w:rPr>
              <w:t>identification no.)</w:t>
            </w:r>
          </w:p>
        </w:tc>
      </w:tr>
      <w:tr>
        <w:trPr/>
        <w:tc>
          <w:tcPr>
            <w:tcW w:w="2146" w:type="dxa"/>
            <w:tcBorders/>
            <w:shd w:fill="auto" w:val="clear"/>
            <w:vAlign w:val="center"/>
          </w:tcPr>
          <w:p>
            <w:pPr>
              <w:pStyle w:val="TableContents"/>
              <w:spacing w:before="0" w:after="283"/>
              <w:ind w:left="0" w:right="0" w:hanging="0"/>
              <w:rPr>
                <w:sz w:val="4"/>
                <w:szCs w:val="4"/>
              </w:rPr>
            </w:pPr>
            <w:r>
              <w:rPr>
                <w:sz w:val="4"/>
                <w:szCs w:val="4"/>
              </w:rPr>
            </w:r>
          </w:p>
        </w:tc>
        <w:tc>
          <w:tcPr>
            <w:tcW w:w="1051" w:type="dxa"/>
            <w:tcBorders/>
            <w:shd w:fill="auto" w:val="clear"/>
            <w:vAlign w:val="center"/>
          </w:tcPr>
          <w:p>
            <w:pPr>
              <w:pStyle w:val="TableContents"/>
              <w:spacing w:before="0" w:after="283"/>
              <w:ind w:left="0" w:right="0" w:hanging="0"/>
              <w:rPr>
                <w:sz w:val="4"/>
                <w:szCs w:val="4"/>
              </w:rPr>
            </w:pPr>
            <w:r>
              <w:rPr>
                <w:sz w:val="4"/>
                <w:szCs w:val="4"/>
              </w:rPr>
            </w:r>
          </w:p>
        </w:tc>
      </w:tr>
      <w:tr>
        <w:trPr/>
        <w:tc>
          <w:tcPr>
            <w:tcW w:w="214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325 West Huron Street,</w:t>
            </w:r>
          </w:p>
          <w:p>
            <w:pPr>
              <w:pStyle w:val="TableContents"/>
              <w:spacing w:before="0" w:after="20"/>
              <w:ind w:left="0" w:right="0" w:hanging="0"/>
              <w:jc w:val="center"/>
              <w:rPr>
                <w:rFonts w:ascii="Times New Roman" w:hAnsi="Times New Roman"/>
                <w:sz w:val="20"/>
              </w:rPr>
            </w:pPr>
            <w:r>
              <w:rPr>
                <w:rFonts w:ascii="Times New Roman;serif" w:hAnsi="Times New Roman;serif"/>
                <w:b/>
                <w:sz w:val="16"/>
              </w:rPr>
              <w:t>Suite 700</w:t>
            </w:r>
            <w:r>
              <w:rPr>
                <w:rFonts w:ascii="Times New Roman" w:hAnsi="Times New Roman"/>
                <w:sz w:val="20"/>
              </w:rPr>
              <w:t xml:space="preserve"> </w:t>
            </w:r>
            <w:r>
              <w:rPr>
                <w:rFonts w:ascii="Times New Roman;serif" w:hAnsi="Times New Roman;serif"/>
                <w:b/>
                <w:sz w:val="16"/>
              </w:rPr>
              <w:t>Chicago, Illinois</w:t>
            </w:r>
          </w:p>
        </w:tc>
        <w:tc>
          <w:tcPr>
            <w:tcW w:w="105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60654</w:t>
            </w:r>
          </w:p>
        </w:tc>
      </w:tr>
      <w:tr>
        <w:trPr/>
        <w:tc>
          <w:tcPr>
            <w:tcW w:w="2146" w:type="dxa"/>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(Address of principal executive offices)</w:t>
            </w:r>
          </w:p>
        </w:tc>
        <w:tc>
          <w:tcPr>
            <w:tcW w:w="1051" w:type="dxa"/>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(zip code)</w:t>
            </w:r>
          </w:p>
        </w:tc>
      </w:tr>
    </w:tbl>
    <w:p>
      <w:pPr>
        <w:pStyle w:val="TextBody"/>
        <w:spacing w:before="100" w:after="0"/>
        <w:jc w:val="center"/>
        <w:rPr>
          <w:rFonts w:ascii="Times New Roman" w:hAnsi="Times New Roman"/>
          <w:sz w:val="20"/>
        </w:rPr>
      </w:pPr>
      <w:r>
        <w:rPr>
          <w:rFonts w:ascii="Times New Roman;serif" w:hAnsi="Times New Roman;serif"/>
          <w:b/>
          <w:sz w:val="16"/>
        </w:rPr>
        <w:t>Registrant’s telephone number, including area code - (312) 471-6720</w:t>
      </w:r>
      <w:r>
        <w:rPr>
          <w:rFonts w:ascii="Times New Roman" w:hAnsi="Times New Roman"/>
          <w:sz w:val="20"/>
        </w:rPr>
        <w:t xml:space="preserve"> </w:t>
      </w:r>
    </w:p>
    <w:p>
      <w:pPr>
        <w:pStyle w:val="TextBody"/>
        <w:spacing w:before="100" w:after="0"/>
        <w:jc w:val="center"/>
        <w:rPr>
          <w:rFonts w:ascii="Times New Roman" w:hAnsi="Times New Roman"/>
          <w:sz w:val="20"/>
        </w:rPr>
      </w:pPr>
      <w:r>
        <w:rPr>
          <w:rFonts w:ascii="Times New Roman;serif" w:hAnsi="Times New Roman;serif"/>
          <w:b/>
          <w:sz w:val="16"/>
        </w:rPr>
        <w:t>Securities registered pursuant to Section 12(g) of the Act:</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Subordinate Voting Shares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Multiple Voting Shares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Super Voting Shares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2"/>
        </w:rPr>
        <w:t>(Title of each Class)</w:t>
      </w:r>
      <w:r>
        <w:rPr>
          <w:rFonts w:ascii="Times New Roman" w:hAnsi="Times New Roman"/>
          <w:sz w:val="20"/>
        </w:rPr>
        <w:t xml:space="preserve"> </w:t>
      </w:r>
    </w:p>
    <w:p>
      <w:pPr>
        <w:pStyle w:val="TextBody"/>
        <w:spacing w:before="100" w:after="0"/>
        <w:jc w:val="left"/>
        <w:rPr>
          <w:rFonts w:ascii="Times New Roman" w:hAnsi="Times New Roman"/>
          <w:sz w:val="20"/>
        </w:rPr>
      </w:pPr>
      <w:r>
        <w:rPr>
          <w:rFonts w:ascii="Times New Roman;serif" w:hAnsi="Times New Roman;serif"/>
          <w:b w:val="false"/>
          <w:sz w:val="16"/>
        </w:rPr>
        <w:t>Indicate by check mark if the registrant is a well-known seasoned issuer, as defined in Rule 405 of the Securities Act. Yes ☒ No ☐</w:t>
      </w:r>
      <w:r>
        <w:rPr>
          <w:rFonts w:ascii="Times New Roman" w:hAnsi="Times New Roman"/>
          <w:sz w:val="20"/>
        </w:rPr>
        <w:t xml:space="preserve"> </w:t>
      </w:r>
    </w:p>
    <w:p>
      <w:pPr>
        <w:pStyle w:val="TextBody"/>
        <w:spacing w:before="100" w:after="0"/>
        <w:jc w:val="left"/>
        <w:rPr>
          <w:rFonts w:ascii="Times New Roman" w:hAnsi="Times New Roman"/>
          <w:sz w:val="20"/>
        </w:rPr>
      </w:pPr>
      <w:r>
        <w:rPr>
          <w:rFonts w:ascii="Times New Roman;serif" w:hAnsi="Times New Roman;serif"/>
          <w:b w:val="false"/>
          <w:sz w:val="16"/>
        </w:rPr>
        <w:t>Indicate by check mark if the registrant is not required to file reports pursuant to Section 13 or Section 15(d) of the Act. Yes ☐ No ☒</w:t>
      </w:r>
      <w:r>
        <w:rPr>
          <w:rFonts w:ascii="Times New Roman" w:hAnsi="Times New Roman"/>
          <w:sz w:val="20"/>
        </w:rPr>
        <w:t xml:space="preserve"> </w:t>
      </w:r>
    </w:p>
    <w:p>
      <w:pPr>
        <w:pStyle w:val="TextBody"/>
        <w:spacing w:before="10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w:t>
      </w:r>
      <w:r>
        <w:rPr>
          <w:rFonts w:ascii="Times New Roman" w:hAnsi="Times New Roman"/>
          <w:sz w:val="20"/>
        </w:rPr>
        <w:t xml:space="preserve"> ☒ </w:t>
      </w:r>
      <w:r>
        <w:rPr>
          <w:rFonts w:ascii="Times New Roman;serif" w:hAnsi="Times New Roman;serif"/>
          <w:b w:val="false"/>
          <w:sz w:val="16"/>
        </w:rPr>
        <w:t>No ☐</w:t>
      </w:r>
      <w:r>
        <w:rPr>
          <w:rFonts w:ascii="Times New Roman" w:hAnsi="Times New Roman"/>
          <w:sz w:val="20"/>
        </w:rPr>
        <w:t xml:space="preserve"> </w:t>
      </w:r>
    </w:p>
    <w:p>
      <w:pPr>
        <w:pStyle w:val="TextBody"/>
        <w:spacing w:before="10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No ☐</w:t>
      </w:r>
      <w:r>
        <w:rPr>
          <w:rFonts w:ascii="Times New Roman" w:hAnsi="Times New Roman"/>
          <w:sz w:val="20"/>
        </w:rPr>
        <w:t xml:space="preserve"> </w:t>
      </w:r>
    </w:p>
    <w:p>
      <w:pPr>
        <w:pStyle w:val="TextBody"/>
        <w:spacing w:before="100" w:after="0"/>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4729" w:type="dxa"/>
        <w:jc w:val="left"/>
        <w:tblInd w:w="0" w:type="dxa"/>
        <w:tblCellMar>
          <w:top w:w="28" w:type="dxa"/>
          <w:left w:w="28" w:type="dxa"/>
          <w:bottom w:w="28" w:type="dxa"/>
          <w:right w:w="28" w:type="dxa"/>
        </w:tblCellMar>
      </w:tblPr>
      <w:tblGrid>
        <w:gridCol w:w="2041"/>
        <w:gridCol w:w="316"/>
        <w:gridCol w:w="2011"/>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204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201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204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201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316" w:type="dxa"/>
            <w:tcBorders/>
            <w:shd w:fill="auto" w:val="clear"/>
            <w:vAlign w:val="center"/>
          </w:tcPr>
          <w:p>
            <w:pPr>
              <w:pStyle w:val="TableContents"/>
              <w:spacing w:before="0" w:after="0"/>
              <w:ind w:left="0" w:right="0" w:hanging="0"/>
              <w:jc w:val="left"/>
              <w:rPr/>
            </w:pPr>
            <w:r>
              <w:rPr/>
              <w:t>☐</w:t>
            </w:r>
          </w:p>
        </w:tc>
        <w:tc>
          <w:tcPr>
            <w:tcW w:w="20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100" w:after="0"/>
        <w:jc w:val="left"/>
        <w:rPr>
          <w:rFonts w:ascii="Times New Roman" w:hAnsi="Times New Roman"/>
          <w:sz w:val="20"/>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10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Act). Yes </w:t>
      </w:r>
      <w:r>
        <w:rPr>
          <w:rFonts w:ascii="Times New Roman" w:hAnsi="Times New Roman"/>
          <w:sz w:val="20"/>
        </w:rPr>
        <w:t xml:space="preserve">☐ </w:t>
      </w:r>
      <w:r>
        <w:rPr>
          <w:rFonts w:ascii="Times New Roman;serif" w:hAnsi="Times New Roman;serif"/>
          <w:b w:val="false"/>
          <w:sz w:val="16"/>
        </w:rPr>
        <w:t>No ☒</w:t>
      </w:r>
      <w:r>
        <w:rPr>
          <w:rFonts w:ascii="Times New Roman" w:hAnsi="Times New Roman"/>
          <w:sz w:val="20"/>
        </w:rPr>
        <w:t xml:space="preserve"> </w:t>
      </w:r>
    </w:p>
    <w:p>
      <w:pPr>
        <w:pStyle w:val="TextBody"/>
        <w:spacing w:before="100" w:after="0"/>
        <w:jc w:val="left"/>
        <w:rPr>
          <w:rFonts w:ascii="Times New Roman" w:hAnsi="Times New Roman"/>
          <w:sz w:val="20"/>
        </w:rPr>
      </w:pPr>
      <w:r>
        <w:rPr>
          <w:rFonts w:ascii="Times New Roman;serif" w:hAnsi="Times New Roman;serif"/>
          <w:b w:val="false"/>
          <w:sz w:val="16"/>
        </w:rPr>
        <w:t>As of May 1, 2023 there were 207,989,463</w:t>
      </w:r>
      <w:r>
        <w:rPr>
          <w:rFonts w:ascii="Times New Roman" w:hAnsi="Times New Roman"/>
          <w:sz w:val="20"/>
        </w:rPr>
        <w:t xml:space="preserve"> </w:t>
      </w:r>
      <w:r>
        <w:rPr>
          <w:rFonts w:ascii="Times New Roman;serif" w:hAnsi="Times New Roman;serif"/>
          <w:b w:val="false"/>
          <w:sz w:val="16"/>
        </w:rPr>
        <w:t>shares of the registrant’s Subordinate Voting Shares, 3,853,100</w:t>
      </w:r>
      <w:r>
        <w:rPr>
          <w:rFonts w:ascii="Times New Roman" w:hAnsi="Times New Roman"/>
          <w:sz w:val="20"/>
        </w:rPr>
        <w:t xml:space="preserve"> </w:t>
      </w:r>
      <w:r>
        <w:rPr>
          <w:rFonts w:ascii="Times New Roman;serif" w:hAnsi="Times New Roman;serif"/>
          <w:b w:val="false"/>
          <w:sz w:val="16"/>
        </w:rPr>
        <w:t>shares of the registrant’s Multiple Voting Shares (on an as converted basis) and 25,169,000</w:t>
      </w:r>
      <w:r>
        <w:rPr>
          <w:rFonts w:ascii="Times New Roman" w:hAnsi="Times New Roman"/>
          <w:sz w:val="20"/>
        </w:rPr>
        <w:t xml:space="preserve"> </w:t>
      </w:r>
      <w:r>
        <w:rPr>
          <w:rFonts w:ascii="Times New Roman;serif" w:hAnsi="Times New Roman;serif"/>
          <w:b w:val="false"/>
          <w:sz w:val="16"/>
        </w:rPr>
        <w:t>shares of the registrant’s Super Voting Shares (on an as converted basis).</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QUARTERLY REPORT ON FORM 10-Q</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FOR THE QUARTERLY PERIOD ENDED March 31, 2023</w:t>
      </w:r>
      <w:r>
        <w:rPr>
          <w:rFonts w:ascii="Times New Roman" w:hAnsi="Times New Roman"/>
          <w:sz w:val="20"/>
        </w:rPr>
        <w:t xml:space="preserve"> </w:t>
      </w:r>
    </w:p>
    <w:p>
      <w:pPr>
        <w:pStyle w:val="TextBody"/>
        <w:spacing w:before="240" w:after="0"/>
        <w:jc w:val="center"/>
        <w:rPr>
          <w:rFonts w:ascii="Times New Roman" w:hAnsi="Times New Roman"/>
          <w:sz w:val="20"/>
        </w:rPr>
      </w:pPr>
      <w:bookmarkStart w:id="2" w:name="toc"/>
      <w:bookmarkEnd w:id="2"/>
      <w:r>
        <w:rPr>
          <w:rFonts w:ascii="Times New Roman;serif" w:hAnsi="Times New Roman;serif"/>
          <w:b/>
          <w:sz w:val="20"/>
        </w:rPr>
        <w:t>TABLE OF CONTENTS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462"/>
        <w:gridCol w:w="8231"/>
        <w:gridCol w:w="512"/>
      </w:tblGrid>
      <w:tr>
        <w:trPr/>
        <w:tc>
          <w:tcPr>
            <w:tcW w:w="1462" w:type="dxa"/>
            <w:tcBorders/>
            <w:shd w:fill="auto" w:val="clear"/>
            <w:vAlign w:val="center"/>
          </w:tcPr>
          <w:p>
            <w:pPr>
              <w:pStyle w:val="TableContents"/>
              <w:spacing w:before="0" w:after="283"/>
              <w:rPr>
                <w:sz w:val="4"/>
                <w:szCs w:val="4"/>
              </w:rPr>
            </w:pPr>
            <w:r>
              <w:rPr>
                <w:sz w:val="4"/>
                <w:szCs w:val="4"/>
              </w:rPr>
            </w:r>
          </w:p>
        </w:tc>
        <w:tc>
          <w:tcPr>
            <w:tcW w:w="823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9693" w:type="dxa"/>
            <w:gridSpan w:val="2"/>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FINANCIAL</w:t>
            </w:r>
          </w:p>
          <w:p>
            <w:pPr>
              <w:pStyle w:val="TableContents"/>
              <w:spacing w:before="0" w:after="20"/>
              <w:ind w:left="0" w:right="0" w:hanging="0"/>
              <w:jc w:val="left"/>
              <w:rPr>
                <w:rFonts w:ascii="Times New Roman;serif" w:hAnsi="Times New Roman;serif"/>
                <w:b/>
                <w:sz w:val="16"/>
              </w:rPr>
            </w:pPr>
            <w:r>
              <w:rPr>
                <w:rFonts w:ascii="Times New Roman;serif" w:hAnsi="Times New Roman;serif"/>
                <w:b/>
                <w:sz w:val="16"/>
              </w:rPr>
              <w:t>INFORMATION</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146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Part I</w:t>
            </w:r>
          </w:p>
        </w:tc>
        <w:tc>
          <w:tcPr>
            <w:tcW w:w="51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462" w:type="dxa"/>
            <w:tcBorders/>
            <w:shd w:fill="auto" w:val="clear"/>
            <w:vAlign w:val="center"/>
          </w:tcPr>
          <w:p>
            <w:pPr>
              <w:pStyle w:val="TableContents"/>
              <w:spacing w:before="0" w:after="0"/>
              <w:ind w:left="0" w:right="0" w:hanging="0"/>
              <w:jc w:val="left"/>
              <w:rPr/>
            </w:pPr>
            <w:hyperlink w:anchor="balance_sheets">
              <w:r>
                <w:rPr>
                  <w:rStyle w:val="InternetLink"/>
                  <w:rFonts w:ascii="Times New Roman;serif" w:hAnsi="Times New Roman;serif"/>
                  <w:b/>
                  <w:sz w:val="20"/>
                  <w:u w:val="single"/>
                </w:rPr>
                <w:t>ITEM 1:</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Unaudited Interim Condensed Consolidated Balance Sheets as of March 31, 2023 and December 31, 2022</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146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Unaudited Interim Condensed Consolidated Statements of Operations for the three months ended March 31, 2023 and 2022</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46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Unaudited Interim Condensed Consolidated Statements of Changes in Shareholders’ Equity for the three months ended March 31, 2023 and 2022</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146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Unaudited Interim Condensed Consolidated Statements of Cash Flows for the three months ended March 31, 2023 and 2022</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146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Notes to Unaudited Interim Condensed Consolidated Financial Statements</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1462" w:type="dxa"/>
            <w:tcBorders/>
            <w:shd w:fill="auto" w:val="clear"/>
            <w:vAlign w:val="center"/>
          </w:tcPr>
          <w:p>
            <w:pPr>
              <w:pStyle w:val="TableContents"/>
              <w:spacing w:before="0" w:after="0"/>
              <w:ind w:left="0" w:right="0" w:hanging="0"/>
              <w:jc w:val="left"/>
              <w:rPr/>
            </w:pPr>
            <w:hyperlink w:anchor="item2_mda">
              <w:r>
                <w:rPr>
                  <w:rStyle w:val="InternetLink"/>
                  <w:rFonts w:ascii="Times New Roman;serif" w:hAnsi="Times New Roman;serif"/>
                  <w:b/>
                  <w:sz w:val="20"/>
                  <w:u w:val="single"/>
                </w:rPr>
                <w:t>ITEM 2:</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Management’s Discussion and Analysis of Financial Condition and Results of Operations</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1462" w:type="dxa"/>
            <w:tcBorders/>
            <w:shd w:fill="auto" w:val="clear"/>
            <w:vAlign w:val="center"/>
          </w:tcPr>
          <w:p>
            <w:pPr>
              <w:pStyle w:val="TableContents"/>
              <w:spacing w:before="0" w:after="0"/>
              <w:ind w:left="0" w:right="0" w:hanging="0"/>
              <w:jc w:val="left"/>
              <w:rPr/>
            </w:pPr>
            <w:hyperlink w:anchor="quant_and_qual_disclosure_market_risk">
              <w:r>
                <w:rPr>
                  <w:rStyle w:val="InternetLink"/>
                  <w:rFonts w:ascii="Times New Roman;serif" w:hAnsi="Times New Roman;serif"/>
                  <w:b/>
                  <w:sz w:val="20"/>
                  <w:u w:val="single"/>
                </w:rPr>
                <w:t>ITEM 3:</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Quantitative and Qualitative Disclosure About Market Risk</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1462" w:type="dxa"/>
            <w:tcBorders/>
            <w:shd w:fill="auto" w:val="clear"/>
            <w:vAlign w:val="center"/>
          </w:tcPr>
          <w:p>
            <w:pPr>
              <w:pStyle w:val="TableContents"/>
              <w:spacing w:before="0" w:after="0"/>
              <w:ind w:left="0" w:right="0" w:hanging="0"/>
              <w:jc w:val="left"/>
              <w:rPr/>
            </w:pPr>
            <w:hyperlink w:anchor="controls_and_procedures">
              <w:r>
                <w:rPr>
                  <w:rStyle w:val="InternetLink"/>
                  <w:rFonts w:ascii="Times New Roman;serif" w:hAnsi="Times New Roman;serif"/>
                  <w:b/>
                  <w:sz w:val="20"/>
                  <w:u w:val="single"/>
                </w:rPr>
                <w:t>ITEM 4:</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Controls and Procedures</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146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Part II</w:t>
            </w:r>
          </w:p>
        </w:tc>
        <w:tc>
          <w:tcPr>
            <w:tcW w:w="51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46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w:t>
            </w:r>
          </w:p>
          <w:p>
            <w:pPr>
              <w:pStyle w:val="TableContents"/>
              <w:pBdr/>
              <w:spacing w:before="0" w:after="20"/>
              <w:ind w:left="0" w:right="0" w:hanging="240"/>
              <w:jc w:val="left"/>
              <w:rPr>
                <w:rFonts w:ascii="Times New Roman;serif" w:hAnsi="Times New Roman;serif"/>
                <w:b/>
                <w:sz w:val="20"/>
              </w:rPr>
            </w:pPr>
            <w:r>
              <w:rPr>
                <w:rFonts w:ascii="Times New Roman;serif" w:hAnsi="Times New Roman;serif"/>
                <w:b/>
                <w:sz w:val="20"/>
              </w:rPr>
              <w:t>INFORMATION</w:t>
            </w:r>
          </w:p>
        </w:tc>
        <w:tc>
          <w:tcPr>
            <w:tcW w:w="82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462" w:type="dxa"/>
            <w:tcBorders/>
            <w:shd w:fill="auto" w:val="clear"/>
            <w:vAlign w:val="center"/>
          </w:tcPr>
          <w:p>
            <w:pPr>
              <w:pStyle w:val="TableContents"/>
              <w:spacing w:before="0" w:after="0"/>
              <w:ind w:left="0" w:right="0" w:hanging="0"/>
              <w:jc w:val="left"/>
              <w:rPr/>
            </w:pPr>
            <w:hyperlink w:anchor="partii_item1_legal_proceedings">
              <w:r>
                <w:rPr>
                  <w:rStyle w:val="InternetLink"/>
                  <w:rFonts w:ascii="Times New Roman;serif" w:hAnsi="Times New Roman;serif"/>
                  <w:b/>
                  <w:sz w:val="20"/>
                  <w:u w:val="single"/>
                </w:rPr>
                <w:t>ITEM 1:</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Legal Proceedings</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1462" w:type="dxa"/>
            <w:tcBorders/>
            <w:shd w:fill="auto" w:val="clear"/>
            <w:vAlign w:val="center"/>
          </w:tcPr>
          <w:p>
            <w:pPr>
              <w:pStyle w:val="TableContents"/>
              <w:spacing w:before="0" w:after="0"/>
              <w:ind w:left="0" w:right="0" w:hanging="0"/>
              <w:jc w:val="left"/>
              <w:rPr/>
            </w:pPr>
            <w:hyperlink w:anchor="partii_item1a_risk_factors">
              <w:r>
                <w:rPr>
                  <w:rStyle w:val="InternetLink"/>
                  <w:rFonts w:ascii="Times New Roman;serif" w:hAnsi="Times New Roman;serif"/>
                  <w:b/>
                  <w:sz w:val="20"/>
                  <w:u w:val="single"/>
                </w:rPr>
                <w:t>ITEM 1a:</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 Factors</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1462" w:type="dxa"/>
            <w:tcBorders/>
            <w:shd w:fill="auto" w:val="clear"/>
            <w:vAlign w:val="center"/>
          </w:tcPr>
          <w:p>
            <w:pPr>
              <w:pStyle w:val="TableContents"/>
              <w:spacing w:before="0" w:after="0"/>
              <w:ind w:left="0" w:right="0" w:hanging="0"/>
              <w:jc w:val="left"/>
              <w:rPr/>
            </w:pPr>
            <w:hyperlink w:anchor="partii_item2_sale_of_unregistered_securi">
              <w:r>
                <w:rPr>
                  <w:rStyle w:val="InternetLink"/>
                  <w:rFonts w:ascii="Times New Roman;serif" w:hAnsi="Times New Roman;serif"/>
                  <w:b/>
                  <w:sz w:val="20"/>
                  <w:u w:val="single"/>
                </w:rPr>
                <w:t>ITEM 2:</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 of Unregistered Securities</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1462" w:type="dxa"/>
            <w:tcBorders/>
            <w:shd w:fill="auto" w:val="clear"/>
            <w:vAlign w:val="center"/>
          </w:tcPr>
          <w:p>
            <w:pPr>
              <w:pStyle w:val="TableContents"/>
              <w:spacing w:before="0" w:after="0"/>
              <w:ind w:left="0" w:right="0" w:hanging="0"/>
              <w:jc w:val="left"/>
              <w:rPr/>
            </w:pPr>
            <w:hyperlink w:anchor="partii_item3_defaults_upon_senior_securi">
              <w:r>
                <w:rPr>
                  <w:rStyle w:val="InternetLink"/>
                  <w:rFonts w:ascii="Times New Roman;serif" w:hAnsi="Times New Roman;serif"/>
                  <w:b/>
                  <w:sz w:val="20"/>
                  <w:u w:val="single"/>
                </w:rPr>
                <w:t>ITEM 3:</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Defaults Upon Senior Securities</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1462" w:type="dxa"/>
            <w:tcBorders/>
            <w:shd w:fill="auto" w:val="clear"/>
            <w:vAlign w:val="center"/>
          </w:tcPr>
          <w:p>
            <w:pPr>
              <w:pStyle w:val="TableContents"/>
              <w:spacing w:before="0" w:after="0"/>
              <w:ind w:left="0" w:right="0" w:hanging="0"/>
              <w:jc w:val="left"/>
              <w:rPr/>
            </w:pPr>
            <w:hyperlink w:anchor="partii_item4_mine_safety_disclosure">
              <w:r>
                <w:rPr>
                  <w:rStyle w:val="InternetLink"/>
                  <w:rFonts w:ascii="Times New Roman;serif" w:hAnsi="Times New Roman;serif"/>
                  <w:b/>
                  <w:sz w:val="20"/>
                  <w:u w:val="single"/>
                </w:rPr>
                <w:t>ITEM 4:</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Mine Safety Disclosure</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1462" w:type="dxa"/>
            <w:tcBorders/>
            <w:shd w:fill="auto" w:val="clear"/>
            <w:vAlign w:val="center"/>
          </w:tcPr>
          <w:p>
            <w:pPr>
              <w:pStyle w:val="TableContents"/>
              <w:spacing w:before="0" w:after="0"/>
              <w:ind w:left="0" w:right="0" w:hanging="0"/>
              <w:jc w:val="left"/>
              <w:rPr/>
            </w:pPr>
            <w:hyperlink w:anchor="partii_item5_other_information">
              <w:r>
                <w:rPr>
                  <w:rStyle w:val="InternetLink"/>
                  <w:rFonts w:ascii="Times New Roman;serif" w:hAnsi="Times New Roman;serif"/>
                  <w:b/>
                  <w:sz w:val="20"/>
                  <w:u w:val="single"/>
                </w:rPr>
                <w:t>ITEM 5:</w:t>
              </w:r>
            </w:hyperlink>
          </w:p>
        </w:tc>
        <w:tc>
          <w:tcPr>
            <w:tcW w:w="82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Other Information</w:t>
            </w:r>
            <w:r>
              <w:rPr>
                <w:rFonts w:ascii="Times New Roman" w:hAnsi="Times New Roman"/>
                <w:sz w:val="20"/>
              </w:rPr>
              <w:t xml:space="preserve"> </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1462" w:type="dxa"/>
            <w:tcBorders/>
            <w:shd w:fill="auto" w:val="clear"/>
            <w:vAlign w:val="center"/>
          </w:tcPr>
          <w:p>
            <w:pPr>
              <w:pStyle w:val="TableContents"/>
              <w:spacing w:before="0" w:after="0"/>
              <w:ind w:left="0" w:right="0" w:hanging="0"/>
              <w:jc w:val="left"/>
              <w:rPr/>
            </w:pPr>
            <w:hyperlink w:anchor="partii_item6_exhibits">
              <w:r>
                <w:rPr>
                  <w:rStyle w:val="InternetLink"/>
                  <w:rFonts w:ascii="Times New Roman;serif" w:hAnsi="Times New Roman;serif"/>
                  <w:b/>
                  <w:sz w:val="20"/>
                  <w:u w:val="single"/>
                </w:rPr>
                <w:t>ITEM 6:</w:t>
              </w:r>
            </w:hyperlink>
          </w:p>
        </w:tc>
        <w:tc>
          <w:tcPr>
            <w:tcW w:w="8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Exhibits</w:t>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1462" w:type="dxa"/>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sz w:val="20"/>
                  <w:u w:val="single"/>
                </w:rPr>
                <w:t>Signatures</w:t>
              </w:r>
            </w:hyperlink>
          </w:p>
        </w:tc>
        <w:tc>
          <w:tcPr>
            <w:tcW w:w="82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2"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36</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Use of Names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this Quarterly Report on Form 10-Q, unless the context otherwise requires, the terms “we,” “us,” “our,” “Company,” “Corporation” or “Green Thumb” refer to Green Thumb Industries Inc. together with its wholly-owned subsidiaries.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Currency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Unless otherwise indicated, all references to “$” or “US$” in this document refer to United States dollars, and all references to “C$” refer to Canadian dollars.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Disclosure Regarding Forward-Looking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faces intense competition; the Company faces competition from irregulated products; the Company is dependent upon the popularity and consumer acceptance of its brand portfolio; the Company lacks access to U.S. bankruptcy protections; the Company operates in a highly regulated sector and may not always succeed in complying fully with applicable regulatory requirements in all jurisdictions where the Company carries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Company’s business is subject to the risks inherent in agricultural operations;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business;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issuances of substantial amounts of Super Voting Shares, Multiple Voting Shares or Subordinate Voting Shares may result in dilution and further information on these and other potential factors that could affect the Company’s business and financial condition and the results of operations are included in the “Risk Factors” section of the Company’s Annual Report on Form 10-K for the year ended December 31, 2022, and elsewhere in the Company’s filings with the SEC, which are available on the SEC’s website or at </w:t>
      </w:r>
      <w:r>
        <w:rPr>
          <w:rFonts w:ascii="Times New Roman;serif" w:hAnsi="Times New Roman;serif"/>
          <w:b w:val="false"/>
          <w:i/>
          <w:sz w:val="20"/>
          <w:u w:val="single"/>
        </w:rPr>
        <w:t>https://investors.gtigrows.com</w:t>
      </w:r>
      <w:r>
        <w:rPr>
          <w:rFonts w:ascii="Times New Roman;serif" w:hAnsi="Times New Roman;serif"/>
          <w:b w:val="false"/>
          <w:i/>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Unaudited Interim Condensed Consolidated Balance Sheets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As of March 31, 2023 and December 31, 2022</w:t>
      </w:r>
      <w:r>
        <w:rPr>
          <w:rFonts w:ascii="Times New Roman" w:hAnsi="Times New Roman"/>
          <w:sz w:val="20"/>
        </w:rPr>
        <w:t xml:space="preserve">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(Amounts Expressed in United States Dollars)</w:t>
      </w:r>
    </w:p>
    <w:p>
      <w:pPr>
        <w:pStyle w:val="TextBody"/>
        <w:pBdr>
          <w:bottom w:val="single" w:sz="6" w:space="1" w:color="000000"/>
        </w:pBdr>
        <w:spacing w:before="0" w:after="0"/>
        <w:jc w:val="left"/>
        <w:rPr/>
      </w:pPr>
      <w:r>
        <w:rPr/>
        <w:t> </w:t>
      </w:r>
    </w:p>
    <w:p>
      <w:pPr>
        <w:pStyle w:val="TextBody"/>
        <w:spacing w:before="0" w:after="0"/>
        <w:jc w:val="left"/>
        <w:rPr/>
      </w:pPr>
      <w:bookmarkStart w:id="3" w:name="balance_sheets"/>
      <w:bookmarkEnd w:id="3"/>
      <w:r>
        <w:rPr/>
        <w:t> </w:t>
      </w:r>
    </w:p>
    <w:tbl>
      <w:tblPr>
        <w:tblW w:w="9637" w:type="dxa"/>
        <w:jc w:val="left"/>
        <w:tblInd w:w="0" w:type="dxa"/>
        <w:tblCellMar>
          <w:top w:w="28" w:type="dxa"/>
          <w:left w:w="28" w:type="dxa"/>
          <w:bottom w:w="28" w:type="dxa"/>
          <w:right w:w="28" w:type="dxa"/>
        </w:tblCellMar>
      </w:tblPr>
      <w:tblGrid>
        <w:gridCol w:w="6451"/>
        <w:gridCol w:w="146"/>
        <w:gridCol w:w="196"/>
        <w:gridCol w:w="826"/>
        <w:gridCol w:w="166"/>
        <w:gridCol w:w="146"/>
        <w:gridCol w:w="210"/>
        <w:gridCol w:w="885"/>
        <w:gridCol w:w="611"/>
      </w:tblGrid>
      <w:tr>
        <w:trPr/>
        <w:tc>
          <w:tcPr>
            <w:tcW w:w="6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1" w:type="dxa"/>
            <w:tcBorders/>
            <w:shd w:fill="auto" w:val="clear"/>
            <w:vAlign w:val="center"/>
          </w:tcPr>
          <w:p>
            <w:pPr>
              <w:pStyle w:val="TableContents"/>
              <w:spacing w:before="0" w:after="0"/>
              <w:ind w:left="0" w:right="0" w:hanging="0"/>
              <w:jc w:val="center"/>
              <w:rPr/>
            </w:pPr>
            <w:r>
              <w:rPr/>
              <w:t> </w:t>
            </w:r>
          </w:p>
        </w:tc>
      </w:tr>
      <w:tr>
        <w:trPr/>
        <w:tc>
          <w:tcPr>
            <w:tcW w:w="6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(Audited)</w:t>
            </w:r>
          </w:p>
        </w:tc>
        <w:tc>
          <w:tcPr>
            <w:tcW w:w="611" w:type="dxa"/>
            <w:tcBorders/>
            <w:shd w:fill="auto" w:val="clear"/>
            <w:vAlign w:val="center"/>
          </w:tcPr>
          <w:p>
            <w:pPr>
              <w:pStyle w:val="TableContents"/>
              <w:spacing w:before="0" w:after="0"/>
              <w:ind w:left="0" w:right="0" w:hanging="0"/>
              <w:jc w:val="center"/>
              <w:rPr/>
            </w:pPr>
            <w:r>
              <w:rPr/>
              <w:t> </w:t>
            </w:r>
          </w:p>
        </w:tc>
      </w:tr>
      <w:tr>
        <w:trPr/>
        <w:tc>
          <w:tcPr>
            <w:tcW w:w="6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2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51" w:type="dxa"/>
            <w:tcBorders/>
            <w:shd w:fill="auto" w:val="cle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ASSETS</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185,367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177,682</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30,987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30,975</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Income Tax Receivable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7,473</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Inventories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121,069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115,675</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12,597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13,364</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7,591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6,182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51" w:type="dxa"/>
            <w:tcBorders/>
            <w:shd w:fill="auto" w:val="clear"/>
            <w:vAlign w:val="center"/>
          </w:tcPr>
          <w:p>
            <w:pPr>
              <w:pStyle w:val="TableContents"/>
              <w:spacing w:before="0" w:after="0"/>
              <w:ind w:left="400" w:right="0" w:hanging="0"/>
              <w:jc w:val="left"/>
              <w:rPr>
                <w:rFonts w:ascii="Times New Roman;serif" w:hAnsi="Times New Roman;serif"/>
                <w:b/>
                <w:sz w:val="17"/>
              </w:rPr>
            </w:pPr>
            <w:r>
              <w:rPr>
                <w:rFonts w:ascii="Times New Roman;serif" w:hAnsi="Times New Roman;serif"/>
                <w:b/>
                <w:sz w:val="17"/>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357,611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351,351</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620,656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557,873</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Right of Use Assets,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243,926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242,357</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75,668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74,169</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Investments in Associates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25,490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25,508</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576,909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589,519</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Goodwill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589,691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589,691</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Deposits and Other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3,216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3,060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TOTAL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2,493,167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2,433,528</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LIABILITIES</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16,905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18,423</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99,917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86,971</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Compensation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15,315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13,476</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Current Portion of Notes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1,037</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Current Portion of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11,753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10,906</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Contingent Consideration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11,400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11,400</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Income Tax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30,595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4,358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51" w:type="dxa"/>
            <w:tcBorders/>
            <w:shd w:fill="auto" w:val="clear"/>
            <w:vAlign w:val="center"/>
          </w:tcPr>
          <w:p>
            <w:pPr>
              <w:pStyle w:val="TableContents"/>
              <w:spacing w:before="0" w:after="0"/>
              <w:ind w:left="400" w:right="0" w:hanging="0"/>
              <w:jc w:val="left"/>
              <w:rPr>
                <w:rFonts w:ascii="Times New Roman;serif" w:hAnsi="Times New Roman;serif"/>
                <w:b/>
                <w:sz w:val="17"/>
              </w:rPr>
            </w:pPr>
            <w:r>
              <w:rPr>
                <w:rFonts w:ascii="Times New Roman;serif" w:hAnsi="Times New Roman;serif"/>
                <w:b/>
                <w:sz w:val="17"/>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186,937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146,571</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Long-Term Liabilities:</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251,607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249,281</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Notes Payable, Net of Current Portion and Debt Discount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276,775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274,631</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Contingent Consideration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31,274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30,543</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Warrant Liability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2,878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4,520</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62,550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62,550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812,021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768,096</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SHAREHOLDERS' EQUITY</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Subordinate Voting Shares (Shares Authorized, Issued and Outstanding at March 31, 2023:</w:t>
              <w:br/>
              <w:t>   Unlimited, 207,753,464, and 207,753,464, respectively, at December 31, 2022:</w:t>
              <w:br/>
              <w:t>   Unlimited, 206,991,275, and 206,991,275,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7"/>
              </w:rPr>
              <w:t>Multiple Voting Shares (Shares Authorized, Issued and Outstanding at March 31, 2023:</w:t>
              <w:br/>
              <w:t>   Unlimited, 38,531</w:t>
            </w:r>
            <w:r>
              <w:rPr>
                <w:rFonts w:ascii="Times New Roman" w:hAnsi="Times New Roman"/>
                <w:sz w:val="20"/>
              </w:rPr>
              <w:t> </w:t>
            </w:r>
            <w:r>
              <w:rPr>
                <w:rFonts w:ascii="Times New Roman;serif" w:hAnsi="Times New Roman;serif"/>
                <w:b w:val="false"/>
                <w:sz w:val="17"/>
              </w:rPr>
              <w:t>and 38,531, respectively, at December 31, 2022:</w:t>
              <w:br/>
              <w:t>   Unlimited, 38,531</w:t>
            </w:r>
            <w:r>
              <w:rPr>
                <w:rFonts w:ascii="Times New Roman" w:hAnsi="Times New Roman"/>
                <w:sz w:val="20"/>
              </w:rPr>
              <w:t> </w:t>
            </w:r>
            <w:r>
              <w:rPr>
                <w:rFonts w:ascii="Times New Roman;serif" w:hAnsi="Times New Roman;serif"/>
                <w:b w:val="false"/>
                <w:sz w:val="17"/>
              </w:rPr>
              <w:t>and 38,531,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7"/>
              </w:rPr>
              <w:t>Super Voting Shares (Shares Authorized, Issued and Outstanding at March 31, 2023:</w:t>
              <w:br/>
              <w:t>   Unlimited, 251,690</w:t>
            </w:r>
            <w:r>
              <w:rPr>
                <w:rFonts w:ascii="Times New Roman" w:hAnsi="Times New Roman"/>
                <w:sz w:val="20"/>
              </w:rPr>
              <w:t> </w:t>
            </w:r>
            <w:r>
              <w:rPr>
                <w:rFonts w:ascii="Times New Roman;serif" w:hAnsi="Times New Roman;serif"/>
                <w:b w:val="false"/>
                <w:sz w:val="17"/>
              </w:rPr>
              <w:t>and 251,690, respectively, at December 31, 2022:</w:t>
              <w:br/>
              <w:t>   Unlimited, 251,690</w:t>
            </w:r>
            <w:r>
              <w:rPr>
                <w:rFonts w:ascii="Times New Roman" w:hAnsi="Times New Roman"/>
                <w:sz w:val="20"/>
              </w:rPr>
              <w:t> </w:t>
            </w:r>
            <w:r>
              <w:rPr>
                <w:rFonts w:ascii="Times New Roman;serif" w:hAnsi="Times New Roman;serif"/>
                <w:b w:val="false"/>
                <w:sz w:val="17"/>
              </w:rPr>
              <w:t>and 251,690,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Share Capital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1,683,671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1,663,557</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Contributed Surplus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28,959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23,233</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Deferred Share Issuances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36,211</w:t>
            </w:r>
          </w:p>
        </w:tc>
        <w:tc>
          <w:tcPr>
            <w:tcW w:w="611" w:type="dxa"/>
            <w:tcBorders/>
            <w:shd w:fill="auto" w:val="clear"/>
            <w:vAlign w:val="center"/>
          </w:tcPr>
          <w:p>
            <w:pPr>
              <w:pStyle w:val="TableContents"/>
              <w:spacing w:before="0" w:after="0"/>
              <w:ind w:left="0" w:right="0" w:firstLine="200"/>
              <w:jc w:val="left"/>
              <w:rPr/>
            </w:pPr>
            <w:r>
              <w:rPr/>
              <w:t> </w:t>
            </w:r>
          </w:p>
        </w:tc>
      </w:tr>
      <w:tr>
        <w:trPr/>
        <w:tc>
          <w:tcPr>
            <w:tcW w:w="6451" w:type="dxa"/>
            <w:tcBorders/>
            <w:shd w:fill="auto" w:val="clear"/>
            <w:vAlign w:val="center"/>
          </w:tcPr>
          <w:p>
            <w:pPr>
              <w:pStyle w:val="TableContents"/>
              <w:spacing w:before="0" w:after="0"/>
              <w:ind w:left="200" w:right="0" w:hanging="0"/>
              <w:jc w:val="left"/>
              <w:rPr>
                <w:rFonts w:ascii="Times New Roman;serif" w:hAnsi="Times New Roman;serif"/>
                <w:b w:val="false"/>
                <w:sz w:val="17"/>
              </w:rPr>
            </w:pPr>
            <w:r>
              <w:rPr>
                <w:rFonts w:ascii="Times New Roman;serif" w:hAnsi="Times New Roman;serif"/>
                <w:b w:val="false"/>
                <w:sz w:val="17"/>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(48,946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(58,085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6451"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Equity of Green Thumb Industries Inc.</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1,680,789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1,664,916</w:t>
            </w:r>
          </w:p>
        </w:tc>
        <w:tc>
          <w:tcPr>
            <w:tcW w:w="611" w:type="dxa"/>
            <w:tcBorders/>
            <w:shd w:fill="auto" w:val="clear"/>
            <w:vAlign w:val="center"/>
          </w:tcPr>
          <w:p>
            <w:pPr>
              <w:pStyle w:val="TableContents"/>
              <w:spacing w:before="0" w:after="0"/>
              <w:ind w:left="0" w:right="0" w:firstLine="400"/>
              <w:jc w:val="left"/>
              <w:rPr/>
            </w:pPr>
            <w:r>
              <w:rPr/>
              <w:t> </w:t>
            </w:r>
          </w:p>
        </w:tc>
      </w:tr>
      <w:tr>
        <w:trPr/>
        <w:tc>
          <w:tcPr>
            <w:tcW w:w="6451"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516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TOTAL SHAREHOLDERS'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1,681,146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1,665,432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1" w:type="dxa"/>
            <w:tcBorders/>
            <w:shd w:fill="auto" w:val="cle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TOTAL 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2,493,167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2,433,528</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pBdr>
          <w:top w:val="single" w:sz="6" w:space="1" w:color="000000"/>
        </w:pBdr>
        <w:spacing w:before="0" w:after="0"/>
        <w:jc w:val="left"/>
        <w:rPr>
          <w:rFonts w:ascii="Times New Roman" w:hAnsi="Times New Roman"/>
          <w:sz w:val="20"/>
        </w:rPr>
      </w:pPr>
      <w:r>
        <w:rPr>
          <w:rFonts w:ascii="Times New Roman;serif" w:hAnsi="Times New Roman;serif"/>
          <w:b w:val="false"/>
          <w:sz w:val="20"/>
        </w:rPr>
        <w:t>The accompanying notes are an integral part of these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4" w:name="statement_of_operations"/>
      <w:bookmarkEnd w:id="4"/>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Unaudited Interim Condensed Consolidated Statements of Operations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Three Months Ended March 31, 2023 and 2022</w:t>
      </w:r>
      <w:r>
        <w:rPr>
          <w:rFonts w:ascii="Times New Roman" w:hAnsi="Times New Roman"/>
          <w:sz w:val="20"/>
        </w:rPr>
        <w:t xml:space="preserve">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(Amounts Expressed in United States Dollars, Except Share Amounts)</w:t>
      </w:r>
    </w:p>
    <w:p>
      <w:pPr>
        <w:pStyle w:val="TextBody"/>
        <w:pBdr>
          <w:bottom w:val="single" w:sz="6" w:space="1" w:color="000000"/>
        </w:pBdr>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286"/>
        <w:gridCol w:w="211"/>
        <w:gridCol w:w="146"/>
        <w:gridCol w:w="1141"/>
        <w:gridCol w:w="166"/>
        <w:gridCol w:w="211"/>
        <w:gridCol w:w="146"/>
        <w:gridCol w:w="1141"/>
        <w:gridCol w:w="166"/>
        <w:gridCol w:w="591"/>
      </w:tblGrid>
      <w:tr>
        <w:trPr/>
        <w:tc>
          <w:tcPr>
            <w:tcW w:w="62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28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29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28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center"/>
              <w:rPr/>
            </w:pPr>
            <w:r>
              <w:rPr/>
              <w:t> </w:t>
            </w:r>
          </w:p>
        </w:tc>
        <w:tc>
          <w:tcPr>
            <w:tcW w:w="1287"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287"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28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29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 Net of Discounts</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248,536</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242,600</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 Net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(123,815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(119,660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124,721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Expenses:</w:t>
            </w:r>
          </w:p>
        </w:tc>
        <w:tc>
          <w:tcPr>
            <w:tcW w:w="211" w:type="dxa"/>
            <w:tcBorders/>
            <w:shd w:fill="auto" w:val="clear"/>
            <w:vAlign w:val="center"/>
          </w:tcPr>
          <w:p>
            <w:pPr>
              <w:pStyle w:val="TableContents"/>
              <w:spacing w:before="0" w:after="0"/>
              <w:ind w:left="0" w:right="0" w:hanging="0"/>
              <w:jc w:val="center"/>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2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80,519</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68,388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628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Expenses</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80,519</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68,388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211" w:type="dxa"/>
            <w:tcBorders/>
            <w:shd w:fill="auto" w:val="clear"/>
            <w:vAlign w:val="center"/>
          </w:tcPr>
          <w:p>
            <w:pPr>
              <w:pStyle w:val="TableContents"/>
              <w:spacing w:before="0" w:after="0"/>
              <w:ind w:left="0" w:right="0" w:hanging="0"/>
              <w:jc w:val="center"/>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2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11,435</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2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2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628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Other Income (Expense)</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Before Provision for Income Taxes And Non-Controlling Interest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43,041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60,817</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Provision For Income Taxes</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Before Non-Controlling Interest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9,405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29,686</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Attributable to Non-Controlling Interest</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Attributable To Green Thumb Industries Inc.</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Per Share - Basic</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Per Share - Diluted</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Number of Shares Outstanding - Basic</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237,398,253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235,838,947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Number of Shares Outstanding - Diluted</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237,686,092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238,225,420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pBdr>
          <w:top w:val="single" w:sz="6" w:space="1" w:color="000000"/>
        </w:pBdr>
        <w:spacing w:before="0" w:after="0"/>
        <w:jc w:val="left"/>
        <w:rPr>
          <w:rFonts w:ascii="Times New Roman" w:hAnsi="Times New Roman"/>
          <w:sz w:val="20"/>
        </w:rPr>
      </w:pPr>
      <w:r>
        <w:rPr>
          <w:rFonts w:ascii="Times New Roman;serif" w:hAnsi="Times New Roman;serif"/>
          <w:b w:val="false"/>
          <w:sz w:val="20"/>
        </w:rPr>
        <w:t>The accompanying notes are an integral part of these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5" w:name="statements_of_shareholders_equity"/>
      <w:bookmarkEnd w:id="5"/>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Unaudited Interim Condensed Consolidated Statements of Changes in Shareholders’ Equity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Three Months Ended March 31, 2023 and 2022</w:t>
      </w:r>
      <w:r>
        <w:rPr>
          <w:rFonts w:ascii="Times New Roman" w:hAnsi="Times New Roman"/>
          <w:sz w:val="20"/>
        </w:rPr>
        <w:t xml:space="preserve">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(Amounts Expressed in United States Dollars)</w:t>
      </w:r>
    </w:p>
    <w:p>
      <w:pPr>
        <w:pStyle w:val="TextBody"/>
        <w:pBdr>
          <w:bottom w:val="single" w:sz="6" w:space="1" w:color="000000"/>
        </w:pBdr>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66"/>
        <w:gridCol w:w="196"/>
        <w:gridCol w:w="146"/>
        <w:gridCol w:w="826"/>
        <w:gridCol w:w="146"/>
        <w:gridCol w:w="196"/>
        <w:gridCol w:w="197"/>
        <w:gridCol w:w="900"/>
        <w:gridCol w:w="166"/>
        <w:gridCol w:w="196"/>
        <w:gridCol w:w="154"/>
        <w:gridCol w:w="701"/>
        <w:gridCol w:w="166"/>
        <w:gridCol w:w="196"/>
        <w:gridCol w:w="209"/>
        <w:gridCol w:w="952"/>
        <w:gridCol w:w="166"/>
        <w:gridCol w:w="196"/>
        <w:gridCol w:w="249"/>
        <w:gridCol w:w="1132"/>
        <w:gridCol w:w="166"/>
        <w:gridCol w:w="196"/>
        <w:gridCol w:w="146"/>
        <w:gridCol w:w="826"/>
        <w:gridCol w:w="215"/>
      </w:tblGrid>
      <w:tr>
        <w:trPr/>
        <w:tc>
          <w:tcPr>
            <w:tcW w:w="15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15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Contributed</w:t>
              <w:br/>
              <w:t>Surplus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Deferred Share</w:t>
              <w:br/>
              <w:t>Issuance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1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br/>
              <w:t>Earnings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3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Non-Controlling</w:t>
              <w:br/>
              <w:t>Interest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8228"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January 1, 2022</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1,633,672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21,245</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36,262</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(70,063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1,619,478</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Noncontrolling interests adjustment for change in ownership</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2,379</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15,356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shares under business combinations and investments</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1,406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1,406</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Contingent consideration, and other adjustments to </w:t>
              <w:br/>
              <w:t>   purchase accounting</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13,111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13,111</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options and RSUs</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3,135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940</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4,651</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4,651</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third party and limited liability</w:t>
              <w:br/>
              <w:t>   company unit holders</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(14,311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(14,311</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28,939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29,686</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March 31, 2022</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1,653,703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36,262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(41,124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1,654,961</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January 1, 2023</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1,663,557</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23,233</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36,211</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(58,085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1,665,432</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 of deferred shares</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19,106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(19,106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options and RSUs</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495</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6,239</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6,239</w:t>
            </w:r>
          </w:p>
        </w:tc>
        <w:tc>
          <w:tcPr>
            <w:tcW w:w="215" w:type="dxa"/>
            <w:tcBorders/>
            <w:shd w:fill="auto" w:val="cle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limited liability company unit holders</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(425</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9,405</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March 31, 2023</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1,683,671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28,959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17,105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(48,946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1,681,146</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pBdr>
          <w:bottom w:val="single" w:sz="6" w:space="1" w:color="000000"/>
        </w:pBdr>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accompanying notes are an integral part of these unaudited interim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6" w:name="statements_of_cash_flows"/>
      <w:bookmarkEnd w:id="6"/>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Unaudited Interim Condensed Consolidated Statements of Cash Flows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Three Months Ended March 31, 2023 and 2022</w:t>
      </w:r>
      <w:r>
        <w:rPr>
          <w:rFonts w:ascii="Times New Roman" w:hAnsi="Times New Roman"/>
          <w:sz w:val="20"/>
        </w:rPr>
        <w:t xml:space="preserve">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(Amounts Expressed in United States Dollars)</w:t>
      </w:r>
    </w:p>
    <w:p>
      <w:pPr>
        <w:pStyle w:val="TextBody"/>
        <w:pBdr>
          <w:bottom w:val="sing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945"/>
        <w:gridCol w:w="146"/>
        <w:gridCol w:w="228"/>
        <w:gridCol w:w="806"/>
        <w:gridCol w:w="193"/>
        <w:gridCol w:w="169"/>
        <w:gridCol w:w="228"/>
        <w:gridCol w:w="876"/>
        <w:gridCol w:w="614"/>
      </w:tblGrid>
      <w:tr>
        <w:trPr/>
        <w:tc>
          <w:tcPr>
            <w:tcW w:w="69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69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0" w:type="dxa"/>
            <w:gridSpan w:val="6"/>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614" w:type="dxa"/>
            <w:tcBorders/>
            <w:shd w:fill="auto" w:val="clear"/>
            <w:vAlign w:val="center"/>
          </w:tcPr>
          <w:p>
            <w:pPr>
              <w:pStyle w:val="TableContents"/>
              <w:spacing w:before="0" w:after="0"/>
              <w:ind w:left="0" w:right="0" w:hanging="0"/>
              <w:jc w:val="center"/>
              <w:rPr/>
            </w:pPr>
            <w:r>
              <w:rPr/>
              <w:t> </w:t>
            </w:r>
          </w:p>
        </w:tc>
      </w:tr>
      <w:tr>
        <w:trPr/>
        <w:tc>
          <w:tcPr>
            <w:tcW w:w="69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1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4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CASH FLOW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34"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income attributable to Green Thumb Industries Inc.</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9,139</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28,939</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income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747</w:t>
            </w:r>
          </w:p>
        </w:tc>
        <w:tc>
          <w:tcPr>
            <w:tcW w:w="614" w:type="dxa"/>
            <w:tcBorders/>
            <w:shd w:fill="auto" w:val="clear"/>
            <w:vAlign w:val="center"/>
          </w:tcPr>
          <w:p>
            <w:pPr>
              <w:pStyle w:val="TableContents"/>
              <w:spacing w:before="0" w:after="0"/>
              <w:ind w:left="0" w:right="0" w:hanging="0"/>
              <w:jc w:val="left"/>
              <w:rPr/>
            </w:pPr>
            <w:r>
              <w:rPr/>
              <w:t> </w:t>
            </w:r>
          </w:p>
        </w:tc>
      </w:tr>
      <w:tr>
        <w:trPr/>
        <w:tc>
          <w:tcPr>
            <w:tcW w:w="69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Adjustments to reconcile net income to 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34"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23,501</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22,990</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Amortization of operating lease assets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12,222</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9,821</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Loss on disposal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154</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Loss on equity method investments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318</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1,203</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Bad debt expense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376</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117</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6,239</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4,651</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Decrease (increase) in fair value of investments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351</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(4,664</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Increase (decrease) in 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731</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(15,396</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(Decrease) increase in fair value of warrants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(1,642</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(7,929</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Amortization of debt discount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2,365</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2,279</w:t>
            </w:r>
          </w:p>
        </w:tc>
        <w:tc>
          <w:tcPr>
            <w:tcW w:w="614" w:type="dxa"/>
            <w:tcBorders/>
            <w:shd w:fill="auto" w:val="clear"/>
            <w:vAlign w:val="center"/>
          </w:tcPr>
          <w:p>
            <w:pPr>
              <w:pStyle w:val="TableContents"/>
              <w:spacing w:before="0" w:after="0"/>
              <w:ind w:left="0" w:right="0" w:hanging="0"/>
              <w:jc w:val="left"/>
              <w:rPr/>
            </w:pPr>
            <w:r>
              <w:rPr/>
              <w:t> </w:t>
            </w:r>
          </w:p>
        </w:tc>
      </w:tr>
      <w:tr>
        <w:trPr/>
        <w:tc>
          <w:tcPr>
            <w:tcW w:w="69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34"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(388</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(5,941</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(5,394</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(13,817</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(592</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Deposits and other assets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(155</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(395</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(1,517</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9,555</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5,645</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235</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(10,618</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(8,420</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Income tax receivable and payable, net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33,710</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31,304</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sz w:val="18"/>
              </w:rPr>
            </w:pPr>
            <w:r>
              <w:rPr>
                <w:rFonts w:ascii="Times New Roman;serif" w:hAnsi="Times New Roman;serif"/>
                <w:b/>
                <w:sz w:val="18"/>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74,711</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55,376</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4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CASH FLOW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34"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(65,009</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(56,831</w:t>
            </w:r>
          </w:p>
        </w:tc>
        <w:tc>
          <w:tcPr>
            <w:tcW w:w="614"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disposal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319</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Investments in securities and associates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(2,500</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(5,444</w:t>
            </w:r>
          </w:p>
        </w:tc>
        <w:tc>
          <w:tcPr>
            <w:tcW w:w="614"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equity investments and notes receivable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300</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160</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Settlement of acquisition consideration payable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(31,732</w:t>
            </w:r>
          </w:p>
        </w:tc>
        <w:tc>
          <w:tcPr>
            <w:tcW w:w="614"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 of businesses,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(6,586</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sz w:val="18"/>
              </w:rPr>
            </w:pPr>
            <w:r>
              <w:rPr>
                <w:rFonts w:ascii="Times New Roman;serif" w:hAnsi="Times New Roman;serif"/>
                <w:b/>
                <w:sz w:val="18"/>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(66,890</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(100,401</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694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CASH FLOW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34"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Distributions to limited liability company unit holders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(425</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(14,311</w:t>
            </w:r>
          </w:p>
        </w:tc>
        <w:tc>
          <w:tcPr>
            <w:tcW w:w="614"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Contributions from unconsolidated subsidiaries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550</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exercise of options and warrants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495</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940</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issuance of notes payable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2,102</w:t>
            </w:r>
          </w:p>
        </w:tc>
        <w:tc>
          <w:tcPr>
            <w:tcW w:w="614" w:type="dxa"/>
            <w:tcBorders/>
            <w:shd w:fill="auto" w:val="clear"/>
            <w:vAlign w:val="center"/>
          </w:tcPr>
          <w:p>
            <w:pPr>
              <w:pStyle w:val="TableContents"/>
              <w:spacing w:before="0" w:after="0"/>
              <w:ind w:left="0" w:right="0" w:firstLine="200"/>
              <w:jc w:val="left"/>
              <w:rPr/>
            </w:pPr>
            <w:r>
              <w:rPr/>
              <w:t> </w:t>
            </w:r>
          </w:p>
        </w:tc>
      </w:tr>
      <w:tr>
        <w:trPr/>
        <w:tc>
          <w:tcPr>
            <w:tcW w:w="6945"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Principal repayment of notes payable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(206</w:t>
            </w:r>
          </w:p>
        </w:tc>
        <w:tc>
          <w:tcPr>
            <w:tcW w:w="1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(137</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sz w:val="18"/>
              </w:rPr>
            </w:pPr>
            <w:r>
              <w:rPr>
                <w:rFonts w:ascii="Times New Roman;serif" w:hAnsi="Times New Roman;serif"/>
                <w:b/>
                <w:sz w:val="18"/>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0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(136</w:t>
            </w:r>
          </w:p>
        </w:tc>
        <w:tc>
          <w:tcPr>
            <w:tcW w:w="193"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(10,856</w:t>
            </w:r>
          </w:p>
        </w:tc>
        <w:tc>
          <w:tcPr>
            <w:tcW w:w="61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694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1034"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sz w:val="18"/>
              </w:rPr>
            </w:pPr>
            <w:r>
              <w:rPr>
                <w:rFonts w:ascii="Times New Roman;serif" w:hAnsi="Times New Roman;serif"/>
                <w:b/>
                <w:sz w:val="18"/>
              </w:rPr>
              <w:t>NET (DECREASE) INCREASE IN CASH AND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7,685</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(55,881</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sz w:val="18"/>
              </w:rPr>
            </w:pPr>
            <w:r>
              <w:rPr>
                <w:rFonts w:ascii="Times New Roman;serif" w:hAnsi="Times New Roman;serif"/>
                <w:b/>
                <w:sz w:val="18"/>
              </w:rPr>
              <w:t>CASH, CASH EQUIVALENTS AND RESTRICTED 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177,682</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230,420</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45" w:type="dxa"/>
            <w:tcBorders/>
            <w:shd w:fill="auto" w:val="clear"/>
            <w:vAlign w:val="center"/>
          </w:tcPr>
          <w:p>
            <w:pPr>
              <w:pStyle w:val="TableContents"/>
              <w:spacing w:before="0" w:after="0"/>
              <w:ind w:left="400" w:right="0" w:hanging="0"/>
              <w:jc w:val="left"/>
              <w:rPr>
                <w:rFonts w:ascii="Times New Roman;serif" w:hAnsi="Times New Roman;serif"/>
                <w:b/>
                <w:sz w:val="18"/>
              </w:rPr>
            </w:pPr>
            <w:r>
              <w:rPr>
                <w:rFonts w:ascii="Times New Roman;serif" w:hAnsi="Times New Roman;serif"/>
                <w:b/>
                <w:sz w:val="18"/>
              </w:rPr>
              <w:t>CASH, CASH EQUIVALENTS AND RESTRICTED CASH END OF PERIOD</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185,367</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174,539</w:t>
            </w:r>
          </w:p>
        </w:tc>
        <w:tc>
          <w:tcPr>
            <w:tcW w:w="6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pBdr>
          <w:top w:val="single" w:sz="6" w:space="1" w:color="000000"/>
        </w:pBdr>
        <w:spacing w:before="0" w:after="0"/>
        <w:jc w:val="left"/>
        <w:rPr>
          <w:rFonts w:ascii="Times New Roman" w:hAnsi="Times New Roman"/>
          <w:sz w:val="20"/>
        </w:rPr>
      </w:pPr>
      <w:r>
        <w:rPr>
          <w:rFonts w:ascii="Times New Roman;serif" w:hAnsi="Times New Roman;serif"/>
          <w:b w:val="false"/>
          <w:sz w:val="20"/>
        </w:rPr>
        <w:t>The accompanying notes are an integral part of these unaudited interim condensed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Unaudited Interim Condensed Consolidated Statements of Cash Flows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Three Months Ended March 31, 2023 and 2022</w:t>
      </w:r>
      <w:r>
        <w:rPr>
          <w:rFonts w:ascii="Times New Roman" w:hAnsi="Times New Roman"/>
          <w:sz w:val="20"/>
        </w:rPr>
        <w:t xml:space="preserve"> </w:t>
      </w:r>
    </w:p>
    <w:p>
      <w:pPr>
        <w:pStyle w:val="TextBody"/>
        <w:pBdr>
          <w:bottom w:val="single" w:sz="6" w:space="1" w:color="000000"/>
        </w:pBdr>
        <w:spacing w:before="0" w:after="0"/>
        <w:jc w:val="left"/>
        <w:rPr>
          <w:rFonts w:ascii="Times New Roman" w:hAnsi="Times New Roman"/>
          <w:sz w:val="20"/>
        </w:rPr>
      </w:pPr>
      <w:r>
        <w:rPr>
          <w:rFonts w:ascii="Times New Roman;serif" w:hAnsi="Times New Roman;serif"/>
          <w:b w:val="false"/>
          <w:i/>
          <w:sz w:val="20"/>
        </w:rPr>
        <w:t>(Amounts Expressed in United States Dollars)</w:t>
      </w:r>
      <w:r>
        <w:rPr>
          <w:rFonts w:ascii="Times New Roman" w:hAnsi="Times New Roman"/>
          <w:sz w:val="20"/>
        </w:rPr>
        <w:t xml:space="preserve"> </w:t>
      </w:r>
    </w:p>
    <w:tbl>
      <w:tblPr>
        <w:tblW w:w="9166" w:type="dxa"/>
        <w:jc w:val="left"/>
        <w:tblInd w:w="0" w:type="dxa"/>
        <w:tblCellMar>
          <w:top w:w="28" w:type="dxa"/>
          <w:left w:w="28" w:type="dxa"/>
          <w:bottom w:w="28" w:type="dxa"/>
          <w:right w:w="28" w:type="dxa"/>
        </w:tblCellMar>
      </w:tblPr>
      <w:tblGrid>
        <w:gridCol w:w="6031"/>
        <w:gridCol w:w="146"/>
        <w:gridCol w:w="249"/>
        <w:gridCol w:w="842"/>
        <w:gridCol w:w="211"/>
        <w:gridCol w:w="185"/>
        <w:gridCol w:w="249"/>
        <w:gridCol w:w="842"/>
        <w:gridCol w:w="41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center"/>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paid</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4,964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4,467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Accrued capital expenditures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9,138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(5,366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Noncash increase in right of use asset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(5,558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(3,855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Noncash increase in lease liability</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5,558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3,855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Shares issued for purchase of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2,379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shares associated with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13,111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Deferred share distributions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(19,106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shares under business combinations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1,406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Acquisitions</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413</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738</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Right of use assets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743</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Identifiable Intangible assets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14,143</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Goodwill</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7,946</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Deposits and other assets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Liabilities assumed</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17,735</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Equity interests issued</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(3,785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Fair value of previously held equity interest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(14,500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cash</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Settlement of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(15,356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6,586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ADDITIONAL SUPPLEMENTAL INFORMATION</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Decrease in fair value of investments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351</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9,455</w:t>
            </w:r>
          </w:p>
        </w:tc>
        <w:tc>
          <w:tcPr>
            <w:tcW w:w="41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Increase in fair value of equity method investments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(14,119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DECREASE (INCREASE) IN FAIR VALUE OF INVESTMENTS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351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(4,664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bl>
    <w:p>
      <w:pPr>
        <w:pStyle w:val="TextBody"/>
        <w:spacing w:before="0" w:after="0"/>
        <w:jc w:val="left"/>
        <w:rPr/>
      </w:pPr>
      <w:r>
        <w:rPr/>
        <w:t> </w:t>
      </w:r>
    </w:p>
    <w:p>
      <w:pPr>
        <w:pStyle w:val="TextBody"/>
        <w:pBdr>
          <w:top w:val="single" w:sz="6" w:space="1" w:color="000000"/>
        </w:pBdr>
        <w:spacing w:before="0" w:after="0"/>
        <w:jc w:val="left"/>
        <w:rPr>
          <w:rFonts w:ascii="Times New Roman;serif" w:hAnsi="Times New Roman;serif"/>
          <w:b w:val="false"/>
          <w:sz w:val="20"/>
        </w:rPr>
      </w:pPr>
      <w:r>
        <w:rPr>
          <w:rFonts w:ascii="Times New Roman;serif" w:hAnsi="Times New Roman;serif"/>
          <w:b w:val="false"/>
          <w:sz w:val="20"/>
        </w:rPr>
        <w:t>The accompanying notes are an integral part of these unaudited interim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240" w:after="0"/>
        <w:jc w:val="left"/>
        <w:rPr>
          <w:rFonts w:ascii="Times New Roman;serif" w:hAnsi="Times New Roman;serif"/>
          <w:b/>
          <w:sz w:val="20"/>
        </w:rPr>
      </w:pPr>
      <w:bookmarkStart w:id="7" w:name="notes_to_financial_statements"/>
      <w:bookmarkEnd w:id="7"/>
      <w:r>
        <w:rPr>
          <w:rFonts w:ascii="Times New Roman;serif" w:hAnsi="Times New Roman;serif"/>
          <w:b/>
          <w:sz w:val="20"/>
        </w:rPr>
        <w:t>1. Overview and Basis of Presentation</w:t>
      </w:r>
    </w:p>
    <w:p>
      <w:pPr>
        <w:pStyle w:val="TextBody"/>
        <w:pBdr>
          <w:bottom w:val="single" w:sz="6" w:space="1" w:color="000000"/>
        </w:pBdr>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(a) Description of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Green Thumb Industries Inc. (“Green Thumb,” the “Company,” “we” or “us”),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cannabis stores. The Company also owns and operates retail cannabis stores that include a rapidly growing national chain named RISE, which sell our products and third-party products. As of March 31, 2023, Green Thumb has revenue in fifteen markets (California, Colorado, Connecticut, Florida, Illinois, Maryland, Massachusetts, Minnesota, Nevada, New Jersey, New York, Ohio, Pennsylvania, Rhode Island and Virginia), employs approximately 4,000 people and serves hundreds of thousands of patients and customers annually.</w:t>
      </w:r>
    </w:p>
    <w:p>
      <w:pPr>
        <w:pStyle w:val="TextBody"/>
        <w:spacing w:before="240" w:after="0"/>
        <w:jc w:val="left"/>
        <w:rPr>
          <w:rFonts w:ascii="Times New Roman" w:hAnsi="Times New Roman"/>
          <w:sz w:val="20"/>
        </w:rPr>
      </w:pPr>
      <w:r>
        <w:rPr>
          <w:rFonts w:ascii="Times New Roman;serif" w:hAnsi="Times New Roman;serif"/>
          <w:b w:val="false"/>
          <w:sz w:val="20"/>
        </w:rPr>
        <w:t>The Company’s registered office is located at 250 Howe Street, 20</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Floor, Vancouver, British Columbia, V6C 3R8. The Company’s U.S. headquarters are at 325 W. Huron St., Suite 700, Chicago, IL 60654.</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 xml:space="preserve">(b) Basis of Presentation </w:t>
      </w:r>
    </w:p>
    <w:p>
      <w:pPr>
        <w:pStyle w:val="TextBody"/>
        <w:spacing w:before="120" w:after="0"/>
        <w:jc w:val="left"/>
        <w:rPr>
          <w:rFonts w:ascii="Times New Roman" w:hAnsi="Times New Roman"/>
          <w:sz w:val="20"/>
        </w:rPr>
      </w:pPr>
      <w:r>
        <w:rPr>
          <w:rFonts w:ascii="Times New Roman;serif" w:hAnsi="Times New Roman;serif"/>
          <w:b w:val="false"/>
          <w:sz w:val="20"/>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2022 (the “2022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 xml:space="preserve">(c) Significant Accounting Policies </w:t>
      </w:r>
    </w:p>
    <w:p>
      <w:pPr>
        <w:pStyle w:val="TextBody"/>
        <w:spacing w:before="120" w:after="0"/>
        <w:jc w:val="left"/>
        <w:rPr>
          <w:rFonts w:ascii="Times New Roman" w:hAnsi="Times New Roman"/>
          <w:sz w:val="20"/>
        </w:rPr>
      </w:pPr>
      <w:r>
        <w:rPr>
          <w:rFonts w:ascii="Times New Roman;serif" w:hAnsi="Times New Roman;serif"/>
          <w:b w:val="false"/>
          <w:sz w:val="20"/>
        </w:rPr>
        <w:t>There have been no changes to the Company’s significant accounting policies as described in Note 2 to the Company's Consolidated Financial Statements included in the 2022</w:t>
      </w:r>
      <w:r>
        <w:rPr>
          <w:rFonts w:ascii="Times New Roman;serif" w:hAnsi="Times New Roman;serif"/>
          <w:sz w:val="20"/>
        </w:rPr>
        <w:t xml:space="preserve"> </w:t>
      </w:r>
      <w:r>
        <w:rPr>
          <w:rFonts w:ascii="Times New Roman;serif" w:hAnsi="Times New Roman;serif"/>
          <w:b w:val="false"/>
          <w:sz w:val="20"/>
        </w:rPr>
        <w:t>Form 10-K.</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 xml:space="preserve">(d) Earnings per Share </w:t>
      </w:r>
    </w:p>
    <w:p>
      <w:pPr>
        <w:pStyle w:val="TextBody"/>
        <w:spacing w:before="120" w:after="0"/>
        <w:jc w:val="left"/>
        <w:rPr>
          <w:rFonts w:ascii="Times New Roman" w:hAnsi="Times New Roman"/>
          <w:sz w:val="20"/>
        </w:rPr>
      </w:pPr>
      <w:r>
        <w:rPr>
          <w:rFonts w:ascii="Times New Roman;serif" w:hAnsi="Times New Roman;serif"/>
          <w:b w:val="false"/>
          <w:sz w:val="20"/>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March 31, 2023, the Company had 9,600,384</w:t>
      </w:r>
      <w:r>
        <w:rPr>
          <w:rFonts w:ascii="Times New Roman" w:hAnsi="Times New Roman"/>
          <w:sz w:val="20"/>
        </w:rPr>
        <w:t xml:space="preserve"> </w:t>
      </w:r>
      <w:r>
        <w:rPr>
          <w:rFonts w:ascii="Times New Roman;serif" w:hAnsi="Times New Roman;serif"/>
          <w:b w:val="false"/>
          <w:sz w:val="20"/>
        </w:rPr>
        <w:t>options, 1,094,979</w:t>
      </w:r>
      <w:r>
        <w:rPr>
          <w:rFonts w:ascii="Times New Roman" w:hAnsi="Times New Roman"/>
          <w:sz w:val="20"/>
        </w:rPr>
        <w:t xml:space="preserve"> </w:t>
      </w:r>
      <w:r>
        <w:rPr>
          <w:rFonts w:ascii="Times New Roman;serif" w:hAnsi="Times New Roman;serif"/>
          <w:b w:val="false"/>
          <w:sz w:val="20"/>
        </w:rPr>
        <w:t>restricted stock units and 3,734,555</w:t>
      </w:r>
      <w:r>
        <w:rPr>
          <w:rFonts w:ascii="Times New Roman" w:hAnsi="Times New Roman"/>
          <w:sz w:val="20"/>
        </w:rPr>
        <w:t xml:space="preserve"> </w:t>
      </w:r>
      <w:r>
        <w:rPr>
          <w:rFonts w:ascii="Times New Roman;serif" w:hAnsi="Times New Roman;serif"/>
          <w:b w:val="false"/>
          <w:sz w:val="20"/>
        </w:rPr>
        <w:t>warrants outstanding. As of March 31, 2022, the Company had 5,340,863</w:t>
      </w:r>
      <w:r>
        <w:rPr>
          <w:rFonts w:ascii="Times New Roman" w:hAnsi="Times New Roman"/>
          <w:sz w:val="20"/>
        </w:rPr>
        <w:t xml:space="preserve"> </w:t>
      </w:r>
      <w:r>
        <w:rPr>
          <w:rFonts w:ascii="Times New Roman;serif" w:hAnsi="Times New Roman;serif"/>
          <w:b w:val="false"/>
          <w:sz w:val="20"/>
        </w:rPr>
        <w:t>options, 306,724</w:t>
      </w:r>
      <w:r>
        <w:rPr>
          <w:rFonts w:ascii="Times New Roman" w:hAnsi="Times New Roman"/>
          <w:sz w:val="20"/>
        </w:rPr>
        <w:t xml:space="preserve"> </w:t>
      </w:r>
      <w:r>
        <w:rPr>
          <w:rFonts w:ascii="Times New Roman;serif" w:hAnsi="Times New Roman;serif"/>
          <w:b w:val="false"/>
          <w:sz w:val="20"/>
        </w:rPr>
        <w:t>restricted stock units and 3,835,278</w:t>
      </w:r>
      <w:r>
        <w:rPr>
          <w:rFonts w:ascii="Times New Roman" w:hAnsi="Times New Roman"/>
          <w:sz w:val="20"/>
        </w:rPr>
        <w:t xml:space="preserve"> </w:t>
      </w:r>
      <w:r>
        <w:rPr>
          <w:rFonts w:ascii="Times New Roman;serif" w:hAnsi="Times New Roman;serif"/>
          <w:b w:val="false"/>
          <w:sz w:val="20"/>
        </w:rPr>
        <w:t>warrants outstanding.</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240" w:after="0"/>
        <w:jc w:val="left"/>
        <w:rPr>
          <w:rFonts w:ascii="Times New Roman" w:hAnsi="Times New Roman"/>
          <w:sz w:val="20"/>
        </w:rPr>
      </w:pPr>
      <w:r>
        <w:rPr>
          <w:rFonts w:ascii="Times New Roman;serif" w:hAnsi="Times New Roman;serif"/>
          <w:b/>
          <w:sz w:val="20"/>
        </w:rPr>
        <w:t xml:space="preserve">1. Overview and Basis of Presentation </w:t>
      </w:r>
      <w:r>
        <w:rPr>
          <w:rFonts w:ascii="Times New Roman;serif" w:hAnsi="Times New Roman;serif"/>
          <w:b w:val="false"/>
          <w:i/>
          <w:sz w:val="20"/>
        </w:rPr>
        <w:t>(Continued)</w:t>
      </w:r>
    </w:p>
    <w:p>
      <w:pPr>
        <w:pStyle w:val="TextBody"/>
        <w:pBdr>
          <w:bottom w:val="single" w:sz="6" w:space="1" w:color="000000"/>
        </w:pBdr>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 xml:space="preserve">(d) Earnings per Share </w:t>
      </w:r>
      <w:r>
        <w:rPr>
          <w:rFonts w:ascii="Times New Roman;serif" w:hAnsi="Times New Roman;serif"/>
          <w:b w:val="false"/>
          <w:sz w:val="20"/>
        </w:rPr>
        <w:t>(</w:t>
      </w:r>
      <w:r>
        <w:rPr>
          <w:rFonts w:ascii="Times New Roman;serif" w:hAnsi="Times New Roman;serif"/>
          <w:b w:val="false"/>
          <w:i/>
          <w:sz w:val="20"/>
        </w:rPr>
        <w:t>Continued</w:t>
      </w:r>
      <w:r>
        <w:rPr>
          <w:rFonts w:ascii="Times New Roman;serif" w:hAnsi="Times New Roman;serif"/>
          <w:b w:val="false"/>
          <w:sz w:val="20"/>
        </w:rPr>
        <w:t>)</w:t>
      </w:r>
    </w:p>
    <w:p>
      <w:pPr>
        <w:pStyle w:val="TextBody"/>
        <w:spacing w:before="240" w:after="0"/>
        <w:jc w:val="left"/>
        <w:rPr>
          <w:rFonts w:ascii="Times New Roman" w:hAnsi="Times New Roman"/>
          <w:sz w:val="20"/>
        </w:rPr>
      </w:pPr>
      <w:r>
        <w:rPr>
          <w:rFonts w:ascii="Times New Roman;serif" w:hAnsi="Times New Roman;serif"/>
          <w:b w:val="false"/>
          <w:sz w:val="20"/>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March 31, 2023, the computation of diluted earnings per share included 207,430</w:t>
      </w:r>
      <w:r>
        <w:rPr>
          <w:rFonts w:ascii="Times New Roman" w:hAnsi="Times New Roman"/>
          <w:sz w:val="20"/>
        </w:rPr>
        <w:t xml:space="preserve"> </w:t>
      </w:r>
      <w:r>
        <w:rPr>
          <w:rFonts w:ascii="Times New Roman;serif" w:hAnsi="Times New Roman;serif"/>
          <w:b w:val="false"/>
          <w:sz w:val="20"/>
        </w:rPr>
        <w:t>options and 80,409</w:t>
      </w:r>
      <w:r>
        <w:rPr>
          <w:rFonts w:ascii="Times New Roman" w:hAnsi="Times New Roman"/>
          <w:sz w:val="20"/>
        </w:rPr>
        <w:t xml:space="preserve"> </w:t>
      </w:r>
      <w:r>
        <w:rPr>
          <w:rFonts w:ascii="Times New Roman;serif" w:hAnsi="Times New Roman;serif"/>
          <w:b w:val="false"/>
          <w:sz w:val="20"/>
        </w:rPr>
        <w:t>restricted stock units. There were no dilutive warrants during the three months ended March 31, 2023 as the strike price was greater than the average stock price for the period. For the three months ended March 31, 2022, the computation of diluted earnings per share included 1,699,469</w:t>
      </w:r>
      <w:r>
        <w:rPr>
          <w:rFonts w:ascii="Times New Roman" w:hAnsi="Times New Roman"/>
          <w:sz w:val="20"/>
        </w:rPr>
        <w:t xml:space="preserve"> </w:t>
      </w:r>
      <w:r>
        <w:rPr>
          <w:rFonts w:ascii="Times New Roman;serif" w:hAnsi="Times New Roman;serif"/>
          <w:b w:val="false"/>
          <w:sz w:val="20"/>
        </w:rPr>
        <w:t>options, 183,763</w:t>
      </w:r>
      <w:r>
        <w:rPr>
          <w:rFonts w:ascii="Times New Roman" w:hAnsi="Times New Roman"/>
          <w:sz w:val="20"/>
        </w:rPr>
        <w:t xml:space="preserve"> </w:t>
      </w:r>
      <w:r>
        <w:rPr>
          <w:rFonts w:ascii="Times New Roman;serif" w:hAnsi="Times New Roman;serif"/>
          <w:b w:val="false"/>
          <w:sz w:val="20"/>
        </w:rPr>
        <w:t>restricted stock units and 503,241</w:t>
      </w:r>
      <w:r>
        <w:rPr>
          <w:rFonts w:ascii="Times New Roman" w:hAnsi="Times New Roman"/>
          <w:sz w:val="20"/>
        </w:rPr>
        <w:t xml:space="preserve"> </w:t>
      </w:r>
      <w:r>
        <w:rPr>
          <w:rFonts w:ascii="Times New Roman;serif" w:hAnsi="Times New Roman;serif"/>
          <w:b w:val="false"/>
          <w:sz w:val="20"/>
        </w:rPr>
        <w:t>warrants. For the three months ended March 31, 2023 and 2022, the weighted average number of anti-dilutive stock options excluded from the computation of diluted earnings per share were 2,909,924</w:t>
      </w:r>
      <w:r>
        <w:rPr>
          <w:rFonts w:ascii="Times New Roman" w:hAnsi="Times New Roman"/>
          <w:sz w:val="20"/>
        </w:rPr>
        <w:t xml:space="preserve"> </w:t>
      </w:r>
      <w:r>
        <w:rPr>
          <w:rFonts w:ascii="Times New Roman;serif" w:hAnsi="Times New Roman;serif"/>
          <w:b w:val="false"/>
          <w:sz w:val="20"/>
        </w:rPr>
        <w:t>and 842,033, respectively.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(e) Recently Issued Accounting Standards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reviews recently issued accounting standards on a quarterly basis and has determined there are no standards yet to be adopted which are relevant to the business for disclosure.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240" w:after="0"/>
        <w:jc w:val="left"/>
        <w:rPr>
          <w:rFonts w:ascii="Times New Roman;serif" w:hAnsi="Times New Roman;serif"/>
          <w:b/>
          <w:sz w:val="20"/>
        </w:rPr>
      </w:pPr>
      <w:r>
        <w:rPr>
          <w:rFonts w:ascii="Times New Roman;serif" w:hAnsi="Times New Roman;serif"/>
          <w:b/>
          <w:sz w:val="20"/>
        </w:rPr>
        <w:t>2. INVENTORIES</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Company’s inventories include the following at March 31, 2023 and December 31, 2022:</w:t>
      </w:r>
      <w:r>
        <w:rPr>
          <w:rFonts w:ascii="Times New Roman" w:hAnsi="Times New Roman"/>
          <w:sz w:val="20"/>
        </w:rPr>
        <w:t xml:space="preserve"> </w:t>
      </w:r>
    </w:p>
    <w:tbl>
      <w:tblPr>
        <w:tblW w:w="5630" w:type="dxa"/>
        <w:jc w:val="left"/>
        <w:tblInd w:w="0" w:type="dxa"/>
        <w:tblCellMar>
          <w:top w:w="28" w:type="dxa"/>
          <w:left w:w="28" w:type="dxa"/>
          <w:bottom w:w="28" w:type="dxa"/>
          <w:right w:w="28" w:type="dxa"/>
        </w:tblCellMar>
      </w:tblPr>
      <w:tblGrid>
        <w:gridCol w:w="2356"/>
        <w:gridCol w:w="196"/>
        <w:gridCol w:w="1291"/>
        <w:gridCol w:w="196"/>
        <w:gridCol w:w="1591"/>
      </w:tblGrid>
      <w:tr>
        <w:trPr/>
        <w:tc>
          <w:tcPr>
            <w:tcW w:w="23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r>
      <w:tr>
        <w:trPr/>
        <w:tc>
          <w:tcPr>
            <w:tcW w:w="235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235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07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Raw Material</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2,743</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3,070</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Packaging and Miscellaneous</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9,718</w:t>
            </w:r>
          </w:p>
        </w:tc>
        <w:tc>
          <w:tcPr>
            <w:tcW w:w="196" w:type="dxa"/>
            <w:tcBorders/>
            <w:shd w:fill="auto" w:val="clear"/>
            <w:vAlign w:val="center"/>
          </w:tcPr>
          <w:p>
            <w:pPr>
              <w:pStyle w:val="TableContents"/>
              <w:spacing w:before="0" w:after="0"/>
              <w:ind w:left="0" w:right="0" w:hanging="0"/>
              <w:jc w:val="center"/>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9,847</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Work in Process</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57,982</w:t>
            </w:r>
          </w:p>
        </w:tc>
        <w:tc>
          <w:tcPr>
            <w:tcW w:w="196" w:type="dxa"/>
            <w:tcBorders/>
            <w:shd w:fill="auto" w:val="clear"/>
            <w:vAlign w:val="center"/>
          </w:tcPr>
          <w:p>
            <w:pPr>
              <w:pStyle w:val="TableContents"/>
              <w:spacing w:before="0" w:after="0"/>
              <w:ind w:left="0" w:right="0" w:hanging="0"/>
              <w:jc w:val="center"/>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57,287</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Finished Goods</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54,728</w:t>
            </w:r>
          </w:p>
        </w:tc>
        <w:tc>
          <w:tcPr>
            <w:tcW w:w="196" w:type="dxa"/>
            <w:tcBorders/>
            <w:shd w:fill="auto" w:val="clear"/>
            <w:vAlign w:val="center"/>
          </w:tcPr>
          <w:p>
            <w:pPr>
              <w:pStyle w:val="TableContents"/>
              <w:spacing w:before="0" w:after="0"/>
              <w:ind w:left="0" w:right="0" w:hanging="0"/>
              <w:jc w:val="center"/>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49,268</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Reserve for Obsolete Inventory</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(4,102)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(3,797)</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Inventories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121,069</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115,675</w:t>
            </w:r>
          </w:p>
        </w:tc>
      </w:tr>
    </w:tbl>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3. PROPERTY AND EQUIPMENT</w:t>
      </w:r>
    </w:p>
    <w:p>
      <w:pPr>
        <w:pStyle w:val="TextBody"/>
        <w:spacing w:before="0" w:after="0"/>
        <w:jc w:val="left"/>
        <w:rPr/>
      </w:pPr>
      <w:r>
        <w:rPr/>
        <w:t> </w:t>
      </w:r>
    </w:p>
    <w:p>
      <w:pPr>
        <w:pStyle w:val="TextBody"/>
        <w:pBdr>
          <w:top w:val="single" w:sz="8" w:space="1" w:color="000000"/>
        </w:pBdr>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At March 31, 2023 and December 31, 2022, property and equipment consisted of the following:</w:t>
      </w:r>
      <w:r>
        <w:rPr>
          <w:rFonts w:ascii="Times New Roman" w:hAnsi="Times New Roman"/>
          <w:sz w:val="20"/>
        </w:rPr>
        <w:t xml:space="preserve"> </w:t>
      </w:r>
    </w:p>
    <w:p>
      <w:pPr>
        <w:pStyle w:val="TextBody"/>
        <w:spacing w:before="0" w:after="0"/>
        <w:jc w:val="left"/>
        <w:rPr/>
      </w:pPr>
      <w:r>
        <w:rPr/>
        <w:t> </w:t>
      </w:r>
    </w:p>
    <w:tbl>
      <w:tblPr>
        <w:tblW w:w="6035" w:type="dxa"/>
        <w:jc w:val="left"/>
        <w:tblInd w:w="0" w:type="dxa"/>
        <w:tblCellMar>
          <w:top w:w="28" w:type="dxa"/>
          <w:left w:w="28" w:type="dxa"/>
          <w:bottom w:w="28" w:type="dxa"/>
          <w:right w:w="28" w:type="dxa"/>
        </w:tblCellMar>
      </w:tblPr>
      <w:tblGrid>
        <w:gridCol w:w="2761"/>
        <w:gridCol w:w="196"/>
        <w:gridCol w:w="1291"/>
        <w:gridCol w:w="196"/>
        <w:gridCol w:w="1591"/>
      </w:tblGrid>
      <w:tr>
        <w:trPr/>
        <w:tc>
          <w:tcPr>
            <w:tcW w:w="27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r>
      <w:tr>
        <w:trPr/>
        <w:tc>
          <w:tcPr>
            <w:tcW w:w="276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276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07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Buildings and Improvements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180,790</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176,874</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Equipment, Computers and Furniture</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130,499</w:t>
            </w:r>
          </w:p>
        </w:tc>
        <w:tc>
          <w:tcPr>
            <w:tcW w:w="196" w:type="dxa"/>
            <w:tcBorders/>
            <w:shd w:fill="auto" w:val="clear"/>
            <w:vAlign w:val="center"/>
          </w:tcPr>
          <w:p>
            <w:pPr>
              <w:pStyle w:val="TableContents"/>
              <w:spacing w:before="0" w:after="0"/>
              <w:ind w:left="0" w:right="0" w:hanging="0"/>
              <w:jc w:val="lef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122,568</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Leasehold Improvements</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147,853</w:t>
            </w:r>
          </w:p>
        </w:tc>
        <w:tc>
          <w:tcPr>
            <w:tcW w:w="196" w:type="dxa"/>
            <w:tcBorders/>
            <w:shd w:fill="auto" w:val="clear"/>
            <w:vAlign w:val="center"/>
          </w:tcPr>
          <w:p>
            <w:pPr>
              <w:pStyle w:val="TableContents"/>
              <w:spacing w:before="0" w:after="0"/>
              <w:ind w:left="0" w:right="0" w:hanging="0"/>
              <w:jc w:val="lef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135,524</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Land Improvements</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847</w:t>
            </w:r>
          </w:p>
        </w:tc>
        <w:tc>
          <w:tcPr>
            <w:tcW w:w="196" w:type="dxa"/>
            <w:tcBorders/>
            <w:shd w:fill="auto" w:val="clear"/>
            <w:vAlign w:val="center"/>
          </w:tcPr>
          <w:p>
            <w:pPr>
              <w:pStyle w:val="TableContents"/>
              <w:spacing w:before="0" w:after="0"/>
              <w:ind w:left="0" w:right="0" w:hanging="0"/>
              <w:jc w:val="lef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847</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Capitalized Interest</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21,178</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16,934</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Property and Equipment</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481,167</w:t>
            </w:r>
          </w:p>
        </w:tc>
        <w:tc>
          <w:tcPr>
            <w:tcW w:w="196" w:type="dxa"/>
            <w:tcBorders/>
            <w:shd w:fill="auto" w:val="clear"/>
            <w:vAlign w:val="center"/>
          </w:tcPr>
          <w:p>
            <w:pPr>
              <w:pStyle w:val="TableContents"/>
              <w:spacing w:before="0" w:after="0"/>
              <w:ind w:left="0" w:right="0" w:hanging="0"/>
              <w:jc w:val="lef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452,747</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Less: Accumulated Depreciation</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(91,541)</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(80,702)</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Property and Equipment, net</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389,626</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372,045</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Land</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30,196</w:t>
            </w:r>
          </w:p>
        </w:tc>
        <w:tc>
          <w:tcPr>
            <w:tcW w:w="196" w:type="dxa"/>
            <w:tcBorders/>
            <w:shd w:fill="auto" w:val="clear"/>
            <w:vAlign w:val="center"/>
          </w:tcPr>
          <w:p>
            <w:pPr>
              <w:pStyle w:val="TableContents"/>
              <w:spacing w:before="0" w:after="0"/>
              <w:ind w:left="0" w:right="0" w:hanging="0"/>
              <w:jc w:val="lef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29,106</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Assets Under Construction</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200,834</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156,722</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Property and Equipment, net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620,656</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557,873</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Assets under construction represent construction in progress related to both cultivation and retail stores not yet completed or otherwise not ready for use.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Depreciation expense for the three months ended March 31, 2023 totaled $10,891</w:t>
      </w:r>
      <w:r>
        <w:rPr>
          <w:rFonts w:ascii="Times New Roman" w:hAnsi="Times New Roman"/>
          <w:sz w:val="20"/>
        </w:rPr>
        <w:t xml:space="preserve"> </w:t>
      </w:r>
      <w:r>
        <w:rPr>
          <w:rFonts w:ascii="Times New Roman;serif" w:hAnsi="Times New Roman;serif"/>
          <w:b w:val="false"/>
          <w:sz w:val="20"/>
        </w:rPr>
        <w:t>thousand, of which $7,356</w:t>
      </w:r>
      <w:r>
        <w:rPr>
          <w:rFonts w:ascii="Times New Roman" w:hAnsi="Times New Roman"/>
          <w:sz w:val="20"/>
        </w:rPr>
        <w:t xml:space="preserve"> </w:t>
      </w:r>
      <w:r>
        <w:rPr>
          <w:rFonts w:ascii="Times New Roman;serif" w:hAnsi="Times New Roman;serif"/>
          <w:b w:val="false"/>
          <w:sz w:val="20"/>
        </w:rPr>
        <w:t>thousand, is included in cost of goods sold. Depreciation expense for the three months ended March 31, 2022 totaled $8,048</w:t>
      </w:r>
      <w:r>
        <w:rPr>
          <w:rFonts w:ascii="Times New Roman" w:hAnsi="Times New Roman"/>
          <w:sz w:val="20"/>
        </w:rPr>
        <w:t xml:space="preserve"> </w:t>
      </w:r>
      <w:r>
        <w:rPr>
          <w:rFonts w:ascii="Times New Roman;serif" w:hAnsi="Times New Roman;serif"/>
          <w:b w:val="false"/>
          <w:sz w:val="20"/>
        </w:rPr>
        <w:t>thousand, of which $5,046</w:t>
      </w:r>
      <w:r>
        <w:rPr>
          <w:rFonts w:ascii="Times New Roman" w:hAnsi="Times New Roman"/>
          <w:sz w:val="20"/>
        </w:rPr>
        <w:t xml:space="preserve"> </w:t>
      </w:r>
      <w:r>
        <w:rPr>
          <w:rFonts w:ascii="Times New Roman;serif" w:hAnsi="Times New Roman;serif"/>
          <w:b w:val="false"/>
          <w:sz w:val="20"/>
        </w:rPr>
        <w:t>thousand, is included in cost of goods sold.</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160" w:after="0"/>
        <w:jc w:val="left"/>
        <w:rPr>
          <w:rFonts w:ascii="Times New Roman;serif" w:hAnsi="Times New Roman;serif"/>
          <w:b/>
          <w:sz w:val="20"/>
        </w:rPr>
      </w:pPr>
      <w:r>
        <w:rPr>
          <w:rFonts w:ascii="Times New Roman;serif" w:hAnsi="Times New Roman;serif"/>
          <w:b/>
          <w:sz w:val="20"/>
        </w:rPr>
        <w:t>4. INTANGIBLE ASSETS AND GOODWILL</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sz w:val="20"/>
        </w:rPr>
        <w:t>(a) Intangible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At March 31, 2023 and December 31, 2022, intangible assets consisted of the following:</w:t>
      </w:r>
      <w:r>
        <w:rPr>
          <w:rFonts w:ascii="Times New Roman" w:hAnsi="Times New Roman"/>
          <w:sz w:val="20"/>
        </w:rPr>
        <w:t xml:space="preserve"> </w:t>
      </w:r>
    </w:p>
    <w:p>
      <w:pPr>
        <w:pStyle w:val="TextBody"/>
        <w:spacing w:before="120" w:after="0"/>
        <w:jc w:val="left"/>
        <w:rPr/>
      </w:pPr>
      <w:r>
        <w:rPr/>
        <w:t> </w:t>
      </w:r>
    </w:p>
    <w:tbl>
      <w:tblPr>
        <w:tblW w:w="10205" w:type="dxa"/>
        <w:jc w:val="left"/>
        <w:tblInd w:w="0" w:type="dxa"/>
        <w:tblCellMar>
          <w:top w:w="28" w:type="dxa"/>
          <w:left w:w="28" w:type="dxa"/>
          <w:bottom w:w="28" w:type="dxa"/>
          <w:right w:w="28" w:type="dxa"/>
        </w:tblCellMar>
      </w:tblPr>
      <w:tblGrid>
        <w:gridCol w:w="1527"/>
        <w:gridCol w:w="196"/>
        <w:gridCol w:w="185"/>
        <w:gridCol w:w="879"/>
        <w:gridCol w:w="146"/>
        <w:gridCol w:w="196"/>
        <w:gridCol w:w="225"/>
        <w:gridCol w:w="1072"/>
        <w:gridCol w:w="146"/>
        <w:gridCol w:w="196"/>
        <w:gridCol w:w="161"/>
        <w:gridCol w:w="765"/>
        <w:gridCol w:w="146"/>
        <w:gridCol w:w="196"/>
        <w:gridCol w:w="185"/>
        <w:gridCol w:w="879"/>
        <w:gridCol w:w="146"/>
        <w:gridCol w:w="196"/>
        <w:gridCol w:w="225"/>
        <w:gridCol w:w="1072"/>
        <w:gridCol w:w="146"/>
        <w:gridCol w:w="196"/>
        <w:gridCol w:w="161"/>
        <w:gridCol w:w="765"/>
        <w:gridCol w:w="198"/>
      </w:tblGrid>
      <w:tr>
        <w:trPr/>
        <w:tc>
          <w:tcPr>
            <w:tcW w:w="15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527"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97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97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27"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0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2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9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0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2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9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27"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97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97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2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Licenses and Permits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85"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660,716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225"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124,691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61"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536,025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85"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660,716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225"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113,800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61"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546,916</w:t>
            </w:r>
          </w:p>
        </w:tc>
        <w:tc>
          <w:tcPr>
            <w:tcW w:w="198" w:type="dxa"/>
            <w:tcBorders/>
            <w:shd w:fill="auto" w:val="clear"/>
            <w:vAlign w:val="center"/>
          </w:tcPr>
          <w:p>
            <w:pPr>
              <w:pStyle w:val="TableContents"/>
              <w:spacing w:before="0" w:after="0"/>
              <w:ind w:left="0" w:right="0" w:hanging="0"/>
              <w:jc w:val="left"/>
              <w:rPr/>
            </w:pPr>
            <w:r>
              <w:rPr/>
              <w:t> </w:t>
            </w:r>
          </w:p>
        </w:tc>
      </w:tr>
      <w:tr>
        <w:trPr/>
        <w:tc>
          <w:tcPr>
            <w:tcW w:w="152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Trademarks</w:t>
            </w:r>
          </w:p>
        </w:tc>
        <w:tc>
          <w:tcPr>
            <w:tcW w:w="196" w:type="dxa"/>
            <w:tcBorders/>
            <w:shd w:fill="auto" w:val="cle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41,511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11,209</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30,302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41,511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10,486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31,025</w:t>
            </w:r>
          </w:p>
        </w:tc>
        <w:tc>
          <w:tcPr>
            <w:tcW w:w="198" w:type="dxa"/>
            <w:tcBorders/>
            <w:shd w:fill="auto" w:val="clear"/>
            <w:vAlign w:val="center"/>
          </w:tcPr>
          <w:p>
            <w:pPr>
              <w:pStyle w:val="TableContents"/>
              <w:spacing w:before="0" w:after="0"/>
              <w:ind w:left="0" w:right="0" w:hanging="0"/>
              <w:jc w:val="left"/>
              <w:rPr/>
            </w:pPr>
            <w:r>
              <w:rPr/>
              <w:t> </w:t>
            </w:r>
          </w:p>
        </w:tc>
      </w:tr>
      <w:tr>
        <w:trPr/>
        <w:tc>
          <w:tcPr>
            <w:tcW w:w="152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Customer Relationships</w:t>
            </w:r>
          </w:p>
        </w:tc>
        <w:tc>
          <w:tcPr>
            <w:tcW w:w="196" w:type="dxa"/>
            <w:tcBorders/>
            <w:shd w:fill="auto" w:val="cle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24,438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14,308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10,130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24,438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13,435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11,003</w:t>
            </w:r>
          </w:p>
        </w:tc>
        <w:tc>
          <w:tcPr>
            <w:tcW w:w="198" w:type="dxa"/>
            <w:tcBorders/>
            <w:shd w:fill="auto" w:val="clear"/>
            <w:vAlign w:val="center"/>
          </w:tcPr>
          <w:p>
            <w:pPr>
              <w:pStyle w:val="TableContents"/>
              <w:spacing w:before="0" w:after="0"/>
              <w:ind w:left="0" w:right="0" w:hanging="0"/>
              <w:jc w:val="left"/>
              <w:rPr/>
            </w:pPr>
            <w:r>
              <w:rPr/>
              <w:t> </w:t>
            </w:r>
          </w:p>
        </w:tc>
      </w:tr>
      <w:tr>
        <w:trPr/>
        <w:tc>
          <w:tcPr>
            <w:tcW w:w="152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Non-Competition Agreements</w:t>
            </w:r>
          </w:p>
        </w:tc>
        <w:tc>
          <w:tcPr>
            <w:tcW w:w="196" w:type="dxa"/>
            <w:tcBorders/>
            <w:shd w:fill="auto" w:val="clear"/>
            <w:vAlign w:val="center"/>
          </w:tcPr>
          <w:p>
            <w:pPr>
              <w:pStyle w:val="TableContents"/>
              <w:spacing w:before="0" w:after="0"/>
              <w:ind w:left="0" w:right="0" w:hanging="0"/>
              <w:jc w:val="center"/>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575</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2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Intangible Assets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729,230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152,321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576,909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729,230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139,711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589,519</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sz w:val="20"/>
        </w:rPr>
      </w:pPr>
      <w:r>
        <w:rPr>
          <w:rFonts w:ascii="Times New Roman;serif" w:hAnsi="Times New Roman;serif"/>
          <w:b w:val="false"/>
          <w:sz w:val="20"/>
        </w:rPr>
        <w:t>The Company recorded amortization expense for the three months ended March 31, 2023 and 2022 of $12,610</w:t>
      </w:r>
      <w:r>
        <w:rPr>
          <w:rFonts w:ascii="Times New Roman" w:hAnsi="Times New Roman"/>
          <w:sz w:val="20"/>
        </w:rPr>
        <w:t xml:space="preserve"> </w:t>
      </w:r>
      <w:r>
        <w:rPr>
          <w:rFonts w:ascii="Times New Roman;serif" w:hAnsi="Times New Roman;serif"/>
          <w:b w:val="false"/>
          <w:sz w:val="20"/>
        </w:rPr>
        <w:t>thousand and $14,942</w:t>
      </w:r>
      <w:r>
        <w:rPr>
          <w:rFonts w:ascii="Times New Roman" w:hAnsi="Times New Roman"/>
          <w:sz w:val="20"/>
        </w:rPr>
        <w:t xml:space="preserve"> </w:t>
      </w:r>
      <w:r>
        <w:rPr>
          <w:rFonts w:ascii="Times New Roman;serif" w:hAnsi="Times New Roman;serif"/>
          <w:b w:val="false"/>
          <w:sz w:val="20"/>
        </w:rPr>
        <w:t>thousand, respectively.</w:t>
      </w:r>
    </w:p>
    <w:p>
      <w:pPr>
        <w:pStyle w:val="TextBody"/>
        <w:spacing w:before="240" w:after="0"/>
        <w:jc w:val="left"/>
        <w:rPr>
          <w:rFonts w:ascii="Times New Roman" w:hAnsi="Times New Roman"/>
          <w:sz w:val="20"/>
        </w:rPr>
      </w:pPr>
      <w:r>
        <w:rPr>
          <w:rFonts w:ascii="Times New Roman;serif" w:hAnsi="Times New Roman;serif"/>
          <w:b w:val="false"/>
          <w:sz w:val="20"/>
        </w:rPr>
        <w:t>The following table outlines the estimated annual amortization expense related to intangible assets as of March 31, 2023:</w:t>
      </w:r>
      <w:r>
        <w:rPr>
          <w:rFonts w:ascii="Times New Roman" w:hAnsi="Times New Roman"/>
          <w:sz w:val="20"/>
        </w:rPr>
        <w:t xml:space="preserve"> </w:t>
      </w:r>
    </w:p>
    <w:tbl>
      <w:tblPr>
        <w:tblW w:w="3438" w:type="dxa"/>
        <w:jc w:val="left"/>
        <w:tblInd w:w="0" w:type="dxa"/>
        <w:tblCellMar>
          <w:top w:w="28" w:type="dxa"/>
          <w:left w:w="28" w:type="dxa"/>
          <w:bottom w:w="28" w:type="dxa"/>
          <w:right w:w="28" w:type="dxa"/>
        </w:tblCellMar>
      </w:tblPr>
      <w:tblGrid>
        <w:gridCol w:w="2071"/>
        <w:gridCol w:w="196"/>
        <w:gridCol w:w="1171"/>
      </w:tblGrid>
      <w:tr>
        <w:trPr/>
        <w:tc>
          <w:tcPr>
            <w:tcW w:w="20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Estimated </w:t>
              <w:br/>
              <w:t>Amortization</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Year Ending December 31,</w:t>
            </w:r>
          </w:p>
        </w:tc>
        <w:tc>
          <w:tcPr>
            <w:tcW w:w="19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Remainder of 2023</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38,230</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2024</w:t>
            </w:r>
          </w:p>
        </w:tc>
        <w:tc>
          <w:tcPr>
            <w:tcW w:w="19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50,392</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2025</w:t>
            </w:r>
          </w:p>
        </w:tc>
        <w:tc>
          <w:tcPr>
            <w:tcW w:w="19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50,294</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2026</w:t>
            </w:r>
          </w:p>
        </w:tc>
        <w:tc>
          <w:tcPr>
            <w:tcW w:w="19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47,332</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2027</w:t>
            </w:r>
          </w:p>
        </w:tc>
        <w:tc>
          <w:tcPr>
            <w:tcW w:w="19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46,803</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2028 and Thereafter</w:t>
            </w:r>
          </w:p>
        </w:tc>
        <w:tc>
          <w:tcPr>
            <w:tcW w:w="19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343,858</w:t>
            </w:r>
          </w:p>
        </w:tc>
      </w:tr>
      <w:tr>
        <w:trPr/>
        <w:tc>
          <w:tcPr>
            <w:tcW w:w="2071"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576,909</w:t>
            </w:r>
          </w:p>
        </w:tc>
      </w:tr>
    </w:tbl>
    <w:p>
      <w:pPr>
        <w:pStyle w:val="TextBody"/>
        <w:spacing w:before="360" w:after="0"/>
        <w:jc w:val="left"/>
        <w:rPr>
          <w:rFonts w:ascii="Times New Roman" w:hAnsi="Times New Roman"/>
          <w:sz w:val="20"/>
        </w:rPr>
      </w:pPr>
      <w:r>
        <w:rPr>
          <w:rFonts w:ascii="Times New Roman;serif" w:hAnsi="Times New Roman;serif"/>
          <w:b w:val="false"/>
          <w:sz w:val="20"/>
        </w:rPr>
        <w:t>As of March 31, 2023, the weighted average amortization period remaining for intangible assets was 12.07</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(b) Goodwill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March 31, 2023 and December 31, 2022 the balances of goodwill, by segment, consisted of the following:</w:t>
      </w:r>
      <w:r>
        <w:rPr>
          <w:rFonts w:ascii="Times New Roman" w:hAnsi="Times New Roman"/>
          <w:sz w:val="20"/>
        </w:rPr>
        <w:t xml:space="preserve"> </w:t>
      </w:r>
    </w:p>
    <w:p>
      <w:pPr>
        <w:pStyle w:val="TextBody"/>
        <w:spacing w:before="120" w:after="0"/>
        <w:jc w:val="left"/>
        <w:rPr/>
      </w:pPr>
      <w:r>
        <w:rPr/>
        <w:t> </w:t>
      </w:r>
    </w:p>
    <w:tbl>
      <w:tblPr>
        <w:tblW w:w="6127" w:type="dxa"/>
        <w:jc w:val="left"/>
        <w:tblInd w:w="0" w:type="dxa"/>
        <w:tblCellMar>
          <w:top w:w="28" w:type="dxa"/>
          <w:left w:w="28" w:type="dxa"/>
          <w:bottom w:w="28" w:type="dxa"/>
          <w:right w:w="28" w:type="dxa"/>
        </w:tblCellMar>
      </w:tblPr>
      <w:tblGrid>
        <w:gridCol w:w="2011"/>
        <w:gridCol w:w="196"/>
        <w:gridCol w:w="691"/>
        <w:gridCol w:w="196"/>
        <w:gridCol w:w="2101"/>
        <w:gridCol w:w="196"/>
        <w:gridCol w:w="736"/>
      </w:tblGrid>
      <w:tr>
        <w:trPr/>
        <w:tc>
          <w:tcPr>
            <w:tcW w:w="201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Retail</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Consumer Packaged Goods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r>
      <w:tr>
        <w:trPr/>
        <w:tc>
          <w:tcPr>
            <w:tcW w:w="201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92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 of December 31, 2022</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273,802</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315,889</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589,691</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 of March 31, 2023</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273,802</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21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315,889</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589,691</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240" w:after="0"/>
        <w:jc w:val="left"/>
        <w:rPr>
          <w:rFonts w:ascii="Times New Roman;serif" w:hAnsi="Times New Roman;serif"/>
          <w:b/>
          <w:sz w:val="20"/>
        </w:rPr>
      </w:pPr>
      <w:r>
        <w:rPr>
          <w:rFonts w:ascii="Times New Roman;serif" w:hAnsi="Times New Roman;serif"/>
          <w:b/>
          <w:sz w:val="20"/>
        </w:rPr>
        <w:t>5. INVESTMENTS</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the Company held various equity interests in cannabis companies as well as investments in convertible notes that had a combined fair value of $75,668</w:t>
      </w:r>
      <w:r>
        <w:rPr>
          <w:rFonts w:ascii="Times New Roman" w:hAnsi="Times New Roman"/>
          <w:sz w:val="20"/>
        </w:rPr>
        <w:t xml:space="preserve"> </w:t>
      </w:r>
      <w:r>
        <w:rPr>
          <w:rFonts w:ascii="Times New Roman;serif" w:hAnsi="Times New Roman;serif"/>
          <w:b w:val="false"/>
          <w:sz w:val="20"/>
        </w:rPr>
        <w:t>thousand and $74,169</w:t>
      </w:r>
      <w:r>
        <w:rPr>
          <w:rFonts w:ascii="Times New Roman" w:hAnsi="Times New Roman"/>
          <w:sz w:val="20"/>
        </w:rPr>
        <w:t xml:space="preserve"> </w:t>
      </w:r>
      <w:r>
        <w:rPr>
          <w:rFonts w:ascii="Times New Roman;serif" w:hAnsi="Times New Roman;serif"/>
          <w:b w:val="false"/>
          <w:sz w:val="20"/>
        </w:rPr>
        <w:t>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table summarizes the changes in the Company’s investments during the three months ended March 31, 2023 and year ending December 31, 2022:</w:t>
      </w:r>
      <w:r>
        <w:rPr>
          <w:rFonts w:ascii="Times New Roman" w:hAnsi="Times New Roman"/>
          <w:sz w:val="20"/>
        </w:rPr>
        <w:t xml:space="preserve"> </w:t>
      </w:r>
    </w:p>
    <w:p>
      <w:pPr>
        <w:pStyle w:val="TextBody"/>
        <w:spacing w:before="0" w:after="0"/>
        <w:jc w:val="left"/>
        <w:rPr/>
      </w:pPr>
      <w:r>
        <w:rPr/>
        <w:t> </w:t>
      </w:r>
    </w:p>
    <w:tbl>
      <w:tblPr>
        <w:tblW w:w="5510" w:type="dxa"/>
        <w:jc w:val="left"/>
        <w:tblInd w:w="0" w:type="dxa"/>
        <w:tblCellMar>
          <w:top w:w="28" w:type="dxa"/>
          <w:left w:w="28" w:type="dxa"/>
          <w:bottom w:w="28" w:type="dxa"/>
          <w:right w:w="28" w:type="dxa"/>
        </w:tblCellMar>
      </w:tblPr>
      <w:tblGrid>
        <w:gridCol w:w="1876"/>
        <w:gridCol w:w="211"/>
        <w:gridCol w:w="1441"/>
        <w:gridCol w:w="211"/>
        <w:gridCol w:w="1771"/>
      </w:tblGrid>
      <w:tr>
        <w:trPr/>
        <w:tc>
          <w:tcPr>
            <w:tcW w:w="18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r>
      <w:tr>
        <w:trPr/>
        <w:tc>
          <w:tcPr>
            <w:tcW w:w="1876" w:type="dxa"/>
            <w:tcBorders/>
            <w:shd w:fill="auto" w:val="clear"/>
            <w:vAlign w:val="center"/>
          </w:tcPr>
          <w:p>
            <w:pPr>
              <w:pStyle w:val="TableContents"/>
              <w:spacing w:before="0" w:after="0"/>
              <w:ind w:left="0" w:right="0" w:hanging="0"/>
              <w:jc w:val="left"/>
              <w:rPr/>
            </w:pPr>
            <w:r>
              <w:rPr/>
              <w:t> </w:t>
            </w:r>
          </w:p>
        </w:tc>
        <w:tc>
          <w:tcPr>
            <w:tcW w:w="3634" w:type="dxa"/>
            <w:gridSpan w:val="4"/>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74,169</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77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94,902</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w:t>
            </w:r>
          </w:p>
        </w:tc>
        <w:tc>
          <w:tcPr>
            <w:tcW w:w="211" w:type="dxa"/>
            <w:tcBorders/>
            <w:shd w:fill="auto" w:val="clear"/>
            <w:vAlign w:val="center"/>
          </w:tcPr>
          <w:p>
            <w:pPr>
              <w:pStyle w:val="TableContents"/>
              <w:spacing w:before="0" w:after="0"/>
              <w:ind w:left="0" w:right="0" w:hanging="0"/>
              <w:jc w:val="center"/>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2,200</w:t>
            </w:r>
          </w:p>
        </w:tc>
        <w:tc>
          <w:tcPr>
            <w:tcW w:w="211" w:type="dxa"/>
            <w:tcBorders/>
            <w:shd w:fill="auto" w:val="clear"/>
            <w:vAlign w:val="center"/>
          </w:tcPr>
          <w:p>
            <w:pPr>
              <w:pStyle w:val="TableContents"/>
              <w:spacing w:before="0" w:after="0"/>
              <w:ind w:left="0" w:right="0" w:hanging="0"/>
              <w:jc w:val="center"/>
              <w:rPr/>
            </w:pPr>
            <w:r>
              <w:rPr/>
              <w:t> </w:t>
            </w:r>
          </w:p>
        </w:tc>
        <w:tc>
          <w:tcPr>
            <w:tcW w:w="1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5,444</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Disposals</w:t>
            </w:r>
          </w:p>
        </w:tc>
        <w:tc>
          <w:tcPr>
            <w:tcW w:w="211" w:type="dxa"/>
            <w:tcBorders/>
            <w:shd w:fill="auto" w:val="clear"/>
            <w:vAlign w:val="center"/>
          </w:tcPr>
          <w:p>
            <w:pPr>
              <w:pStyle w:val="TableContents"/>
              <w:spacing w:before="0" w:after="0"/>
              <w:ind w:left="0" w:right="0" w:hanging="0"/>
              <w:jc w:val="center"/>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211" w:type="dxa"/>
            <w:tcBorders/>
            <w:shd w:fill="auto" w:val="clear"/>
            <w:vAlign w:val="center"/>
          </w:tcPr>
          <w:p>
            <w:pPr>
              <w:pStyle w:val="TableContents"/>
              <w:spacing w:before="0" w:after="0"/>
              <w:ind w:left="0" w:right="0" w:hanging="0"/>
              <w:jc w:val="center"/>
              <w:rPr/>
            </w:pPr>
            <w:r>
              <w:rPr/>
              <w:t> </w:t>
            </w:r>
          </w:p>
        </w:tc>
        <w:tc>
          <w:tcPr>
            <w:tcW w:w="1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adjustment</w:t>
            </w:r>
          </w:p>
        </w:tc>
        <w:tc>
          <w:tcPr>
            <w:tcW w:w="211" w:type="dxa"/>
            <w:tcBorders/>
            <w:shd w:fill="auto" w:val="clear"/>
            <w:vAlign w:val="center"/>
          </w:tcPr>
          <w:p>
            <w:pPr>
              <w:pStyle w:val="TableContents"/>
              <w:spacing w:before="0" w:after="0"/>
              <w:ind w:left="0" w:right="0" w:hanging="0"/>
              <w:jc w:val="center"/>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211" w:type="dxa"/>
            <w:tcBorders/>
            <w:shd w:fill="auto" w:val="clear"/>
            <w:vAlign w:val="center"/>
          </w:tcPr>
          <w:p>
            <w:pPr>
              <w:pStyle w:val="TableContents"/>
              <w:spacing w:before="0" w:after="0"/>
              <w:ind w:left="0" w:right="0" w:hanging="0"/>
              <w:jc w:val="center"/>
              <w:rPr/>
            </w:pPr>
            <w:r>
              <w:rPr/>
              <w:t> </w:t>
            </w:r>
          </w:p>
        </w:tc>
        <w:tc>
          <w:tcPr>
            <w:tcW w:w="1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(22,606)</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and other</w:t>
            </w:r>
          </w:p>
        </w:tc>
        <w:tc>
          <w:tcPr>
            <w:tcW w:w="211" w:type="dxa"/>
            <w:tcBorders/>
            <w:shd w:fill="auto" w:val="clear"/>
            <w:vAlign w:val="center"/>
          </w:tcPr>
          <w:p>
            <w:pPr>
              <w:pStyle w:val="TableContents"/>
              <w:spacing w:before="0" w:after="0"/>
              <w:ind w:left="0" w:right="0" w:hanging="0"/>
              <w:jc w:val="center"/>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75,668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74,169</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2023, the Company recorded a fair value loss, net of $(351)</w:t>
      </w:r>
      <w:r>
        <w:rPr>
          <w:rFonts w:ascii="Times New Roman" w:hAnsi="Times New Roman"/>
          <w:sz w:val="20"/>
        </w:rPr>
        <w:t xml:space="preserve"> </w:t>
      </w:r>
      <w:r>
        <w:rPr>
          <w:rFonts w:ascii="Times New Roman;serif" w:hAnsi="Times New Roman;serif"/>
          <w:b w:val="false"/>
          <w:sz w:val="20"/>
        </w:rPr>
        <w:t>thousand, of which $(479)</w:t>
      </w:r>
      <w:r>
        <w:rPr>
          <w:rFonts w:ascii="Times New Roman" w:hAnsi="Times New Roman"/>
          <w:sz w:val="20"/>
        </w:rPr>
        <w:t xml:space="preserve"> </w:t>
      </w:r>
      <w:r>
        <w:rPr>
          <w:rFonts w:ascii="Times New Roman;serif" w:hAnsi="Times New Roman;serif"/>
          <w:b w:val="false"/>
          <w:sz w:val="20"/>
        </w:rPr>
        <w:t>thousand associated with the Company's equity investments was recorded within other income (expense) and $128</w:t>
      </w:r>
      <w:r>
        <w:rPr>
          <w:rFonts w:ascii="Times New Roman" w:hAnsi="Times New Roman"/>
          <w:sz w:val="20"/>
        </w:rPr>
        <w:t xml:space="preserve"> </w:t>
      </w:r>
      <w:r>
        <w:rPr>
          <w:rFonts w:ascii="Times New Roman;serif" w:hAnsi="Times New Roman;serif"/>
          <w:b w:val="false"/>
          <w:sz w:val="20"/>
        </w:rPr>
        <w:t>thousand associated with various note receivable investments, was recorded to interest income, net on the unaudited interim condensed consolidated statement of operations.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(a) Equity Investments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and December 31, 2022, the Company held equity investments in publicly traded entities which have readily determinable fair values, which are classified as Level 1 investments, of $2,056</w:t>
      </w:r>
      <w:r>
        <w:rPr>
          <w:rFonts w:ascii="Times New Roman" w:hAnsi="Times New Roman"/>
          <w:sz w:val="20"/>
        </w:rPr>
        <w:t xml:space="preserve"> </w:t>
      </w:r>
      <w:r>
        <w:rPr>
          <w:rFonts w:ascii="Times New Roman;serif" w:hAnsi="Times New Roman;serif"/>
          <w:b w:val="false"/>
          <w:sz w:val="20"/>
        </w:rPr>
        <w:t>thousand and $2,535</w:t>
      </w:r>
      <w:r>
        <w:rPr>
          <w:rFonts w:ascii="Times New Roman" w:hAnsi="Times New Roman"/>
          <w:sz w:val="20"/>
        </w:rPr>
        <w:t xml:space="preserve"> </w:t>
      </w:r>
      <w:r>
        <w:rPr>
          <w:rFonts w:ascii="Times New Roman;serif" w:hAnsi="Times New Roman;serif"/>
          <w:b w:val="false"/>
          <w:sz w:val="20"/>
        </w:rPr>
        <w:t>thousand, respectively. During the three months ended March 31, 2023 and 2022, the Company recorded net losses on the change in fair value of such investments of $(479)</w:t>
      </w:r>
      <w:r>
        <w:rPr>
          <w:rFonts w:ascii="Times New Roman" w:hAnsi="Times New Roman"/>
          <w:sz w:val="20"/>
        </w:rPr>
        <w:t xml:space="preserve"> </w:t>
      </w:r>
      <w:r>
        <w:rPr>
          <w:rFonts w:ascii="Times New Roman;serif" w:hAnsi="Times New Roman;serif"/>
          <w:b w:val="false"/>
          <w:sz w:val="20"/>
        </w:rPr>
        <w:t>thousand and $(7,897) thousand, respectively, within other income (expense) on the unaudited interim condensed consolidated statement of operations. The Company received proceeds from the sale of such investments of $160 thousand during the three months ended March 31, 2022. There were no such sales of these investments during the three months ended March 31, 2023. These investments are classified as trading securities on the Company's unaudited interim condensed consolidated balance sheets.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As of March 31, 2023 and December 31, 2022, the Company held equity investments in privately held entities that did not have readily determinable fair values, which are classified as Level 3 investments, of $42,330</w:t>
      </w:r>
      <w:r>
        <w:rPr>
          <w:rFonts w:ascii="Times New Roman" w:hAnsi="Times New Roman"/>
          <w:sz w:val="20"/>
        </w:rPr>
        <w:t xml:space="preserve"> </w:t>
      </w:r>
      <w:r>
        <w:rPr>
          <w:rFonts w:ascii="Times New Roman;serif" w:hAnsi="Times New Roman;serif"/>
          <w:b w:val="false"/>
          <w:sz w:val="20"/>
        </w:rPr>
        <w:t>thousand and $40,330</w:t>
      </w:r>
      <w:r>
        <w:rPr>
          <w:rFonts w:ascii="Times New Roman" w:hAnsi="Times New Roman"/>
          <w:sz w:val="20"/>
        </w:rPr>
        <w:t xml:space="preserve"> </w:t>
      </w:r>
      <w:r>
        <w:rPr>
          <w:rFonts w:ascii="Times New Roman;serif" w:hAnsi="Times New Roman;serif"/>
          <w:b w:val="false"/>
          <w:sz w:val="20"/>
        </w:rPr>
        <w:t>thousand, respectively. For the three months ended March 31, 2023, there were no gains or losses on the change in fair value of such investments. During the three months ended March 31, 2022, the Company recorded net gains on the change in fair value of such investments of $455</w:t>
      </w:r>
      <w:r>
        <w:rPr>
          <w:rFonts w:ascii="Times New Roman" w:hAnsi="Times New Roman"/>
          <w:sz w:val="20"/>
        </w:rPr>
        <w:t xml:space="preserve"> </w:t>
      </w:r>
      <w:r>
        <w:rPr>
          <w:rFonts w:ascii="Times New Roman;serif" w:hAnsi="Times New Roman;serif"/>
          <w:b w:val="false"/>
          <w:sz w:val="20"/>
        </w:rPr>
        <w:t>thousand, within other income (expense) on the unaudited interim condensed consolidated statement of operations. There were no sales of these investments during these periods. These investments are classified as trading securities on the Company's unaudited interim condensed consolidated balance sheets.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See Note 14 - Fair Value Measurements for additional details.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Unrealized net losses recognized on equity investments held during the three months ended March 31, 2023 and 2022 were $(477)</w:t>
      </w:r>
      <w:r>
        <w:rPr>
          <w:rFonts w:ascii="Times New Roman" w:hAnsi="Times New Roman"/>
          <w:sz w:val="20"/>
        </w:rPr>
        <w:t xml:space="preserve"> </w:t>
      </w:r>
      <w:r>
        <w:rPr>
          <w:rFonts w:ascii="Times New Roman;serif" w:hAnsi="Times New Roman;serif"/>
          <w:b w:val="false"/>
          <w:sz w:val="20"/>
        </w:rPr>
        <w:t>thousand and $(9,477) thousand, respectively.</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0" w:after="0"/>
        <w:jc w:val="left"/>
        <w:rPr>
          <w:rFonts w:ascii="Times New Roman" w:hAnsi="Times New Roman"/>
          <w:sz w:val="20"/>
        </w:rPr>
      </w:pPr>
      <w:r>
        <w:rPr>
          <w:rFonts w:ascii="Times New Roman;serif" w:hAnsi="Times New Roman;serif"/>
          <w:b/>
          <w:sz w:val="20"/>
        </w:rPr>
        <w:t xml:space="preserve">5. INVESTMENTS </w:t>
      </w:r>
      <w:r>
        <w:rPr>
          <w:rFonts w:ascii="Times New Roman;serif" w:hAnsi="Times New Roman;serif"/>
          <w:b w:val="false"/>
          <w:i/>
          <w:sz w:val="20"/>
        </w:rPr>
        <w:t>(Continued)</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(b) Notes Receivable Instruments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2023 and year ended December 31, 2022, the Company made multiple investments in various note receivable instruments, including note receivable instruments with conversion features.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and December 31, 2022, the Company held note receivable instruments, which were classified as a Level 1 investment as they represent public debt of a publicly traded entity, and had a fair value of $22,214</w:t>
      </w:r>
      <w:r>
        <w:rPr>
          <w:rFonts w:ascii="Times New Roman" w:hAnsi="Times New Roman"/>
          <w:sz w:val="20"/>
        </w:rPr>
        <w:t xml:space="preserve"> </w:t>
      </w:r>
      <w:r>
        <w:rPr>
          <w:rFonts w:ascii="Times New Roman;serif" w:hAnsi="Times New Roman;serif"/>
          <w:b w:val="false"/>
          <w:sz w:val="20"/>
        </w:rPr>
        <w:t>thousand as of each period end, respectively. There were no</w:t>
      </w:r>
      <w:r>
        <w:rPr>
          <w:rFonts w:ascii="Times New Roman" w:hAnsi="Times New Roman"/>
          <w:sz w:val="20"/>
        </w:rPr>
        <w:t xml:space="preserve"> </w:t>
      </w:r>
      <w:r>
        <w:rPr>
          <w:rFonts w:ascii="Times New Roman;serif" w:hAnsi="Times New Roman;serif"/>
          <w:b w:val="false"/>
          <w:sz w:val="20"/>
        </w:rPr>
        <w:t>gains or losses recognized on these investments during the three months ended March 31, 2023. During the three months ended March 31, 2022, the Company recorded net losses on the change in fair value of such investments of $(276) thousand within other income (expense) on the unaudited interim condensed consolidated statement of operations. The notes receivable had a stated interest rate of 13% and a maturity date of April 29, 2025. The notes did not contain any conversion features and are currently classified as trading securities on the Company's unaudited interim condensed consolidated balance sheets.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and December 31, 2022, the Company held note receivable instruments, which were classified as Level 3 investments as they represent loans provided to privately held entities that do not have readily determinable fair values. The note receivable instruments had a combined fair value of $9,068</w:t>
      </w:r>
      <w:r>
        <w:rPr>
          <w:rFonts w:ascii="Times New Roman" w:hAnsi="Times New Roman"/>
          <w:sz w:val="20"/>
        </w:rPr>
        <w:t xml:space="preserve"> </w:t>
      </w:r>
      <w:r>
        <w:rPr>
          <w:rFonts w:ascii="Times New Roman;serif" w:hAnsi="Times New Roman;serif"/>
          <w:b w:val="false"/>
          <w:sz w:val="20"/>
        </w:rPr>
        <w:t>thousand and $9,090</w:t>
      </w:r>
      <w:r>
        <w:rPr>
          <w:rFonts w:ascii="Times New Roman" w:hAnsi="Times New Roman"/>
          <w:sz w:val="20"/>
        </w:rPr>
        <w:t xml:space="preserve"> </w:t>
      </w:r>
      <w:r>
        <w:rPr>
          <w:rFonts w:ascii="Times New Roman;serif" w:hAnsi="Times New Roman;serif"/>
          <w:b w:val="false"/>
          <w:sz w:val="20"/>
        </w:rPr>
        <w:t>thousand, respectively, with stated interest ranging between 0.91% - 10% and terms between 15</w:t>
      </w:r>
      <w:r>
        <w:rPr>
          <w:rFonts w:ascii="Times New Roman" w:hAnsi="Times New Roman"/>
          <w:sz w:val="20"/>
        </w:rPr>
        <w:t xml:space="preserve"> </w:t>
      </w:r>
      <w:r>
        <w:rPr>
          <w:rFonts w:ascii="Times New Roman;serif" w:hAnsi="Times New Roman;serif"/>
          <w:b w:val="false"/>
          <w:sz w:val="20"/>
        </w:rPr>
        <w:t>months to five years. There were no</w:t>
      </w:r>
      <w:r>
        <w:rPr>
          <w:rFonts w:ascii="Times New Roman" w:hAnsi="Times New Roman"/>
          <w:sz w:val="20"/>
        </w:rPr>
        <w:t xml:space="preserve"> </w:t>
      </w:r>
      <w:r>
        <w:rPr>
          <w:rFonts w:ascii="Times New Roman;serif" w:hAnsi="Times New Roman;serif"/>
          <w:b w:val="false"/>
          <w:sz w:val="20"/>
        </w:rPr>
        <w:t>gains or losses recognized on these investments during the three months ended March 31, 2023. During the three months ended March 31, 2022, the Company recorded net losses on the change in fair value of such investments of $(1,891) thousand within other income (expense) on the unaudited interim condensed consolidated statements of operations. The combined fair value amounts include the initial investment cost and combined contractual accrued interest of $128</w:t>
      </w:r>
      <w:r>
        <w:rPr>
          <w:rFonts w:ascii="Times New Roman" w:hAnsi="Times New Roman"/>
          <w:sz w:val="20"/>
        </w:rPr>
        <w:t xml:space="preserve"> </w:t>
      </w:r>
      <w:r>
        <w:rPr>
          <w:rFonts w:ascii="Times New Roman;serif" w:hAnsi="Times New Roman;serif"/>
          <w:b w:val="false"/>
          <w:sz w:val="20"/>
        </w:rPr>
        <w:t>thousand. These notes are classified as trading securities on the Company's unaudited interim condensed consolidated balance sheets.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See Note 14 - Fair Value Measurements for additional details.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0" w:after="0"/>
        <w:jc w:val="left"/>
        <w:rPr>
          <w:rFonts w:ascii="Times New Roman;serif" w:hAnsi="Times New Roman;serif"/>
          <w:b/>
          <w:sz w:val="20"/>
        </w:rPr>
      </w:pPr>
      <w:r>
        <w:rPr>
          <w:rFonts w:ascii="Times New Roman;serif" w:hAnsi="Times New Roman;serif"/>
          <w:b/>
          <w:sz w:val="20"/>
        </w:rPr>
        <w:t>6. LEASES</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(a) Operating Leases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has operating leases for its retail stores and processing and cultivation facilities located throughout the U.S, as well as for corporate office space located in Illinois. Operating lease right-of-use assets and operating lease liabilities are recognized based on the present value of future minimum lease payments over the lease term at commencement date.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pStyle w:val="TextBody"/>
        <w:spacing w:before="0" w:after="0"/>
        <w:jc w:val="left"/>
        <w:rPr>
          <w:rFonts w:ascii="Times New Roman" w:hAnsi="Times New Roman"/>
          <w:sz w:val="20"/>
        </w:rPr>
      </w:pPr>
      <w:r>
        <w:rPr>
          <w:rFonts w:ascii="Times New Roman;serif" w:hAnsi="Times New Roman;serif"/>
          <w:b w:val="false"/>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months ended March 31, 2023 and 2022, the Company recorded operating lease expense of $12,222</w:t>
      </w:r>
      <w:r>
        <w:rPr>
          <w:rFonts w:ascii="Times New Roman" w:hAnsi="Times New Roman"/>
          <w:sz w:val="20"/>
        </w:rPr>
        <w:t xml:space="preserve"> </w:t>
      </w:r>
      <w:r>
        <w:rPr>
          <w:rFonts w:ascii="Times New Roman;serif" w:hAnsi="Times New Roman;serif"/>
          <w:b w:val="false"/>
          <w:sz w:val="20"/>
        </w:rPr>
        <w:t>thousand and $9,821</w:t>
      </w:r>
      <w:r>
        <w:rPr>
          <w:rFonts w:ascii="Times New Roman" w:hAnsi="Times New Roman"/>
          <w:sz w:val="20"/>
        </w:rPr>
        <w:t xml:space="preserve"> </w:t>
      </w:r>
      <w:r>
        <w:rPr>
          <w:rFonts w:ascii="Times New Roman;serif" w:hAnsi="Times New Roman;serif"/>
          <w:b w:val="false"/>
          <w:sz w:val="20"/>
        </w:rPr>
        <w:t>thousand, respectively.</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Other information related to operating leases as of March 31, 2023 and December 31, 2022 were as follows: </w:t>
      </w:r>
    </w:p>
    <w:p>
      <w:pPr>
        <w:pStyle w:val="TextBody"/>
        <w:spacing w:before="120" w:after="0"/>
        <w:jc w:val="left"/>
        <w:rPr/>
      </w:pPr>
      <w:r>
        <w:rPr/>
        <w:t> </w:t>
      </w:r>
    </w:p>
    <w:tbl>
      <w:tblPr>
        <w:tblW w:w="6475" w:type="dxa"/>
        <w:jc w:val="left"/>
        <w:tblInd w:w="0" w:type="dxa"/>
        <w:tblCellMar>
          <w:top w:w="28" w:type="dxa"/>
          <w:left w:w="28" w:type="dxa"/>
          <w:bottom w:w="28" w:type="dxa"/>
          <w:right w:w="28" w:type="dxa"/>
        </w:tblCellMar>
      </w:tblPr>
      <w:tblGrid>
        <w:gridCol w:w="3376"/>
        <w:gridCol w:w="146"/>
        <w:gridCol w:w="1261"/>
        <w:gridCol w:w="146"/>
        <w:gridCol w:w="1546"/>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remaining lease term (years)</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11.49</w:t>
            </w:r>
          </w:p>
        </w:tc>
        <w:tc>
          <w:tcPr>
            <w:tcW w:w="146" w:type="dxa"/>
            <w:tcBorders/>
            <w:shd w:fill="auto" w:val="clear"/>
            <w:vAlign w:val="center"/>
          </w:tcPr>
          <w:p>
            <w:pPr>
              <w:pStyle w:val="TableContents"/>
              <w:spacing w:before="0" w:after="0"/>
              <w:ind w:left="0" w:right="0" w:hanging="0"/>
              <w:jc w:val="right"/>
              <w:rPr/>
            </w:pPr>
            <w:r>
              <w:rPr/>
              <w:t> </w:t>
            </w:r>
          </w:p>
        </w:tc>
        <w:tc>
          <w:tcPr>
            <w:tcW w:w="15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11.64</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discount rate</w:t>
            </w:r>
          </w:p>
        </w:tc>
        <w:tc>
          <w:tcPr>
            <w:tcW w:w="146"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12.40%</w:t>
            </w:r>
          </w:p>
        </w:tc>
        <w:tc>
          <w:tcPr>
            <w:tcW w:w="146" w:type="dxa"/>
            <w:tcBorders/>
            <w:shd w:fill="auto" w:val="clear"/>
            <w:vAlign w:val="center"/>
          </w:tcPr>
          <w:p>
            <w:pPr>
              <w:pStyle w:val="TableContents"/>
              <w:spacing w:before="0" w:after="0"/>
              <w:ind w:left="0" w:right="0" w:hanging="0"/>
              <w:jc w:val="right"/>
              <w:rPr/>
            </w:pPr>
            <w:r>
              <w:rPr/>
              <w:t> </w:t>
            </w:r>
          </w:p>
        </w:tc>
        <w:tc>
          <w:tcPr>
            <w:tcW w:w="15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12.42%</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Maturities of lease liabilities for operating leases as of March 31, 2023 were as follows:</w:t>
      </w:r>
      <w:r>
        <w:rPr>
          <w:rFonts w:ascii="Times New Roman" w:hAnsi="Times New Roman"/>
          <w:sz w:val="20"/>
        </w:rPr>
        <w:t xml:space="preserve"> </w:t>
      </w:r>
    </w:p>
    <w:p>
      <w:pPr>
        <w:pStyle w:val="TextBody"/>
        <w:spacing w:before="0" w:after="0"/>
        <w:jc w:val="left"/>
        <w:rPr/>
      </w:pPr>
      <w:r>
        <w:rPr/>
        <w:t> </w:t>
      </w:r>
    </w:p>
    <w:tbl>
      <w:tblPr>
        <w:tblW w:w="5977" w:type="dxa"/>
        <w:jc w:val="left"/>
        <w:tblInd w:w="0" w:type="dxa"/>
        <w:tblCellMar>
          <w:top w:w="28" w:type="dxa"/>
          <w:left w:w="28" w:type="dxa"/>
          <w:bottom w:w="28" w:type="dxa"/>
          <w:right w:w="28" w:type="dxa"/>
        </w:tblCellMar>
      </w:tblPr>
      <w:tblGrid>
        <w:gridCol w:w="2431"/>
        <w:gridCol w:w="196"/>
        <w:gridCol w:w="976"/>
        <w:gridCol w:w="196"/>
        <w:gridCol w:w="1126"/>
        <w:gridCol w:w="196"/>
        <w:gridCol w:w="856"/>
      </w:tblGrid>
      <w:tr>
        <w:trPr/>
        <w:tc>
          <w:tcPr>
            <w:tcW w:w="24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35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Maturities of Lease Liability</w:t>
            </w:r>
          </w:p>
        </w:tc>
      </w:tr>
      <w:tr>
        <w:trPr/>
        <w:tc>
          <w:tcPr>
            <w:tcW w:w="2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Year Ending December 31,</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Third Party</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Related Party</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r>
      <w:tr>
        <w:trPr/>
        <w:tc>
          <w:tcPr>
            <w:tcW w:w="243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35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Remainder of 2023</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32,391</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428</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32,819</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2024</w:t>
            </w:r>
          </w:p>
        </w:tc>
        <w:tc>
          <w:tcPr>
            <w:tcW w:w="196" w:type="dxa"/>
            <w:tcBorders/>
            <w:shd w:fill="auto" w:val="clear"/>
            <w:vAlign w:val="center"/>
          </w:tcPr>
          <w:p>
            <w:pPr>
              <w:pStyle w:val="TableContents"/>
              <w:spacing w:before="0" w:after="0"/>
              <w:ind w:left="0" w:right="0" w:hanging="0"/>
              <w:jc w:val="center"/>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43,261</w:t>
            </w:r>
          </w:p>
        </w:tc>
        <w:tc>
          <w:tcPr>
            <w:tcW w:w="19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437</w:t>
            </w:r>
          </w:p>
        </w:tc>
        <w:tc>
          <w:tcPr>
            <w:tcW w:w="19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43,698</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2025</w:t>
            </w:r>
          </w:p>
        </w:tc>
        <w:tc>
          <w:tcPr>
            <w:tcW w:w="196" w:type="dxa"/>
            <w:tcBorders/>
            <w:shd w:fill="auto" w:val="clear"/>
            <w:vAlign w:val="center"/>
          </w:tcPr>
          <w:p>
            <w:pPr>
              <w:pStyle w:val="TableContents"/>
              <w:spacing w:before="0" w:after="0"/>
              <w:ind w:left="0" w:right="0" w:hanging="0"/>
              <w:jc w:val="center"/>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40,995</w:t>
            </w:r>
          </w:p>
        </w:tc>
        <w:tc>
          <w:tcPr>
            <w:tcW w:w="19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343</w:t>
            </w:r>
          </w:p>
        </w:tc>
        <w:tc>
          <w:tcPr>
            <w:tcW w:w="19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41,338</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2026</w:t>
            </w:r>
          </w:p>
        </w:tc>
        <w:tc>
          <w:tcPr>
            <w:tcW w:w="196" w:type="dxa"/>
            <w:tcBorders/>
            <w:shd w:fill="auto" w:val="clear"/>
            <w:vAlign w:val="center"/>
          </w:tcPr>
          <w:p>
            <w:pPr>
              <w:pStyle w:val="TableContents"/>
              <w:spacing w:before="0" w:after="0"/>
              <w:ind w:left="0" w:right="0" w:hanging="0"/>
              <w:jc w:val="center"/>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39,316</w:t>
            </w:r>
          </w:p>
        </w:tc>
        <w:tc>
          <w:tcPr>
            <w:tcW w:w="19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w:t>
            </w:r>
          </w:p>
        </w:tc>
        <w:tc>
          <w:tcPr>
            <w:tcW w:w="19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39,666</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2027</w:t>
            </w:r>
          </w:p>
        </w:tc>
        <w:tc>
          <w:tcPr>
            <w:tcW w:w="196" w:type="dxa"/>
            <w:tcBorders/>
            <w:shd w:fill="auto" w:val="clear"/>
            <w:vAlign w:val="center"/>
          </w:tcPr>
          <w:p>
            <w:pPr>
              <w:pStyle w:val="TableContents"/>
              <w:spacing w:before="0" w:after="0"/>
              <w:ind w:left="0" w:right="0" w:hanging="0"/>
              <w:jc w:val="center"/>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39,575</w:t>
            </w:r>
          </w:p>
        </w:tc>
        <w:tc>
          <w:tcPr>
            <w:tcW w:w="19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357</w:t>
            </w:r>
          </w:p>
        </w:tc>
        <w:tc>
          <w:tcPr>
            <w:tcW w:w="19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39,932</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2028 and Thereafter</w:t>
            </w:r>
          </w:p>
        </w:tc>
        <w:tc>
          <w:tcPr>
            <w:tcW w:w="196" w:type="dxa"/>
            <w:tcBorders/>
            <w:shd w:fill="auto" w:val="clear"/>
            <w:vAlign w:val="center"/>
          </w:tcPr>
          <w:p>
            <w:pPr>
              <w:pStyle w:val="TableContents"/>
              <w:spacing w:before="0" w:after="0"/>
              <w:ind w:left="0" w:right="0" w:hanging="0"/>
              <w:jc w:val="center"/>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352,294</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1,728</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354,022</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Lease Payments</w:t>
            </w:r>
          </w:p>
        </w:tc>
        <w:tc>
          <w:tcPr>
            <w:tcW w:w="196" w:type="dxa"/>
            <w:tcBorders/>
            <w:shd w:fill="auto" w:val="clear"/>
            <w:vAlign w:val="center"/>
          </w:tcPr>
          <w:p>
            <w:pPr>
              <w:pStyle w:val="TableContents"/>
              <w:spacing w:before="0" w:after="0"/>
              <w:ind w:left="0" w:right="0" w:hanging="0"/>
              <w:jc w:val="center"/>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547,832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551,475</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Less: Interest</w:t>
            </w:r>
          </w:p>
        </w:tc>
        <w:tc>
          <w:tcPr>
            <w:tcW w:w="196" w:type="dxa"/>
            <w:tcBorders/>
            <w:shd w:fill="auto" w:val="clear"/>
            <w:vAlign w:val="center"/>
          </w:tcPr>
          <w:p>
            <w:pPr>
              <w:pStyle w:val="TableContents"/>
              <w:spacing w:before="0" w:after="0"/>
              <w:ind w:left="0" w:right="0" w:hanging="0"/>
              <w:jc w:val="center"/>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(286,716)</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(1,399)</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(288,115)</w:t>
            </w:r>
          </w:p>
        </w:tc>
      </w:tr>
      <w:tr>
        <w:trPr/>
        <w:tc>
          <w:tcPr>
            <w:tcW w:w="243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Present Value of Lease Liability</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261,116</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2,244</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263,360</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(b) Related Party Operating Leases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has leasing arrangements that are related party transactions including for certain facilities in Maryland, Massachusetts and Nevada. Wendy Berger, a director of the Company, is a principal of WBS Equities, LLC, which is the Manager of Mosaic Real Estate, LLC, and owns the facilities leased by the Company. Additionally, Mosaic Real Estate, LLC is indirectly owned in part by Ms. Berger (through the Wendy Berger 1998 Revocable Trust), Benjamin Kovler, the Chairman and a Chief Executive Officer of the Company (through KP Capital, LLC), and Anthony Georgiadis, the President and a director of the Company (through Three One Four Holdings, LLC). The terms of these leases range from 7 years</w:t>
      </w:r>
      <w:r>
        <w:rPr>
          <w:rFonts w:ascii="Times New Roman" w:hAnsi="Times New Roman"/>
          <w:sz w:val="20"/>
        </w:rPr>
        <w:t xml:space="preserve"> </w:t>
      </w:r>
      <w:r>
        <w:rPr>
          <w:rFonts w:ascii="Times New Roman;serif" w:hAnsi="Times New Roman;serif"/>
          <w:b w:val="false"/>
          <w:sz w:val="20"/>
        </w:rPr>
        <w:t>to 15 years. For the three months ended March 31, 2023 and 2022, the Company recorded lease expense of $139</w:t>
      </w:r>
      <w:r>
        <w:rPr>
          <w:rFonts w:ascii="Times New Roman" w:hAnsi="Times New Roman"/>
          <w:sz w:val="20"/>
        </w:rPr>
        <w:t xml:space="preserve"> </w:t>
      </w:r>
      <w:r>
        <w:rPr>
          <w:rFonts w:ascii="Times New Roman;serif" w:hAnsi="Times New Roman;serif"/>
          <w:b w:val="false"/>
          <w:sz w:val="20"/>
        </w:rPr>
        <w:t>thousand and $295</w:t>
      </w:r>
      <w:r>
        <w:rPr>
          <w:rFonts w:ascii="Times New Roman" w:hAnsi="Times New Roman"/>
          <w:sz w:val="20"/>
        </w:rPr>
        <w:t xml:space="preserve"> </w:t>
      </w:r>
      <w:r>
        <w:rPr>
          <w:rFonts w:ascii="Times New Roman;serif" w:hAnsi="Times New Roman;serif"/>
          <w:b w:val="false"/>
          <w:sz w:val="20"/>
        </w:rPr>
        <w:t>thousand, respectively.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240" w:after="0"/>
        <w:jc w:val="left"/>
        <w:rPr>
          <w:rFonts w:ascii="Times New Roman;serif" w:hAnsi="Times New Roman;serif"/>
          <w:b/>
          <w:sz w:val="20"/>
        </w:rPr>
      </w:pPr>
      <w:r>
        <w:rPr>
          <w:rFonts w:ascii="Times New Roman;serif" w:hAnsi="Times New Roman;serif"/>
          <w:b/>
          <w:sz w:val="20"/>
        </w:rPr>
        <w:t>7. NOTES PAYABLE</w:t>
      </w:r>
    </w:p>
    <w:p>
      <w:pPr>
        <w:pStyle w:val="TextBody"/>
        <w:pBdr>
          <w:bottom w:val="single" w:sz="6" w:space="1" w:color="000000"/>
        </w:pBdr>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At March 31, 2023 and December 31, 2022, notes payable consisted of the following:</w:t>
      </w:r>
      <w:r>
        <w:rPr>
          <w:rFonts w:ascii="Times New Roman" w:hAnsi="Times New Roman"/>
          <w:sz w:val="20"/>
        </w:rPr>
        <w:t xml:space="preserve"> </w:t>
      </w:r>
    </w:p>
    <w:tbl>
      <w:tblPr>
        <w:tblW w:w="6560" w:type="dxa"/>
        <w:jc w:val="left"/>
        <w:tblInd w:w="0" w:type="dxa"/>
        <w:tblCellMar>
          <w:top w:w="28" w:type="dxa"/>
          <w:left w:w="28" w:type="dxa"/>
          <w:bottom w:w="28" w:type="dxa"/>
          <w:right w:w="28" w:type="dxa"/>
        </w:tblCellMar>
      </w:tblPr>
      <w:tblGrid>
        <w:gridCol w:w="3286"/>
        <w:gridCol w:w="196"/>
        <w:gridCol w:w="1291"/>
        <w:gridCol w:w="196"/>
        <w:gridCol w:w="1591"/>
      </w:tblGrid>
      <w:tr>
        <w:trPr/>
        <w:tc>
          <w:tcPr>
            <w:tcW w:w="328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328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07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328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Charitable Contributions</w:t>
            </w:r>
            <w:r>
              <w:rPr>
                <w:rFonts w:ascii="Times New Roman;serif" w:hAnsi="Times New Roman;serif"/>
                <w:b w:val="false"/>
                <w:sz w:val="12"/>
              </w:rPr>
              <w:t>1</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716</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764</w:t>
            </w:r>
          </w:p>
        </w:tc>
      </w:tr>
      <w:tr>
        <w:trPr/>
        <w:tc>
          <w:tcPr>
            <w:tcW w:w="328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Private placement debt dated April 30, 2021</w:t>
            </w:r>
            <w:r>
              <w:rPr>
                <w:rFonts w:ascii="Times New Roman;serif" w:hAnsi="Times New Roman;serif"/>
                <w:b w:val="false"/>
                <w:sz w:val="12"/>
              </w:rPr>
              <w:t>2</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240,071</w:t>
            </w:r>
          </w:p>
        </w:tc>
        <w:tc>
          <w:tcPr>
            <w:tcW w:w="196" w:type="dxa"/>
            <w:tcBorders/>
            <w:shd w:fill="auto" w:val="clear"/>
            <w:vAlign w:val="center"/>
          </w:tcPr>
          <w:p>
            <w:pPr>
              <w:pStyle w:val="TableContents"/>
              <w:spacing w:before="0" w:after="0"/>
              <w:ind w:left="0" w:right="0" w:hanging="0"/>
              <w:jc w:val="center"/>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237,795</w:t>
            </w:r>
          </w:p>
        </w:tc>
      </w:tr>
      <w:tr>
        <w:trPr/>
        <w:tc>
          <w:tcPr>
            <w:tcW w:w="328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Mortgage notes</w:t>
            </w:r>
            <w:r>
              <w:rPr>
                <w:rFonts w:ascii="Times New Roman;serif" w:hAnsi="Times New Roman;serif"/>
                <w:b w:val="false"/>
                <w:sz w:val="12"/>
              </w:rPr>
              <w:t>3</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37,040</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37,109</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notes payable</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277,827</w:t>
            </w:r>
          </w:p>
        </w:tc>
        <w:tc>
          <w:tcPr>
            <w:tcW w:w="196" w:type="dxa"/>
            <w:tcBorders/>
            <w:shd w:fill="auto" w:val="clear"/>
            <w:vAlign w:val="center"/>
          </w:tcPr>
          <w:p>
            <w:pPr>
              <w:pStyle w:val="TableContents"/>
              <w:spacing w:before="0" w:after="0"/>
              <w:ind w:left="0" w:right="0" w:hanging="0"/>
              <w:jc w:val="center"/>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275,668</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Less: current portion of notes payable</w:t>
            </w:r>
          </w:p>
        </w:tc>
        <w:tc>
          <w:tcPr>
            <w:tcW w:w="196" w:type="dxa"/>
            <w:tcBorders/>
            <w:shd w:fill="auto" w:val="clear"/>
            <w:vAlign w:val="center"/>
          </w:tcPr>
          <w:p>
            <w:pPr>
              <w:pStyle w:val="TableContents"/>
              <w:spacing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(1,037)</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Notes payable, net of current portion</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276,775</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274,631</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12"/>
        </w:rPr>
        <w:t>1</w:t>
      </w:r>
      <w:r>
        <w:rPr>
          <w:rFonts w:ascii="Times New Roman" w:hAnsi="Times New Roman"/>
          <w:sz w:val="20"/>
        </w:rPr>
        <w:t xml:space="preserve"> </w:t>
      </w:r>
      <w:r>
        <w:rPr>
          <w:rFonts w:ascii="Times New Roman;serif" w:hAnsi="Times New Roman;serif"/>
          <w:b w:val="false"/>
          <w:sz w:val="18"/>
        </w:rPr>
        <w:t>In connection with acquisitions completed in 2017 and 2019, the Company is required to make quarterly charitable contributions of $50</w:t>
      </w:r>
      <w:r>
        <w:rPr>
          <w:rFonts w:ascii="Times New Roman" w:hAnsi="Times New Roman"/>
          <w:sz w:val="20"/>
        </w:rPr>
        <w:t xml:space="preserve"> </w:t>
      </w:r>
      <w:r>
        <w:rPr>
          <w:rFonts w:ascii="Times New Roman;serif" w:hAnsi="Times New Roman;serif"/>
          <w:b w:val="false"/>
          <w:sz w:val="18"/>
        </w:rPr>
        <w:t>thousand through October 2024</w:t>
      </w:r>
      <w:r>
        <w:rPr>
          <w:rFonts w:ascii="Times New Roman" w:hAnsi="Times New Roman"/>
          <w:sz w:val="20"/>
        </w:rPr>
        <w:t xml:space="preserve"> </w:t>
      </w:r>
      <w:r>
        <w:rPr>
          <w:rFonts w:ascii="Times New Roman;serif" w:hAnsi="Times New Roman;serif"/>
          <w:b w:val="false"/>
          <w:sz w:val="18"/>
        </w:rPr>
        <w:t>and annual charitable contributions of $250</w:t>
      </w:r>
      <w:r>
        <w:rPr>
          <w:rFonts w:ascii="Times New Roman" w:hAnsi="Times New Roman"/>
          <w:sz w:val="20"/>
        </w:rPr>
        <w:t xml:space="preserve"> </w:t>
      </w:r>
      <w:r>
        <w:rPr>
          <w:rFonts w:ascii="Times New Roman;serif" w:hAnsi="Times New Roman;serif"/>
          <w:b w:val="false"/>
          <w:sz w:val="18"/>
        </w:rPr>
        <w:t>thousand through May 2024, respectively. The net present value of these required payments has been recorded as a liability with interest rates ranging between 2.17%</w:t>
      </w:r>
      <w:r>
        <w:rPr>
          <w:rFonts w:ascii="Times New Roman" w:hAnsi="Times New Roman"/>
          <w:sz w:val="20"/>
        </w:rPr>
        <w:t xml:space="preserve"> </w:t>
      </w:r>
      <w:r>
        <w:rPr>
          <w:rFonts w:ascii="Times New Roman;serif" w:hAnsi="Times New Roman;serif"/>
          <w:b w:val="false"/>
          <w:sz w:val="18"/>
        </w:rPr>
        <w:t>- 7.00%.</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12"/>
        </w:rPr>
        <w:t>2</w:t>
      </w:r>
      <w:r>
        <w:rPr>
          <w:rFonts w:ascii="Times New Roman" w:hAnsi="Times New Roman"/>
          <w:sz w:val="20"/>
        </w:rPr>
        <w:t xml:space="preserve"> </w:t>
      </w:r>
      <w:r>
        <w:rPr>
          <w:rFonts w:ascii="Times New Roman;serif" w:hAnsi="Times New Roman;serif"/>
          <w:b w:val="false"/>
          <w:sz w:val="18"/>
        </w:rPr>
        <w:t>The April 30, 2021 private placement debt, and amendment on October 21, 2021, was issued in total amount of $249,934</w:t>
      </w:r>
      <w:r>
        <w:rPr>
          <w:rFonts w:ascii="Times New Roman" w:hAnsi="Times New Roman"/>
          <w:sz w:val="20"/>
        </w:rPr>
        <w:t xml:space="preserve"> </w:t>
      </w:r>
      <w:r>
        <w:rPr>
          <w:rFonts w:ascii="Times New Roman;serif" w:hAnsi="Times New Roman;serif"/>
          <w:b w:val="false"/>
          <w:sz w:val="18"/>
        </w:rPr>
        <w:t>thousand with an interest rate of 7.00%, maturing on April 30, 2025. The debt was issued at a discount, the carrying value of which was $9,863</w:t>
      </w:r>
      <w:r>
        <w:rPr>
          <w:rFonts w:ascii="Times New Roman" w:hAnsi="Times New Roman"/>
          <w:sz w:val="20"/>
        </w:rPr>
        <w:t xml:space="preserve"> </w:t>
      </w:r>
      <w:r>
        <w:rPr>
          <w:rFonts w:ascii="Times New Roman;serif" w:hAnsi="Times New Roman;serif"/>
          <w:b w:val="false"/>
          <w:sz w:val="18"/>
        </w:rPr>
        <w:t>thousand and $12,139</w:t>
      </w:r>
      <w:r>
        <w:rPr>
          <w:rFonts w:ascii="Times New Roman" w:hAnsi="Times New Roman"/>
          <w:sz w:val="20"/>
        </w:rPr>
        <w:t xml:space="preserve"> </w:t>
      </w:r>
      <w:r>
        <w:rPr>
          <w:rFonts w:ascii="Times New Roman;serif" w:hAnsi="Times New Roman;serif"/>
          <w:b w:val="false"/>
          <w:sz w:val="18"/>
        </w:rPr>
        <w:t>thousand as of March 31, 2023 and December 31, 2022, respectively.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12"/>
        </w:rPr>
        <w:t>3</w:t>
      </w:r>
      <w:r>
        <w:rPr>
          <w:rFonts w:ascii="Times New Roman" w:hAnsi="Times New Roman"/>
          <w:sz w:val="20"/>
        </w:rPr>
        <w:t xml:space="preserve"> </w:t>
      </w:r>
      <w:r>
        <w:rPr>
          <w:rFonts w:ascii="Times New Roman;serif" w:hAnsi="Times New Roman;serif"/>
          <w:b w:val="false"/>
          <w:sz w:val="18"/>
        </w:rPr>
        <w:t>Mortgage notes with an initial value of $38,292</w:t>
      </w:r>
      <w:r>
        <w:rPr>
          <w:rFonts w:ascii="Times New Roman" w:hAnsi="Times New Roman"/>
          <w:sz w:val="20"/>
        </w:rPr>
        <w:t xml:space="preserve"> </w:t>
      </w:r>
      <w:r>
        <w:rPr>
          <w:rFonts w:ascii="Times New Roman;serif" w:hAnsi="Times New Roman;serif"/>
          <w:b w:val="false"/>
          <w:sz w:val="18"/>
        </w:rPr>
        <w:t>thousand were issued by the Company in connection with various operating properties, and were recorded at such gross value as of March 31, 2023 and December 31, 2022. These mortgage notes mature between August 20, 2025 and June 5, 2035</w:t>
      </w:r>
      <w:r>
        <w:rPr>
          <w:rFonts w:ascii="Times New Roman;serif" w:hAnsi="Times New Roman;serif"/>
          <w:sz w:val="18"/>
        </w:rPr>
        <w:t xml:space="preserve"> </w:t>
      </w:r>
      <w:r>
        <w:rPr>
          <w:rFonts w:ascii="Times New Roman;serif" w:hAnsi="Times New Roman;serif"/>
          <w:b w:val="false"/>
          <w:sz w:val="18"/>
        </w:rPr>
        <w:t>and were issued at a discount, the carrying value of which was $348</w:t>
      </w:r>
      <w:r>
        <w:rPr>
          <w:rFonts w:ascii="Times New Roman" w:hAnsi="Times New Roman"/>
          <w:sz w:val="20"/>
        </w:rPr>
        <w:t xml:space="preserve"> </w:t>
      </w:r>
      <w:r>
        <w:rPr>
          <w:rFonts w:ascii="Times New Roman;serif" w:hAnsi="Times New Roman;serif"/>
          <w:b w:val="false"/>
          <w:sz w:val="18"/>
        </w:rPr>
        <w:t>thousand and $437</w:t>
      </w:r>
      <w:r>
        <w:rPr>
          <w:rFonts w:ascii="Times New Roman" w:hAnsi="Times New Roman"/>
          <w:sz w:val="20"/>
        </w:rPr>
        <w:t xml:space="preserve"> </w:t>
      </w:r>
      <w:r>
        <w:rPr>
          <w:rFonts w:ascii="Times New Roman;serif" w:hAnsi="Times New Roman;serif"/>
          <w:b w:val="false"/>
          <w:sz w:val="18"/>
        </w:rPr>
        <w:t>thousand, respectively, and are presented net of principal payments of $904</w:t>
      </w:r>
      <w:r>
        <w:rPr>
          <w:rFonts w:ascii="Times New Roman" w:hAnsi="Times New Roman"/>
          <w:sz w:val="20"/>
        </w:rPr>
        <w:t xml:space="preserve"> </w:t>
      </w:r>
      <w:r>
        <w:rPr>
          <w:rFonts w:ascii="Times New Roman;serif" w:hAnsi="Times New Roman;serif"/>
          <w:b w:val="false"/>
          <w:sz w:val="18"/>
        </w:rPr>
        <w:t>thousand and $746</w:t>
      </w:r>
      <w:r>
        <w:rPr>
          <w:rFonts w:ascii="Times New Roman" w:hAnsi="Times New Roman"/>
          <w:sz w:val="20"/>
        </w:rPr>
        <w:t xml:space="preserve"> </w:t>
      </w:r>
      <w:r>
        <w:rPr>
          <w:rFonts w:ascii="Times New Roman;serif" w:hAnsi="Times New Roman;serif"/>
          <w:b w:val="false"/>
          <w:sz w:val="18"/>
        </w:rPr>
        <w:t>thousand as of March 31, 2023 and December 31, 2022, respectively.</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(a) Related Parties</w:t>
      </w:r>
    </w:p>
    <w:p>
      <w:pPr>
        <w:pStyle w:val="TextBody"/>
        <w:spacing w:before="120" w:after="0"/>
        <w:jc w:val="left"/>
        <w:rPr>
          <w:rFonts w:ascii="Times New Roman" w:hAnsi="Times New Roman"/>
          <w:sz w:val="20"/>
        </w:rPr>
      </w:pPr>
      <w:r>
        <w:rPr>
          <w:rFonts w:ascii="Times New Roman;serif" w:hAnsi="Times New Roman;serif"/>
          <w:b w:val="false"/>
          <w:sz w:val="20"/>
        </w:rPr>
        <w:t>A portion of the April 30, 2021 Notes are held by related parties, as well as unrelated third-party lenders at a percentage of approximately 1% and 99%, respectively. The related parties consist of Benjamin Kovler, the Chairman and Chief Executive Officer of the Company (held through KP Capital, LLC and Outsiders Capital, LLC); Andrew Grossman, the Executive Vice President of Capital Markets of the Company (held through AG Funding Group, LLC); Anthony Georgiadis, the President and a director of the Company (held through Three One Four Holdings, LLC); and Anthony Georgiadis and William Gruver, a former director of the Company (held through ABG, LLC).</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120" w:after="0"/>
        <w:jc w:val="left"/>
        <w:rPr>
          <w:rFonts w:ascii="Times New Roman;serif" w:hAnsi="Times New Roman;serif"/>
          <w:b/>
          <w:sz w:val="20"/>
        </w:rPr>
      </w:pPr>
      <w:r>
        <w:rPr>
          <w:rFonts w:ascii="Times New Roman;serif" w:hAnsi="Times New Roman;serif"/>
          <w:b/>
          <w:sz w:val="20"/>
        </w:rPr>
        <w:t>8. WARRANTS</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part of the terms of the Company’s issuance of the April 30, 2021 Notes, as well as other financing arrangements, the Company issued warrants to related parties, as well as unrelated third parties, which allow the holders to purchase Subordinate Voting Shares at an exercise price determined at the time of issuance.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table summarizes the number of warrants outstanding as of March 31, 2023 and December 31, 2022:</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85"/>
        <w:gridCol w:w="162"/>
        <w:gridCol w:w="921"/>
        <w:gridCol w:w="146"/>
        <w:gridCol w:w="244"/>
        <w:gridCol w:w="284"/>
        <w:gridCol w:w="1003"/>
        <w:gridCol w:w="146"/>
        <w:gridCol w:w="408"/>
        <w:gridCol w:w="1182"/>
        <w:gridCol w:w="146"/>
        <w:gridCol w:w="162"/>
        <w:gridCol w:w="921"/>
        <w:gridCol w:w="146"/>
        <w:gridCol w:w="196"/>
        <w:gridCol w:w="291"/>
        <w:gridCol w:w="1027"/>
        <w:gridCol w:w="146"/>
        <w:gridCol w:w="331"/>
        <w:gridCol w:w="959"/>
        <w:gridCol w:w="199"/>
      </w:tblGrid>
      <w:tr>
        <w:trPr/>
        <w:tc>
          <w:tcPr>
            <w:tcW w:w="1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185" w:type="dxa"/>
            <w:tcBorders/>
            <w:shd w:fill="auto" w:val="clear"/>
            <w:vAlign w:val="center"/>
          </w:tcPr>
          <w:p>
            <w:pPr>
              <w:pStyle w:val="TableContents"/>
              <w:spacing w:before="0" w:after="0"/>
              <w:ind w:left="0" w:right="0" w:hanging="0"/>
              <w:jc w:val="left"/>
              <w:rPr/>
            </w:pPr>
            <w:r>
              <w:rPr/>
              <w:t> </w:t>
            </w:r>
          </w:p>
        </w:tc>
        <w:tc>
          <w:tcPr>
            <w:tcW w:w="4496"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Liability Classified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179"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 Classified</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5" w:type="dxa"/>
            <w:tcBorders/>
            <w:shd w:fill="auto" w:val="clear"/>
            <w:vAlign w:val="center"/>
          </w:tcPr>
          <w:p>
            <w:pPr>
              <w:pStyle w:val="TableContents"/>
              <w:spacing w:before="0" w:after="0"/>
              <w:ind w:left="0" w:right="0" w:hanging="0"/>
              <w:jc w:val="left"/>
              <w:rPr/>
            </w:pPr>
            <w:r>
              <w:rPr/>
              <w:t> </w:t>
            </w:r>
          </w:p>
        </w:tc>
        <w:tc>
          <w:tcPr>
            <w:tcW w:w="10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 of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4" w:type="dxa"/>
            <w:tcBorders/>
            <w:shd w:fill="auto" w:val="clear"/>
            <w:vAlign w:val="center"/>
          </w:tcPr>
          <w:p>
            <w:pPr>
              <w:pStyle w:val="TableContents"/>
              <w:spacing w:before="0" w:after="0"/>
              <w:ind w:left="0" w:right="0" w:hanging="0"/>
              <w:jc w:val="center"/>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 Average Exercise Price (C$)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 Average Remaining Contractual Life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 of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3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 Average Exercise Price (USD)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 Average</w:t>
              <w:br/>
              <w:t>Remaining Contractual Life</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2022</w:t>
            </w:r>
          </w:p>
        </w:tc>
        <w:tc>
          <w:tcPr>
            <w:tcW w:w="162"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1,997,208</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w:t>
            </w:r>
          </w:p>
        </w:tc>
        <w:tc>
          <w:tcPr>
            <w:tcW w:w="284"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18.03</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146"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1,737,347</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91" w:type="dxa"/>
            <w:tcBorders/>
            <w:shd w:fill="auto" w:val="clear"/>
            <w:vAlign w:val="center"/>
          </w:tcPr>
          <w:p>
            <w:pPr>
              <w:pStyle w:val="TableContents"/>
              <w:spacing w:before="0" w:after="0"/>
              <w:ind w:left="0" w:right="0" w:hanging="0"/>
              <w:jc w:val="left"/>
              <w:rPr/>
            </w:pPr>
            <w:r>
              <w:rPr/>
              <w:t> </w:t>
            </w:r>
          </w:p>
        </w:tc>
        <w:tc>
          <w:tcPr>
            <w:tcW w:w="102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31.83</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95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3.38</w:t>
            </w:r>
          </w:p>
        </w:tc>
        <w:tc>
          <w:tcPr>
            <w:tcW w:w="199" w:type="dxa"/>
            <w:tcBorders/>
            <w:shd w:fill="auto" w:val="clear"/>
            <w:vAlign w:val="center"/>
          </w:tcPr>
          <w:p>
            <w:pPr>
              <w:pStyle w:val="TableContents"/>
              <w:spacing w:before="0" w:after="0"/>
              <w:ind w:left="0" w:right="0" w:hanging="0"/>
              <w:jc w:val="left"/>
              <w:rPr/>
            </w:pPr>
            <w:r>
              <w:rPr/>
              <w:t> </w:t>
            </w:r>
          </w:p>
        </w:tc>
      </w:tr>
      <w:tr>
        <w:trPr/>
        <w:tc>
          <w:tcPr>
            <w:tcW w:w="118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2023</w:t>
            </w:r>
          </w:p>
        </w:tc>
        <w:tc>
          <w:tcPr>
            <w:tcW w:w="16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1,997,208</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w:t>
            </w:r>
          </w:p>
        </w:tc>
        <w:tc>
          <w:tcPr>
            <w:tcW w:w="28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03"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18.03</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0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8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1.26</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6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1,737,347</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2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31.83</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5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3.13</w:t>
            </w:r>
          </w:p>
        </w:tc>
        <w:tc>
          <w:tcPr>
            <w:tcW w:w="19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(a) Liability Classified Warrants Outstanding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the fair value of the liability classified warrants at March 31, 2023 and December 31, 2022:</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747"/>
        <w:gridCol w:w="941"/>
        <w:gridCol w:w="146"/>
        <w:gridCol w:w="1782"/>
        <w:gridCol w:w="1211"/>
        <w:gridCol w:w="1466"/>
        <w:gridCol w:w="146"/>
        <w:gridCol w:w="766"/>
      </w:tblGrid>
      <w:tr>
        <w:trPr/>
        <w:tc>
          <w:tcPr>
            <w:tcW w:w="374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374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2" w:type="dxa"/>
            <w:tcBorders/>
            <w:shd w:fill="auto" w:val="clear"/>
            <w:vAlign w:val="center"/>
          </w:tcPr>
          <w:p>
            <w:pPr>
              <w:pStyle w:val="TableContents"/>
              <w:spacing w:before="0" w:after="0"/>
              <w:ind w:left="0" w:right="0" w:hanging="0"/>
              <w:jc w:val="left"/>
              <w:rPr/>
            </w:pPr>
            <w:r>
              <w:rPr/>
              <w:t> </w:t>
            </w:r>
          </w:p>
        </w:tc>
        <w:tc>
          <w:tcPr>
            <w:tcW w:w="3589"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r>
      <w:tr>
        <w:trPr/>
        <w:tc>
          <w:tcPr>
            <w:tcW w:w="3747" w:type="dxa"/>
            <w:tcBorders/>
            <w:shd w:fill="auto" w:val="clear"/>
            <w:vAlign w:val="center"/>
          </w:tcPr>
          <w:p>
            <w:pPr>
              <w:pStyle w:val="TableContents"/>
              <w:spacing w:before="0" w:after="0"/>
              <w:ind w:left="0" w:right="0" w:hanging="0"/>
              <w:jc w:val="left"/>
              <w:rPr>
                <w:rFonts w:ascii="Times New Roman;serif" w:hAnsi="Times New Roman;serif"/>
                <w:b/>
                <w:i/>
                <w:sz w:val="18"/>
              </w:rPr>
            </w:pPr>
            <w:r>
              <w:rPr>
                <w:rFonts w:ascii="Times New Roman;serif" w:hAnsi="Times New Roman;serif"/>
                <w:b/>
                <w:i/>
                <w:sz w:val="18"/>
              </w:rPr>
              <w:t>Warrant Liability</w:t>
            </w:r>
          </w:p>
        </w:tc>
        <w:tc>
          <w:tcPr>
            <w:tcW w:w="9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Strike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Warrants Outstanding</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r>
      <w:tr>
        <w:trPr/>
        <w:tc>
          <w:tcPr>
            <w:tcW w:w="374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2" w:type="dxa"/>
            <w:tcBorders/>
            <w:shd w:fill="auto" w:val="clear"/>
            <w:vAlign w:val="center"/>
          </w:tcPr>
          <w:p>
            <w:pPr>
              <w:pStyle w:val="TableContents"/>
              <w:spacing w:before="0" w:after="0"/>
              <w:ind w:left="0" w:right="0" w:hanging="0"/>
              <w:jc w:val="center"/>
              <w:rPr/>
            </w:pPr>
            <w:r>
              <w:rPr/>
              <w:t> </w:t>
            </w:r>
          </w:p>
        </w:tc>
        <w:tc>
          <w:tcPr>
            <w:tcW w:w="3589"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374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Private Placement Financing Warrants Issued May 2019</w:t>
            </w:r>
          </w:p>
        </w:tc>
        <w:tc>
          <w:tcPr>
            <w:tcW w:w="94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C$19.39</w:t>
            </w:r>
          </w:p>
        </w:tc>
        <w:tc>
          <w:tcPr>
            <w:tcW w:w="146" w:type="dxa"/>
            <w:tcBorders/>
            <w:shd w:fill="auto" w:val="clear"/>
            <w:vAlign w:val="center"/>
          </w:tcPr>
          <w:p>
            <w:pPr>
              <w:pStyle w:val="TableContents"/>
              <w:spacing w:before="0" w:after="0"/>
              <w:ind w:left="0" w:right="0" w:hanging="0"/>
              <w:jc w:val="left"/>
              <w:rPr/>
            </w:pPr>
            <w:r>
              <w:rPr/>
              <w:t> </w:t>
            </w:r>
          </w:p>
        </w:tc>
        <w:tc>
          <w:tcPr>
            <w:tcW w:w="178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1,606,533</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$1,852</w:t>
            </w:r>
          </w:p>
        </w:tc>
        <w:tc>
          <w:tcPr>
            <w:tcW w:w="14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$3,125</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$(1,273)</w:t>
            </w:r>
          </w:p>
        </w:tc>
      </w:tr>
      <w:tr>
        <w:trPr/>
        <w:tc>
          <w:tcPr>
            <w:tcW w:w="374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Modification Warrants Issued November 2019</w:t>
            </w:r>
          </w:p>
        </w:tc>
        <w:tc>
          <w:tcPr>
            <w:tcW w:w="94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C$12.04</w:t>
            </w:r>
          </w:p>
        </w:tc>
        <w:tc>
          <w:tcPr>
            <w:tcW w:w="146" w:type="dxa"/>
            <w:tcBorders/>
            <w:shd w:fill="auto" w:val="clear"/>
            <w:vAlign w:val="center"/>
          </w:tcPr>
          <w:p>
            <w:pPr>
              <w:pStyle w:val="TableContents"/>
              <w:spacing w:before="0" w:after="0"/>
              <w:ind w:left="0" w:right="0" w:hanging="0"/>
              <w:jc w:val="left"/>
              <w:rPr/>
            </w:pPr>
            <w:r>
              <w:rPr/>
              <w:t> </w:t>
            </w:r>
          </w:p>
        </w:tc>
        <w:tc>
          <w:tcPr>
            <w:tcW w:w="178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316,947</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831</w:t>
            </w:r>
          </w:p>
        </w:tc>
        <w:tc>
          <w:tcPr>
            <w:tcW w:w="14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1,139</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(308)</w:t>
            </w:r>
          </w:p>
        </w:tc>
      </w:tr>
      <w:tr>
        <w:trPr/>
        <w:tc>
          <w:tcPr>
            <w:tcW w:w="374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Additional Modification Warrants Issued May 2020</w:t>
            </w:r>
          </w:p>
        </w:tc>
        <w:tc>
          <w:tcPr>
            <w:tcW w:w="9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C$14.03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73,728</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195</w:t>
            </w:r>
          </w:p>
        </w:tc>
        <w:tc>
          <w:tcPr>
            <w:tcW w:w="1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r>
      <w:tr>
        <w:trPr/>
        <w:tc>
          <w:tcPr>
            <w:tcW w:w="374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Totals</w:t>
            </w:r>
          </w:p>
        </w:tc>
        <w:tc>
          <w:tcPr>
            <w:tcW w:w="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1,997,208</w:t>
            </w:r>
          </w:p>
        </w:tc>
        <w:tc>
          <w:tcPr>
            <w:tcW w:w="1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$2,878</w:t>
            </w:r>
          </w:p>
        </w:tc>
        <w:tc>
          <w:tcPr>
            <w:tcW w:w="1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$4,520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$(1,642)</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2023 and 2022, the Company recorded gains of $1,642</w:t>
      </w:r>
      <w:r>
        <w:rPr>
          <w:rFonts w:ascii="Times New Roman" w:hAnsi="Times New Roman"/>
          <w:sz w:val="20"/>
        </w:rPr>
        <w:t xml:space="preserve"> </w:t>
      </w:r>
      <w:r>
        <w:rPr>
          <w:rFonts w:ascii="Times New Roman;serif" w:hAnsi="Times New Roman;serif"/>
          <w:b w:val="false"/>
          <w:sz w:val="20"/>
        </w:rPr>
        <w:t>thousand and $7,929</w:t>
      </w:r>
      <w:r>
        <w:rPr>
          <w:rFonts w:ascii="Times New Roman" w:hAnsi="Times New Roman"/>
          <w:sz w:val="20"/>
        </w:rPr>
        <w:t xml:space="preserve"> </w:t>
      </w:r>
      <w:r>
        <w:rPr>
          <w:rFonts w:ascii="Times New Roman;serif" w:hAnsi="Times New Roman;serif"/>
          <w:b w:val="false"/>
          <w:sz w:val="20"/>
        </w:rPr>
        <w:t>thousand, respectively, on the change in the fair value of the warrant liability within other income (expense) on the unaudited interim condensed consolidated statements of operations.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summarizes the significant assumptions used in determining the fair value of the warrant liability as of each reporting date (see Note 13 - Fair Value Measurements for additional details):</w:t>
      </w:r>
      <w:r>
        <w:rPr>
          <w:rFonts w:ascii="Times New Roman" w:hAnsi="Times New Roman"/>
          <w:sz w:val="20"/>
        </w:rPr>
        <w:t xml:space="preserve"> </w:t>
      </w:r>
    </w:p>
    <w:p>
      <w:pPr>
        <w:pStyle w:val="TextBody"/>
        <w:spacing w:before="0" w:after="0"/>
        <w:jc w:val="left"/>
        <w:rPr/>
      </w:pPr>
      <w:r>
        <w:rPr/>
        <w:t> </w:t>
      </w:r>
    </w:p>
    <w:tbl>
      <w:tblPr>
        <w:tblW w:w="4859" w:type="dxa"/>
        <w:jc w:val="left"/>
        <w:tblInd w:w="0" w:type="dxa"/>
        <w:tblCellMar>
          <w:top w:w="28" w:type="dxa"/>
          <w:left w:w="28" w:type="dxa"/>
          <w:bottom w:w="28" w:type="dxa"/>
          <w:right w:w="28" w:type="dxa"/>
        </w:tblCellMar>
      </w:tblPr>
      <w:tblGrid>
        <w:gridCol w:w="1936"/>
        <w:gridCol w:w="1366"/>
        <w:gridCol w:w="146"/>
        <w:gridCol w:w="1411"/>
      </w:tblGrid>
      <w:tr>
        <w:trPr/>
        <w:tc>
          <w:tcPr>
            <w:tcW w:w="1936"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r>
      <w:tr>
        <w:trPr/>
        <w:tc>
          <w:tcPr>
            <w:tcW w:w="1936" w:type="dxa"/>
            <w:tcBorders/>
            <w:shd w:fill="auto" w:val="clear"/>
            <w:vAlign w:val="center"/>
          </w:tcPr>
          <w:p>
            <w:pPr>
              <w:pStyle w:val="TableContents"/>
              <w:spacing w:before="0" w:after="0"/>
              <w:ind w:left="0" w:right="0" w:hanging="0"/>
              <w:jc w:val="left"/>
              <w:rPr/>
            </w:pPr>
            <w:r>
              <w:rPr/>
              <w:t> </w:t>
            </w:r>
          </w:p>
        </w:tc>
        <w:tc>
          <w:tcPr>
            <w:tcW w:w="136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146" w:type="dxa"/>
            <w:tcBorders/>
            <w:shd w:fill="auto" w:val="clear"/>
            <w:vAlign w:val="center"/>
          </w:tcPr>
          <w:p>
            <w:pPr>
              <w:pStyle w:val="TableContents"/>
              <w:spacing w:before="0" w:after="0"/>
              <w:ind w:left="0" w:right="0" w:hanging="0"/>
              <w:jc w:val="left"/>
              <w:rPr/>
            </w:pPr>
            <w:r>
              <w:rPr/>
              <w:t> </w:t>
            </w:r>
          </w:p>
        </w:tc>
        <w:tc>
          <w:tcPr>
            <w:tcW w:w="141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w:t>
            </w:r>
          </w:p>
        </w:tc>
      </w:tr>
      <w:tr>
        <w:trPr/>
        <w:tc>
          <w:tcPr>
            <w:tcW w:w="1936" w:type="dxa"/>
            <w:tcBorders/>
            <w:shd w:fill="auto" w:val="clear"/>
            <w:vAlign w:val="center"/>
          </w:tcPr>
          <w:p>
            <w:pPr>
              <w:pStyle w:val="TableContents"/>
              <w:spacing w:before="0" w:after="0"/>
              <w:ind w:left="0" w:right="0" w:hanging="0"/>
              <w:jc w:val="left"/>
              <w:rPr>
                <w:rFonts w:ascii="Times New Roman;serif" w:hAnsi="Times New Roman;serif"/>
                <w:b/>
                <w:i/>
                <w:sz w:val="18"/>
              </w:rPr>
            </w:pPr>
            <w:r>
              <w:rPr>
                <w:rFonts w:ascii="Times New Roman;serif" w:hAnsi="Times New Roman;serif"/>
                <w:b/>
                <w:i/>
                <w:sz w:val="18"/>
              </w:rPr>
              <w:t>Significant Assumptions</w:t>
            </w:r>
          </w:p>
        </w:tc>
        <w:tc>
          <w:tcPr>
            <w:tcW w:w="1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r>
      <w:tr>
        <w:trPr/>
        <w:tc>
          <w:tcPr>
            <w:tcW w:w="19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Volatility</w:t>
            </w:r>
          </w:p>
        </w:tc>
        <w:tc>
          <w:tcPr>
            <w:tcW w:w="13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71.15% - 75.98%</w:t>
            </w:r>
          </w:p>
        </w:tc>
        <w:tc>
          <w:tcPr>
            <w:tcW w:w="146" w:type="dxa"/>
            <w:tcBorders/>
            <w:shd w:fill="auto" w:val="clear"/>
            <w:vAlign w:val="center"/>
          </w:tcPr>
          <w:p>
            <w:pPr>
              <w:pStyle w:val="TableContents"/>
              <w:spacing w:before="0" w:after="0"/>
              <w:ind w:left="0" w:right="0" w:hanging="0"/>
              <w:jc w:val="center"/>
              <w:rPr/>
            </w:pPr>
            <w:r>
              <w:rPr/>
              <w:t> </w:t>
            </w:r>
          </w:p>
        </w:tc>
        <w:tc>
          <w:tcPr>
            <w:tcW w:w="141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70.44% - 78.21%</w:t>
            </w:r>
          </w:p>
        </w:tc>
      </w:tr>
      <w:tr>
        <w:trPr/>
        <w:tc>
          <w:tcPr>
            <w:tcW w:w="19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Remaining Term</w:t>
            </w:r>
          </w:p>
        </w:tc>
        <w:tc>
          <w:tcPr>
            <w:tcW w:w="136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1.15</w:t>
            </w:r>
            <w:r>
              <w:rPr>
                <w:rFonts w:ascii="Times New Roman" w:hAnsi="Times New Roman"/>
                <w:sz w:val="20"/>
              </w:rPr>
              <w:t> </w:t>
            </w:r>
            <w:r>
              <w:rPr>
                <w:rFonts w:ascii="Times New Roman;serif" w:hAnsi="Times New Roman;serif"/>
                <w:b w:val="false"/>
                <w:sz w:val="18"/>
              </w:rPr>
              <w:t>- 2.15</w:t>
            </w:r>
            <w:r>
              <w:rPr>
                <w:rFonts w:ascii="Times New Roman" w:hAnsi="Times New Roman"/>
                <w:sz w:val="20"/>
              </w:rPr>
              <w:t> </w:t>
            </w:r>
            <w:r>
              <w:rPr>
                <w:rFonts w:ascii="Times New Roman;serif" w:hAnsi="Times New Roman;serif"/>
                <w:b w:val="false"/>
                <w:sz w:val="18"/>
              </w:rPr>
              <w:t>years</w:t>
            </w:r>
          </w:p>
        </w:tc>
        <w:tc>
          <w:tcPr>
            <w:tcW w:w="146" w:type="dxa"/>
            <w:tcBorders/>
            <w:shd w:fill="auto" w:val="clear"/>
            <w:vAlign w:val="center"/>
          </w:tcPr>
          <w:p>
            <w:pPr>
              <w:pStyle w:val="TableContents"/>
              <w:spacing w:before="0" w:after="0"/>
              <w:ind w:left="0" w:right="0" w:hanging="0"/>
              <w:jc w:val="center"/>
              <w:rPr/>
            </w:pPr>
            <w:r>
              <w:rPr/>
              <w:t> </w:t>
            </w:r>
          </w:p>
        </w:tc>
        <w:tc>
          <w:tcPr>
            <w:tcW w:w="141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1.39</w:t>
            </w:r>
            <w:r>
              <w:rPr>
                <w:rFonts w:ascii="Times New Roman" w:hAnsi="Times New Roman"/>
                <w:sz w:val="20"/>
              </w:rPr>
              <w:t> </w:t>
            </w:r>
            <w:r>
              <w:rPr>
                <w:rFonts w:ascii="Times New Roman;serif" w:hAnsi="Times New Roman;serif"/>
                <w:b w:val="false"/>
                <w:sz w:val="18"/>
              </w:rPr>
              <w:t>- 2.39</w:t>
            </w:r>
            <w:r>
              <w:rPr>
                <w:rFonts w:ascii="Times New Roman" w:hAnsi="Times New Roman"/>
                <w:sz w:val="20"/>
              </w:rPr>
              <w:t> </w:t>
            </w:r>
            <w:r>
              <w:rPr>
                <w:rFonts w:ascii="Times New Roman;serif" w:hAnsi="Times New Roman;serif"/>
                <w:b w:val="false"/>
                <w:sz w:val="18"/>
              </w:rPr>
              <w:t>years</w:t>
            </w:r>
          </w:p>
        </w:tc>
      </w:tr>
      <w:tr>
        <w:trPr/>
        <w:tc>
          <w:tcPr>
            <w:tcW w:w="19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Risk Free Rate</w:t>
            </w:r>
          </w:p>
        </w:tc>
        <w:tc>
          <w:tcPr>
            <w:tcW w:w="13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3.51% - 3.78%</w:t>
            </w:r>
          </w:p>
        </w:tc>
        <w:tc>
          <w:tcPr>
            <w:tcW w:w="146" w:type="dxa"/>
            <w:tcBorders/>
            <w:shd w:fill="auto" w:val="clear"/>
            <w:vAlign w:val="center"/>
          </w:tcPr>
          <w:p>
            <w:pPr>
              <w:pStyle w:val="TableContents"/>
              <w:spacing w:before="0" w:after="0"/>
              <w:ind w:left="0" w:right="0" w:hanging="0"/>
              <w:jc w:val="center"/>
              <w:rPr/>
            </w:pPr>
            <w:r>
              <w:rPr/>
              <w:t> </w:t>
            </w:r>
          </w:p>
        </w:tc>
        <w:tc>
          <w:tcPr>
            <w:tcW w:w="141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3.82% - 4.07%</w:t>
            </w:r>
          </w:p>
        </w:tc>
      </w:tr>
    </w:tbl>
    <w:p>
      <w:pPr>
        <w:pStyle w:val="TextBody"/>
        <w:spacing w:before="4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 xml:space="preserve">8. WARRANTS </w:t>
      </w:r>
      <w:r>
        <w:rPr>
          <w:rFonts w:ascii="Times New Roman;serif" w:hAnsi="Times New Roman;serif"/>
          <w:b w:val="false"/>
          <w:i/>
          <w:sz w:val="20"/>
        </w:rPr>
        <w:t>(Continued)</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(b) Equity Classified Warrants Outstanding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Company's equity classified warrants were recorded at fair value at each respective date of issuance. Equity classified warrants are not remeasured at fair value on a recurring basis and are carried at their issuance date fair value. The following table summarizes the carrying amounts of the Company's equity classified warrants at March 31, 2023 and December 31, 2022: </w:t>
      </w:r>
    </w:p>
    <w:p>
      <w:pPr>
        <w:pStyle w:val="TextBody"/>
        <w:spacing w:before="0" w:after="0"/>
        <w:jc w:val="left"/>
        <w:rPr/>
      </w:pPr>
      <w:r>
        <w:rPr/>
        <w:t> </w:t>
      </w:r>
    </w:p>
    <w:tbl>
      <w:tblPr>
        <w:tblW w:w="9295" w:type="dxa"/>
        <w:jc w:val="left"/>
        <w:tblInd w:w="0" w:type="dxa"/>
        <w:tblCellMar>
          <w:top w:w="28" w:type="dxa"/>
          <w:left w:w="28" w:type="dxa"/>
          <w:bottom w:w="28" w:type="dxa"/>
          <w:right w:w="28" w:type="dxa"/>
        </w:tblCellMar>
      </w:tblPr>
      <w:tblGrid>
        <w:gridCol w:w="4351"/>
        <w:gridCol w:w="274"/>
        <w:gridCol w:w="716"/>
        <w:gridCol w:w="146"/>
        <w:gridCol w:w="146"/>
        <w:gridCol w:w="162"/>
        <w:gridCol w:w="919"/>
        <w:gridCol w:w="146"/>
        <w:gridCol w:w="229"/>
        <w:gridCol w:w="704"/>
        <w:gridCol w:w="171"/>
        <w:gridCol w:w="280"/>
        <w:gridCol w:w="860"/>
        <w:gridCol w:w="191"/>
      </w:tblGrid>
      <w:tr>
        <w:trPr/>
        <w:tc>
          <w:tcPr>
            <w:tcW w:w="435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351" w:type="dxa"/>
            <w:tcBorders/>
            <w:shd w:fill="auto" w:val="clear"/>
            <w:vAlign w:val="center"/>
          </w:tcPr>
          <w:p>
            <w:pPr>
              <w:pStyle w:val="TableContents"/>
              <w:spacing w:before="0" w:after="0"/>
              <w:ind w:left="0" w:right="0" w:hanging="0"/>
              <w:jc w:val="left"/>
              <w:rPr/>
            </w:pPr>
            <w:r>
              <w:rPr/>
              <w:t> </w:t>
            </w:r>
          </w:p>
        </w:tc>
        <w:tc>
          <w:tcPr>
            <w:tcW w:w="9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Issuance Date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pPr>
            <w:r>
              <w:rPr/>
              <w:t> </w:t>
            </w:r>
          </w:p>
        </w:tc>
        <w:tc>
          <w:tcPr>
            <w:tcW w:w="9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Warrants</w:t>
            </w:r>
          </w:p>
        </w:tc>
        <w:tc>
          <w:tcPr>
            <w:tcW w:w="146" w:type="dxa"/>
            <w:tcBorders/>
            <w:shd w:fill="auto" w:val="clear"/>
            <w:vAlign w:val="center"/>
          </w:tcPr>
          <w:p>
            <w:pPr>
              <w:pStyle w:val="TableContents"/>
              <w:spacing w:before="0" w:after="0"/>
              <w:ind w:left="0" w:right="0" w:hanging="0"/>
              <w:jc w:val="center"/>
              <w:rPr/>
            </w:pPr>
            <w:r>
              <w:rPr/>
              <w:t> </w:t>
            </w:r>
          </w:p>
        </w:tc>
        <w:tc>
          <w:tcPr>
            <w:tcW w:w="933"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171" w:type="dxa"/>
            <w:tcBorders/>
            <w:shd w:fill="auto" w:val="clear"/>
            <w:vAlign w:val="center"/>
          </w:tcPr>
          <w:p>
            <w:pPr>
              <w:pStyle w:val="TableContents"/>
              <w:spacing w:before="0" w:after="0"/>
              <w:ind w:left="0" w:right="0" w:hanging="0"/>
              <w:jc w:val="center"/>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i/>
                <w:sz w:val="18"/>
              </w:rPr>
            </w:pPr>
            <w:r>
              <w:rPr>
                <w:rFonts w:ascii="Times New Roman;serif" w:hAnsi="Times New Roman;serif"/>
                <w:b/>
                <w:i/>
                <w:sz w:val="18"/>
              </w:rPr>
              <w:t>Warrants Included in Contributed Surplus</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Strike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pPr>
            <w:r>
              <w:rPr/>
              <w:t> </w:t>
            </w:r>
          </w:p>
        </w:tc>
        <w:tc>
          <w:tcPr>
            <w:tcW w:w="99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Mortgage Warrants Issued June 2020</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35,000</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0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181</w:t>
            </w:r>
          </w:p>
        </w:tc>
        <w:tc>
          <w:tcPr>
            <w:tcW w:w="171"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181</w:t>
            </w:r>
          </w:p>
        </w:tc>
        <w:tc>
          <w:tcPr>
            <w:tcW w:w="19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Private Placement Refinance Warrants Issued April 2021</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1,459,044</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22,259</w:t>
            </w:r>
          </w:p>
        </w:tc>
        <w:tc>
          <w:tcPr>
            <w:tcW w:w="171"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86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22,259</w:t>
            </w:r>
          </w:p>
        </w:tc>
        <w:tc>
          <w:tcPr>
            <w:tcW w:w="191" w:type="dxa"/>
            <w:tcBorders/>
            <w:shd w:fill="auto" w:val="cle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Private Placement Refinance Warrants Issued October 2021</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243,303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2,616</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2,616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5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Totals</w:t>
            </w:r>
          </w:p>
        </w:tc>
        <w:tc>
          <w:tcPr>
            <w:tcW w:w="99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1,737,347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25,056</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25,056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equity warrants were valued as of the date of issuance using a Black Scholes Option Pricing model. The following table summarizes the significant assumptions used in determining the fair value of the warrants as of each respective issuance date: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816"/>
        <w:gridCol w:w="2933"/>
        <w:gridCol w:w="146"/>
        <w:gridCol w:w="2933"/>
        <w:gridCol w:w="2377"/>
      </w:tblGrid>
      <w:tr>
        <w:trPr/>
        <w:tc>
          <w:tcPr>
            <w:tcW w:w="1816"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c>
          <w:tcPr>
            <w:tcW w:w="2377" w:type="dxa"/>
            <w:tcBorders/>
            <w:shd w:fill="auto" w:val="clear"/>
            <w:vAlign w:val="center"/>
          </w:tcPr>
          <w:p>
            <w:pPr>
              <w:pStyle w:val="TableContents"/>
              <w:spacing w:before="0" w:after="283"/>
              <w:rPr>
                <w:sz w:val="4"/>
                <w:szCs w:val="4"/>
              </w:rPr>
            </w:pPr>
            <w:r>
              <w:rPr>
                <w:sz w:val="4"/>
                <w:szCs w:val="4"/>
              </w:rPr>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i/>
                <w:sz w:val="18"/>
              </w:rPr>
            </w:pPr>
            <w:r>
              <w:rPr>
                <w:rFonts w:ascii="Times New Roman;serif" w:hAnsi="Times New Roman;serif"/>
                <w:b/>
                <w:i/>
                <w:sz w:val="18"/>
              </w:rPr>
              <w:t>Significant Assumptions</w:t>
            </w:r>
          </w:p>
        </w:tc>
        <w:tc>
          <w:tcPr>
            <w:tcW w:w="29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Private Placement Refinancing 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Private Placement Refinancing Warrants</w:t>
            </w:r>
          </w:p>
        </w:tc>
        <w:tc>
          <w:tcPr>
            <w:tcW w:w="2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Dispensary Mortgage Warrants</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Date of Issuance</w:t>
            </w:r>
          </w:p>
        </w:tc>
        <w:tc>
          <w:tcPr>
            <w:tcW w:w="2933"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October 15, 2021</w:t>
            </w:r>
          </w:p>
        </w:tc>
        <w:tc>
          <w:tcPr>
            <w:tcW w:w="146" w:type="dxa"/>
            <w:tcBorders/>
            <w:shd w:fill="auto" w:val="clear"/>
            <w:vAlign w:val="center"/>
          </w:tcPr>
          <w:p>
            <w:pPr>
              <w:pStyle w:val="TableContents"/>
              <w:spacing w:before="0" w:after="0"/>
              <w:ind w:left="0" w:right="0" w:hanging="0"/>
              <w:jc w:val="left"/>
              <w:rPr/>
            </w:pPr>
            <w:r>
              <w:rPr/>
              <w:t> </w:t>
            </w:r>
          </w:p>
        </w:tc>
        <w:tc>
          <w:tcPr>
            <w:tcW w:w="2933"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30, 2021</w:t>
            </w:r>
          </w:p>
        </w:tc>
        <w:tc>
          <w:tcPr>
            <w:tcW w:w="2377"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June 5, 2020</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Volatility</w:t>
            </w:r>
          </w:p>
        </w:tc>
        <w:tc>
          <w:tcPr>
            <w:tcW w:w="2933"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73%</w:t>
            </w:r>
          </w:p>
        </w:tc>
        <w:tc>
          <w:tcPr>
            <w:tcW w:w="146" w:type="dxa"/>
            <w:tcBorders/>
            <w:shd w:fill="auto" w:val="clear"/>
            <w:vAlign w:val="center"/>
          </w:tcPr>
          <w:p>
            <w:pPr>
              <w:pStyle w:val="TableContents"/>
              <w:spacing w:before="0" w:after="0"/>
              <w:ind w:left="0" w:right="0" w:hanging="0"/>
              <w:jc w:val="center"/>
              <w:rPr/>
            </w:pPr>
            <w:r>
              <w:rPr/>
              <w:t> </w:t>
            </w:r>
          </w:p>
        </w:tc>
        <w:tc>
          <w:tcPr>
            <w:tcW w:w="2933"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73%</w:t>
            </w:r>
          </w:p>
        </w:tc>
        <w:tc>
          <w:tcPr>
            <w:tcW w:w="2377"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80%</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Estimated Term</w:t>
            </w:r>
          </w:p>
        </w:tc>
        <w:tc>
          <w:tcPr>
            <w:tcW w:w="2933"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4</w:t>
            </w:r>
            <w:r>
              <w:rPr>
                <w:rFonts w:ascii="Times New Roman" w:hAnsi="Times New Roman"/>
                <w:sz w:val="20"/>
              </w:rPr>
              <w:t> </w:t>
            </w:r>
            <w:r>
              <w:rPr>
                <w:rFonts w:ascii="Times New Roman;serif" w:hAnsi="Times New Roman;serif"/>
                <w:b w:val="false"/>
                <w:sz w:val="18"/>
              </w:rPr>
              <w:t>years</w:t>
            </w:r>
          </w:p>
        </w:tc>
        <w:tc>
          <w:tcPr>
            <w:tcW w:w="146" w:type="dxa"/>
            <w:tcBorders/>
            <w:shd w:fill="auto" w:val="clear"/>
            <w:vAlign w:val="center"/>
          </w:tcPr>
          <w:p>
            <w:pPr>
              <w:pStyle w:val="TableContents"/>
              <w:spacing w:before="0" w:after="0"/>
              <w:ind w:left="0" w:right="0" w:hanging="0"/>
              <w:jc w:val="center"/>
              <w:rPr/>
            </w:pPr>
            <w:r>
              <w:rPr/>
              <w:t> </w:t>
            </w:r>
          </w:p>
        </w:tc>
        <w:tc>
          <w:tcPr>
            <w:tcW w:w="2933"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4</w:t>
            </w:r>
            <w:r>
              <w:rPr>
                <w:rFonts w:ascii="Times New Roman" w:hAnsi="Times New Roman"/>
                <w:sz w:val="20"/>
              </w:rPr>
              <w:t> </w:t>
            </w:r>
            <w:r>
              <w:rPr>
                <w:rFonts w:ascii="Times New Roman;serif" w:hAnsi="Times New Roman;serif"/>
                <w:b w:val="false"/>
                <w:sz w:val="18"/>
              </w:rPr>
              <w:t>years</w:t>
            </w:r>
          </w:p>
        </w:tc>
        <w:tc>
          <w:tcPr>
            <w:tcW w:w="2377"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5</w:t>
            </w:r>
            <w:r>
              <w:rPr>
                <w:rFonts w:ascii="Times New Roman" w:hAnsi="Times New Roman"/>
                <w:sz w:val="20"/>
              </w:rPr>
              <w:t> </w:t>
            </w:r>
            <w:r>
              <w:rPr>
                <w:rFonts w:ascii="Times New Roman;serif" w:hAnsi="Times New Roman;serif"/>
                <w:b w:val="false"/>
                <w:sz w:val="18"/>
              </w:rPr>
              <w:t>years</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Risk Free Rate</w:t>
            </w:r>
          </w:p>
        </w:tc>
        <w:tc>
          <w:tcPr>
            <w:tcW w:w="2933"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1.12%</w:t>
            </w:r>
          </w:p>
        </w:tc>
        <w:tc>
          <w:tcPr>
            <w:tcW w:w="146" w:type="dxa"/>
            <w:tcBorders/>
            <w:shd w:fill="auto" w:val="clear"/>
            <w:vAlign w:val="center"/>
          </w:tcPr>
          <w:p>
            <w:pPr>
              <w:pStyle w:val="TableContents"/>
              <w:spacing w:before="0" w:after="0"/>
              <w:ind w:left="0" w:right="0" w:hanging="0"/>
              <w:jc w:val="center"/>
              <w:rPr/>
            </w:pPr>
            <w:r>
              <w:rPr/>
              <w:t> </w:t>
            </w:r>
          </w:p>
        </w:tc>
        <w:tc>
          <w:tcPr>
            <w:tcW w:w="2933"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0.74%</w:t>
            </w:r>
          </w:p>
        </w:tc>
        <w:tc>
          <w:tcPr>
            <w:tcW w:w="2377"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0.37%</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9. SHARE CAPITAL</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Accounting Standard Codification (“ASC”) 740, </w:t>
      </w:r>
      <w:r>
        <w:rPr>
          <w:rFonts w:ascii="Times New Roman;serif" w:hAnsi="Times New Roman;serif"/>
          <w:b w:val="false"/>
          <w:i/>
          <w:sz w:val="20"/>
        </w:rPr>
        <w:t>Income Taxes</w:t>
      </w:r>
      <w:r>
        <w:rPr>
          <w:rFonts w:ascii="Times New Roman;serif" w:hAnsi="Times New Roman;serif"/>
          <w:b w:val="false"/>
          <w:sz w:val="20"/>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(a) Authorized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the following classes of share capital, with each class having no par value: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(i) Subordinate Voting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three months ended March 31, 2023, no</w:t>
      </w:r>
      <w:r>
        <w:rPr>
          <w:rFonts w:ascii="Times New Roman" w:hAnsi="Times New Roman"/>
          <w:sz w:val="20"/>
        </w:rPr>
        <w:t xml:space="preserve"> </w:t>
      </w:r>
      <w:r>
        <w:rPr>
          <w:rFonts w:ascii="Times New Roman;serif" w:hAnsi="Times New Roman;serif"/>
          <w:b w:val="false"/>
          <w:sz w:val="20"/>
        </w:rPr>
        <w:t>Multiple Voting Shares were converted into Subordinate Voting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(ii) Multiple Voting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Each Multiple Voting Share is entitled to 100</w:t>
      </w:r>
      <w:r>
        <w:rPr>
          <w:rFonts w:ascii="Times New Roman" w:hAnsi="Times New Roman"/>
          <w:sz w:val="20"/>
        </w:rPr>
        <w:t xml:space="preserve"> </w:t>
      </w:r>
      <w:r>
        <w:rPr>
          <w:rFonts w:ascii="Times New Roman;serif" w:hAnsi="Times New Roman;serif"/>
          <w:b w:val="false"/>
          <w:sz w:val="20"/>
        </w:rPr>
        <w:t>votes per share at shareholder meetings of the Company and is exchangeable for 100 Subordinate Voting Shares. At March 31, 2023, the Company had 38,531</w:t>
      </w:r>
      <w:r>
        <w:rPr>
          <w:rFonts w:ascii="Times New Roman" w:hAnsi="Times New Roman"/>
          <w:sz w:val="20"/>
        </w:rPr>
        <w:t xml:space="preserve"> </w:t>
      </w:r>
      <w:r>
        <w:rPr>
          <w:rFonts w:ascii="Times New Roman;serif" w:hAnsi="Times New Roman;serif"/>
          <w:b w:val="false"/>
          <w:sz w:val="20"/>
        </w:rPr>
        <w:t>issued and outstanding Multiple Voting Shares, which convert into 3,853,100</w:t>
      </w:r>
      <w:r>
        <w:rPr>
          <w:rFonts w:ascii="Times New Roman" w:hAnsi="Times New Roman"/>
          <w:sz w:val="20"/>
        </w:rPr>
        <w:t xml:space="preserve"> </w:t>
      </w:r>
      <w:r>
        <w:rPr>
          <w:rFonts w:ascii="Times New Roman;serif" w:hAnsi="Times New Roman;serif"/>
          <w:b w:val="false"/>
          <w:sz w:val="20"/>
        </w:rPr>
        <w:t>Subordinate Voting Shares. The Company is authorized to issue an unlimited number of Multiple Voting Shares. During the three months ended March 31, 2023, no</w:t>
      </w:r>
      <w:r>
        <w:rPr>
          <w:rFonts w:ascii="Times New Roman" w:hAnsi="Times New Roman"/>
          <w:sz w:val="20"/>
        </w:rPr>
        <w:t xml:space="preserve"> </w:t>
      </w:r>
      <w:r>
        <w:rPr>
          <w:rFonts w:ascii="Times New Roman;serif" w:hAnsi="Times New Roman;serif"/>
          <w:b w:val="false"/>
          <w:sz w:val="20"/>
        </w:rPr>
        <w:t>Multiple Voting Shares were converted into Subordinate Voting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(iii) Super Voting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Each Super Voting Share is entitled to 1,000</w:t>
      </w:r>
      <w:r>
        <w:rPr>
          <w:rFonts w:ascii="Times New Roman" w:hAnsi="Times New Roman"/>
          <w:sz w:val="20"/>
        </w:rPr>
        <w:t xml:space="preserve"> </w:t>
      </w:r>
      <w:r>
        <w:rPr>
          <w:rFonts w:ascii="Times New Roman;serif" w:hAnsi="Times New Roman;serif"/>
          <w:b w:val="false"/>
          <w:sz w:val="20"/>
        </w:rPr>
        <w:t>votes per share at shareholder meetings of the Company and is exchangeable for 100 Subordinate Voting Shares or one Multiple Voting Share. At March 31, 2023, the Company had 251,690</w:t>
      </w:r>
      <w:r>
        <w:rPr>
          <w:rFonts w:ascii="Times New Roman" w:hAnsi="Times New Roman"/>
          <w:sz w:val="20"/>
        </w:rPr>
        <w:t xml:space="preserve"> </w:t>
      </w:r>
      <w:r>
        <w:rPr>
          <w:rFonts w:ascii="Times New Roman;serif" w:hAnsi="Times New Roman;serif"/>
          <w:b w:val="false"/>
          <w:sz w:val="20"/>
        </w:rPr>
        <w:t>issued and outstanding Super Voting Shares which convert into 25,169,000</w:t>
      </w:r>
      <w:r>
        <w:rPr>
          <w:rFonts w:ascii="Times New Roman" w:hAnsi="Times New Roman"/>
          <w:sz w:val="20"/>
        </w:rPr>
        <w:t xml:space="preserve"> </w:t>
      </w:r>
      <w:r>
        <w:rPr>
          <w:rFonts w:ascii="Times New Roman;serif" w:hAnsi="Times New Roman;serif"/>
          <w:b w:val="false"/>
          <w:sz w:val="20"/>
        </w:rPr>
        <w:t>Subordinate Voting Shares. The Company is authorized to issue an unlimited number of Super Voting Shares. During the three months ended March 31, 2023, no</w:t>
      </w:r>
      <w:r>
        <w:rPr>
          <w:rFonts w:ascii="Times New Roman" w:hAnsi="Times New Roman"/>
          <w:sz w:val="20"/>
        </w:rPr>
        <w:t xml:space="preserve"> </w:t>
      </w:r>
      <w:r>
        <w:rPr>
          <w:rFonts w:ascii="Times New Roman;serif" w:hAnsi="Times New Roman;serif"/>
          <w:b w:val="false"/>
          <w:sz w:val="20"/>
        </w:rPr>
        <w:t>Super Voting Shares were converted into Multiple Voting Shares.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(b) Issued and Outstanding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reconciliation of the beginning and ending amounts of the issued and outstanding shares by class is as follows:</w:t>
      </w:r>
      <w:r>
        <w:rPr>
          <w:rFonts w:ascii="Times New Roman" w:hAnsi="Times New Roman"/>
          <w:sz w:val="20"/>
        </w:rPr>
        <w:t xml:space="preserve"> </w:t>
      </w:r>
    </w:p>
    <w:p>
      <w:pPr>
        <w:pStyle w:val="TextBody"/>
        <w:spacing w:before="120" w:after="0"/>
        <w:jc w:val="left"/>
        <w:rPr/>
      </w:pPr>
      <w:r>
        <w:rPr/>
        <w:t> </w:t>
      </w:r>
    </w:p>
    <w:tbl>
      <w:tblPr>
        <w:tblW w:w="7777" w:type="dxa"/>
        <w:jc w:val="left"/>
        <w:tblInd w:w="0" w:type="dxa"/>
        <w:tblCellMar>
          <w:top w:w="28" w:type="dxa"/>
          <w:left w:w="28" w:type="dxa"/>
          <w:bottom w:w="28" w:type="dxa"/>
          <w:right w:w="28" w:type="dxa"/>
        </w:tblCellMar>
      </w:tblPr>
      <w:tblGrid>
        <w:gridCol w:w="4666"/>
        <w:gridCol w:w="146"/>
        <w:gridCol w:w="1141"/>
        <w:gridCol w:w="146"/>
        <w:gridCol w:w="706"/>
        <w:gridCol w:w="146"/>
        <w:gridCol w:w="826"/>
      </w:tblGrid>
      <w:tr>
        <w:trPr/>
        <w:tc>
          <w:tcPr>
            <w:tcW w:w="4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r>
      <w:tr>
        <w:trPr/>
        <w:tc>
          <w:tcPr>
            <w:tcW w:w="4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Issued and Outstanding</w:t>
            </w:r>
          </w:p>
        </w:tc>
      </w:tr>
      <w:tr>
        <w:trPr/>
        <w:tc>
          <w:tcPr>
            <w:tcW w:w="4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Subordinate</w:t>
              <w:br/>
              <w:t>Voting</w:t>
              <w:b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Multiple</w:t>
              <w:br/>
              <w:t>Voting</w:t>
              <w:b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Super</w:t>
              <w:br/>
              <w:t>Voting</w:t>
              <w:br/>
              <w:t>Shares</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at January 1, 2023</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206,991,275</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38,531</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251,690</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Distribution of deferred shares</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615,819</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upon exercise of options and warrants</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70,750</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Issuances of shares upon vesting of RSUs</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75,620</w:t>
            </w:r>
          </w:p>
        </w:tc>
        <w:tc>
          <w:tcPr>
            <w:tcW w:w="14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at March 31, 2023</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207,753,464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0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38,531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251,690</w:t>
            </w:r>
          </w:p>
        </w:tc>
      </w:tr>
    </w:tbl>
    <w:p>
      <w:pPr>
        <w:pStyle w:val="TextBody"/>
        <w:spacing w:before="4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16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 xml:space="preserve">9. SHARE CAPITAL </w:t>
      </w:r>
      <w:r>
        <w:rPr>
          <w:rFonts w:ascii="Times New Roman;serif" w:hAnsi="Times New Roman;serif"/>
          <w:b w:val="false"/>
          <w:i/>
          <w:sz w:val="20"/>
        </w:rPr>
        <w:t>(Continued)</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(b) Issued and Outstanding</w:t>
      </w:r>
      <w:r>
        <w:rPr>
          <w:rFonts w:ascii="Times New Roman" w:hAnsi="Times New Roman"/>
          <w:sz w:val="20"/>
        </w:rPr>
        <w:t xml:space="preserve"> </w:t>
      </w:r>
      <w:r>
        <w:rPr>
          <w:rFonts w:ascii="Times New Roman;serif" w:hAnsi="Times New Roman;serif"/>
          <w:b w:val="false"/>
          <w:i/>
          <w:sz w:val="20"/>
        </w:rPr>
        <w:t>(Continued)</w:t>
      </w:r>
    </w:p>
    <w:p>
      <w:pPr>
        <w:pStyle w:val="TextBody"/>
        <w:spacing w:before="120" w:after="0"/>
        <w:jc w:val="left"/>
        <w:rPr>
          <w:rFonts w:ascii="Times New Roman" w:hAnsi="Times New Roman"/>
          <w:sz w:val="20"/>
        </w:rPr>
      </w:pPr>
      <w:r>
        <w:rPr>
          <w:rFonts w:ascii="Times New Roman;serif" w:hAnsi="Times New Roman;serif"/>
          <w:b/>
          <w:sz w:val="20"/>
        </w:rPr>
        <w:t>(i)</w:t>
      </w:r>
      <w:r>
        <w:rPr>
          <w:rFonts w:ascii="Times New Roman" w:hAnsi="Times New Roman"/>
          <w:sz w:val="20"/>
        </w:rPr>
        <w:t xml:space="preserve"> </w:t>
      </w:r>
      <w:r>
        <w:rPr>
          <w:rFonts w:ascii="Times New Roman;serif" w:hAnsi="Times New Roman;serif"/>
          <w:b/>
          <w:i/>
          <w:sz w:val="20"/>
        </w:rPr>
        <w:t>Distribution of Deferred Shares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Liberty Compassion, Inc.</w:t>
      </w:r>
    </w:p>
    <w:p>
      <w:pPr>
        <w:pStyle w:val="TextBody"/>
        <w:spacing w:before="120" w:after="0"/>
        <w:jc w:val="left"/>
        <w:rPr>
          <w:rFonts w:ascii="Times New Roman" w:hAnsi="Times New Roman"/>
          <w:sz w:val="20"/>
        </w:rPr>
      </w:pPr>
      <w:r>
        <w:rPr>
          <w:rFonts w:ascii="Times New Roman;serif" w:hAnsi="Times New Roman;serif"/>
          <w:b w:val="false"/>
          <w:sz w:val="20"/>
        </w:rPr>
        <w:t>As part of the consideration exchanged in the Company's 2021 acquisition of Liberty Compassion, Inc. (“Liberty”), the Company withheld 214,768</w:t>
      </w:r>
      <w:r>
        <w:rPr>
          <w:rFonts w:ascii="Times New Roman" w:hAnsi="Times New Roman"/>
          <w:sz w:val="20"/>
        </w:rPr>
        <w:t xml:space="preserve"> </w:t>
      </w:r>
      <w:r>
        <w:rPr>
          <w:rFonts w:ascii="Times New Roman;serif" w:hAnsi="Times New Roman;serif"/>
          <w:b w:val="false"/>
          <w:sz w:val="20"/>
        </w:rPr>
        <w:t>Subordinate Voting Shares for a period of eighteen months for the purpose of indemnifying the Company for post-acquisition costs incurred subsequent to the close of the transaction. The Company released the 214,768</w:t>
      </w:r>
      <w:r>
        <w:rPr>
          <w:rFonts w:ascii="Times New Roman" w:hAnsi="Times New Roman"/>
          <w:sz w:val="20"/>
        </w:rPr>
        <w:t xml:space="preserve"> </w:t>
      </w:r>
      <w:r>
        <w:rPr>
          <w:rFonts w:ascii="Times New Roman;serif" w:hAnsi="Times New Roman;serif"/>
          <w:b w:val="false"/>
          <w:sz w:val="20"/>
        </w:rPr>
        <w:t>Subordinate Voting Shares to the previous owners of Liberty. The deferred shares had a fair value of $6,460</w:t>
      </w:r>
      <w:r>
        <w:rPr>
          <w:rFonts w:ascii="Times New Roman" w:hAnsi="Times New Roman"/>
          <w:sz w:val="20"/>
        </w:rPr>
        <w:t xml:space="preserve"> </w:t>
      </w:r>
      <w:r>
        <w:rPr>
          <w:rFonts w:ascii="Times New Roman;serif" w:hAnsi="Times New Roman;serif"/>
          <w:b w:val="false"/>
          <w:sz w:val="20"/>
        </w:rPr>
        <w:t>thousand which was based upon the closing price of Green Thumb's Subordinate Voting Shares as traded on the Canadian Securities Exchange (“CSE”) on the date of the transaction.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Dharma Pharmaceuticals, LLC</w:t>
      </w:r>
    </w:p>
    <w:p>
      <w:pPr>
        <w:pStyle w:val="TextBody"/>
        <w:spacing w:before="120" w:after="0"/>
        <w:jc w:val="left"/>
        <w:rPr>
          <w:rFonts w:ascii="Times New Roman" w:hAnsi="Times New Roman"/>
          <w:sz w:val="20"/>
        </w:rPr>
      </w:pPr>
      <w:r>
        <w:rPr>
          <w:rFonts w:ascii="Times New Roman;serif" w:hAnsi="Times New Roman;serif"/>
          <w:b w:val="false"/>
          <w:sz w:val="20"/>
        </w:rPr>
        <w:t>As part of the consideration exchanged in the Company's 2021 acquisition of Dharma Pharmaceuticals, Inc. (“Dharma”), the Company withheld 229,878</w:t>
      </w:r>
      <w:r>
        <w:rPr>
          <w:rFonts w:ascii="Times New Roman" w:hAnsi="Times New Roman"/>
          <w:sz w:val="20"/>
        </w:rPr>
        <w:t xml:space="preserve"> </w:t>
      </w:r>
      <w:r>
        <w:rPr>
          <w:rFonts w:ascii="Times New Roman;serif" w:hAnsi="Times New Roman;serif"/>
          <w:b w:val="false"/>
          <w:sz w:val="20"/>
        </w:rPr>
        <w:t>Subordinate Voting Shares for a period of eighteen months for the purpose of indemnifying Green Thumb for post-acquisition costs incurred subsequent to the close of the transaction. The Company released the 229,878</w:t>
      </w:r>
      <w:r>
        <w:rPr>
          <w:rFonts w:ascii="Times New Roman" w:hAnsi="Times New Roman"/>
          <w:sz w:val="20"/>
        </w:rPr>
        <w:t xml:space="preserve"> </w:t>
      </w:r>
      <w:r>
        <w:rPr>
          <w:rFonts w:ascii="Times New Roman;serif" w:hAnsi="Times New Roman;serif"/>
          <w:b w:val="false"/>
          <w:sz w:val="20"/>
        </w:rPr>
        <w:t>Subordinate Voting Shares to the previous owners of Dharma. The deferred shares had a fair value of $7,590</w:t>
      </w:r>
      <w:r>
        <w:rPr>
          <w:rFonts w:ascii="Times New Roman" w:hAnsi="Times New Roman"/>
          <w:sz w:val="20"/>
        </w:rPr>
        <w:t xml:space="preserve"> </w:t>
      </w:r>
      <w:r>
        <w:rPr>
          <w:rFonts w:ascii="Times New Roman;serif" w:hAnsi="Times New Roman;serif"/>
          <w:b w:val="false"/>
          <w:sz w:val="20"/>
        </w:rPr>
        <w:t>thousand which was based upon the closing price of Green Thumb's Subordinate Voting Shares as traded on the CSE on the date of the transaction.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GreenStar Herbals, Inc.</w:t>
      </w:r>
    </w:p>
    <w:p>
      <w:pPr>
        <w:pStyle w:val="TextBody"/>
        <w:spacing w:before="120" w:after="0"/>
        <w:jc w:val="left"/>
        <w:rPr>
          <w:rFonts w:ascii="Times New Roman" w:hAnsi="Times New Roman"/>
          <w:sz w:val="20"/>
        </w:rPr>
      </w:pPr>
      <w:r>
        <w:rPr>
          <w:rFonts w:ascii="Times New Roman;serif" w:hAnsi="Times New Roman;serif"/>
          <w:b w:val="false"/>
          <w:sz w:val="20"/>
        </w:rPr>
        <w:t>As part of the consideration exchanged in the Company's 2021 acquisition of GreenStar Herbals, Inc. (“GreenStar”), the Company withheld 161,306</w:t>
      </w:r>
      <w:r>
        <w:rPr>
          <w:rFonts w:ascii="Times New Roman" w:hAnsi="Times New Roman"/>
          <w:sz w:val="20"/>
        </w:rPr>
        <w:t xml:space="preserve"> </w:t>
      </w:r>
      <w:r>
        <w:rPr>
          <w:rFonts w:ascii="Times New Roman;serif" w:hAnsi="Times New Roman;serif"/>
          <w:b w:val="false"/>
          <w:sz w:val="20"/>
        </w:rPr>
        <w:t>Subordinate Voting Shares for a period of eighteen months for the purpose of indemnifying Green Thumb for post-acquisition costs incurred subsequent to the close of the transaction. The Company released the 161,306</w:t>
      </w:r>
      <w:r>
        <w:rPr>
          <w:rFonts w:ascii="Times New Roman" w:hAnsi="Times New Roman"/>
          <w:sz w:val="20"/>
        </w:rPr>
        <w:t xml:space="preserve"> </w:t>
      </w:r>
      <w:r>
        <w:rPr>
          <w:rFonts w:ascii="Times New Roman;serif" w:hAnsi="Times New Roman;serif"/>
          <w:b w:val="false"/>
          <w:sz w:val="20"/>
        </w:rPr>
        <w:t>Subordinate Voting Shares to the previous owners of GreenStar. The deferred shares had a fair value of $4,762</w:t>
      </w:r>
      <w:r>
        <w:rPr>
          <w:rFonts w:ascii="Times New Roman" w:hAnsi="Times New Roman"/>
          <w:sz w:val="20"/>
        </w:rPr>
        <w:t xml:space="preserve"> </w:t>
      </w:r>
      <w:r>
        <w:rPr>
          <w:rFonts w:ascii="Times New Roman;serif" w:hAnsi="Times New Roman;serif"/>
          <w:b w:val="false"/>
          <w:sz w:val="20"/>
        </w:rPr>
        <w:t>thousand which was based upon the closing price of Green Thumb's Subordinate Voting Shares as traded on the CSE on the date of the transaction.</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(c) Stock-Based Compensation</w:t>
      </w:r>
    </w:p>
    <w:p>
      <w:pPr>
        <w:pStyle w:val="TextBody"/>
        <w:spacing w:before="120" w:after="0"/>
        <w:jc w:val="left"/>
        <w:rPr>
          <w:rFonts w:ascii="Times New Roman" w:hAnsi="Times New Roman"/>
          <w:sz w:val="20"/>
        </w:rPr>
      </w:pPr>
      <w:r>
        <w:rPr>
          <w:rFonts w:ascii="Times New Roman;serif" w:hAnsi="Times New Roman;serif"/>
          <w:b w:val="false"/>
          <w:sz w:val="20"/>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June 2018, the Company established the Green Thumb Industries Inc. 2018 Stock and Incentive Plan, which was amended by Amendment No. 1 and Amendment No. 2 thereto (as amended, the “Plan”). The maximum number of Restricted Stock Units (“RSUs”) and options issued under the Plan shall not exceed 10% of the issued and outstanding shares on an as-converted basis.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Option and RSU awards generally vest over three years, and options typically have a life of five to ten years. Option grants are determined by the Compensation Committee of the Company’s Board of Directors with the option price set at no less than 100% of the fair market value of a share on the date of grant.</w:t>
      </w:r>
    </w:p>
    <w:p>
      <w:pPr>
        <w:pStyle w:val="TextBody"/>
        <w:spacing w:before="12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16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 xml:space="preserve">9. SHARE CAPITAL </w:t>
      </w:r>
      <w:r>
        <w:rPr>
          <w:rFonts w:ascii="Times New Roman;serif" w:hAnsi="Times New Roman;serif"/>
          <w:b w:val="false"/>
          <w:i/>
          <w:sz w:val="20"/>
        </w:rPr>
        <w:t>(Continued)</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(c) Stock-Based Compensation</w:t>
      </w:r>
      <w:r>
        <w:rPr>
          <w:rFonts w:ascii="Times New Roman" w:hAnsi="Times New Roman"/>
          <w:sz w:val="20"/>
        </w:rPr>
        <w:t xml:space="preserve"> </w:t>
      </w:r>
      <w:r>
        <w:rPr>
          <w:rFonts w:ascii="Times New Roman;serif" w:hAnsi="Times New Roman;serif"/>
          <w:b w:val="false"/>
          <w:i/>
          <w:sz w:val="20"/>
        </w:rPr>
        <w:t>(Continued)</w:t>
      </w:r>
    </w:p>
    <w:p>
      <w:pPr>
        <w:pStyle w:val="TextBody"/>
        <w:spacing w:before="120" w:after="0"/>
        <w:jc w:val="left"/>
        <w:rPr>
          <w:rFonts w:ascii="Times New Roman" w:hAnsi="Times New Roman"/>
          <w:sz w:val="20"/>
        </w:rPr>
      </w:pPr>
      <w:r>
        <w:rPr>
          <w:rFonts w:ascii="Times New Roman;serif" w:hAnsi="Times New Roman;serif"/>
          <w:b w:val="false"/>
          <w:sz w:val="20"/>
        </w:rPr>
        <w:t>Stock option activity is summarized as follows: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784"/>
        <w:gridCol w:w="1401"/>
        <w:gridCol w:w="2485"/>
        <w:gridCol w:w="3535"/>
      </w:tblGrid>
      <w:tr>
        <w:trPr/>
        <w:tc>
          <w:tcPr>
            <w:tcW w:w="2784"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2485" w:type="dxa"/>
            <w:tcBorders/>
            <w:shd w:fill="auto" w:val="clear"/>
            <w:vAlign w:val="center"/>
          </w:tcPr>
          <w:p>
            <w:pPr>
              <w:pStyle w:val="TableContents"/>
              <w:spacing w:before="0" w:after="283"/>
              <w:rPr>
                <w:sz w:val="4"/>
                <w:szCs w:val="4"/>
              </w:rPr>
            </w:pPr>
            <w:r>
              <w:rPr>
                <w:sz w:val="4"/>
                <w:szCs w:val="4"/>
              </w:rPr>
            </w:r>
          </w:p>
        </w:tc>
        <w:tc>
          <w:tcPr>
            <w:tcW w:w="3535" w:type="dxa"/>
            <w:tcBorders/>
            <w:shd w:fill="auto" w:val="clear"/>
            <w:vAlign w:val="center"/>
          </w:tcPr>
          <w:p>
            <w:pPr>
              <w:pStyle w:val="TableContents"/>
              <w:spacing w:before="0" w:after="283"/>
              <w:rPr>
                <w:sz w:val="4"/>
                <w:szCs w:val="4"/>
              </w:rPr>
            </w:pPr>
            <w:r>
              <w:rPr>
                <w:sz w:val="4"/>
                <w:szCs w:val="4"/>
              </w:rPr>
            </w:r>
          </w:p>
        </w:tc>
      </w:tr>
      <w:tr>
        <w:trPr/>
        <w:tc>
          <w:tcPr>
            <w:tcW w:w="2784" w:type="dxa"/>
            <w:tcBorders/>
            <w:shd w:fill="auto" w:val="clear"/>
            <w:vAlign w:val="center"/>
          </w:tcPr>
          <w:p>
            <w:pPr>
              <w:pStyle w:val="TableContents"/>
              <w:spacing w:before="0" w:after="0"/>
              <w:ind w:left="0" w:right="0" w:hanging="0"/>
              <w:jc w:val="left"/>
              <w:rPr/>
            </w:pPr>
            <w:r>
              <w:rPr/>
              <w:t> </w:t>
            </w:r>
          </w:p>
        </w:tc>
        <w:tc>
          <w:tcPr>
            <w:tcW w:w="140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248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r>
          </w:p>
        </w:tc>
        <w:tc>
          <w:tcPr>
            <w:tcW w:w="353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Life</w:t>
            </w:r>
          </w:p>
        </w:tc>
      </w:tr>
      <w:tr>
        <w:trPr/>
        <w:tc>
          <w:tcPr>
            <w:tcW w:w="2784" w:type="dxa"/>
            <w:tcBorders/>
            <w:shd w:fill="auto" w:val="clear"/>
            <w:vAlign w:val="center"/>
          </w:tcPr>
          <w:p>
            <w:pPr>
              <w:pStyle w:val="TableContents"/>
              <w:spacing w:before="0" w:after="0"/>
              <w:ind w:left="0" w:right="0" w:hanging="0"/>
              <w:jc w:val="left"/>
              <w:rPr/>
            </w:pPr>
            <w:r>
              <w:rPr/>
              <w:t> </w:t>
            </w:r>
          </w:p>
        </w:tc>
        <w:tc>
          <w:tcPr>
            <w:tcW w:w="1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9,577,947</w:t>
            </w:r>
          </w:p>
        </w:tc>
        <w:tc>
          <w:tcPr>
            <w:tcW w:w="2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$12.71</w:t>
            </w:r>
          </w:p>
        </w:tc>
        <w:tc>
          <w:tcPr>
            <w:tcW w:w="35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r>
      <w:tr>
        <w:trPr/>
        <w:tc>
          <w:tcPr>
            <w:tcW w:w="27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331,222</w:t>
            </w:r>
          </w:p>
        </w:tc>
        <w:tc>
          <w:tcPr>
            <w:tcW w:w="2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35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r>
      <w:tr>
        <w:trPr/>
        <w:tc>
          <w:tcPr>
            <w:tcW w:w="27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(70,750)</w:t>
            </w:r>
          </w:p>
        </w:tc>
        <w:tc>
          <w:tcPr>
            <w:tcW w:w="2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w:t>
            </w:r>
          </w:p>
        </w:tc>
        <w:tc>
          <w:tcPr>
            <w:tcW w:w="3535" w:type="dxa"/>
            <w:tcBorders/>
            <w:shd w:fill="auto" w:val="clear"/>
            <w:vAlign w:val="center"/>
          </w:tcPr>
          <w:p>
            <w:pPr>
              <w:pStyle w:val="TableContents"/>
              <w:spacing w:before="0" w:after="0"/>
              <w:ind w:left="0" w:right="0" w:hanging="0"/>
              <w:jc w:val="right"/>
              <w:rPr/>
            </w:pPr>
            <w:r>
              <w:rPr/>
              <w:t> </w:t>
            </w:r>
          </w:p>
        </w:tc>
      </w:tr>
      <w:tr>
        <w:trPr/>
        <w:tc>
          <w:tcPr>
            <w:tcW w:w="27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(238,035)</w:t>
            </w:r>
          </w:p>
        </w:tc>
        <w:tc>
          <w:tcPr>
            <w:tcW w:w="2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5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7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9,600,384</w:t>
            </w:r>
          </w:p>
        </w:tc>
        <w:tc>
          <w:tcPr>
            <w:tcW w:w="2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w:t>
            </w:r>
          </w:p>
        </w:tc>
        <w:tc>
          <w:tcPr>
            <w:tcW w:w="35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r>
      <w:tr>
        <w:trPr/>
        <w:tc>
          <w:tcPr>
            <w:tcW w:w="27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5,281,364</w:t>
            </w:r>
          </w:p>
        </w:tc>
        <w:tc>
          <w:tcPr>
            <w:tcW w:w="2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$13.49</w:t>
            </w:r>
          </w:p>
        </w:tc>
        <w:tc>
          <w:tcPr>
            <w:tcW w:w="3535" w:type="dxa"/>
            <w:tcBorders/>
            <w:shd w:fill="auto" w:val="clear"/>
            <w:vAlign w:val="center"/>
          </w:tcPr>
          <w:p>
            <w:pPr>
              <w:pStyle w:val="TableContents"/>
              <w:spacing w:before="0" w:after="0"/>
              <w:ind w:left="0" w:right="0" w:hanging="0"/>
              <w:jc w:val="right"/>
              <w:rPr/>
            </w:pPr>
            <w:r>
              <w:rPr/>
              <w:t> </w:t>
            </w:r>
          </w:p>
        </w:tc>
      </w:tr>
      <w:tr>
        <w:trPr/>
        <w:tc>
          <w:tcPr>
            <w:tcW w:w="27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of March 31, 2023</w:t>
            </w:r>
          </w:p>
        </w:tc>
        <w:tc>
          <w:tcPr>
            <w:tcW w:w="14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4,052,823</w:t>
            </w:r>
          </w:p>
        </w:tc>
        <w:tc>
          <w:tcPr>
            <w:tcW w:w="2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$7.94</w:t>
            </w:r>
          </w:p>
        </w:tc>
        <w:tc>
          <w:tcPr>
            <w:tcW w:w="35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r>
    </w:tbl>
    <w:p>
      <w:pPr>
        <w:pStyle w:val="TextBody"/>
        <w:spacing w:before="4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aggregate intrinsic value in the table above represents the total pre-tax intrinsic value (the difference between the Company’s closing stock price on March 31, 2023 and December 31, 2022, respectively, and the exercise price, multiplied by the number of in-the-money options) that would have been received by the option holders had all option holders exercised their in-the-money options on March 31, 2023 and December 31, 2022. This amount will change in future periods based on the fair market value of the Company’s Subordinate Voting Shares and the number of options outstanding.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used the Black-Scholes option pricing model to estimate the fair value of the options granted during the three months ended March 31, 2023 and the year ended December 31, 2022, using the following ranges of assumptions:</w:t>
      </w:r>
      <w:r>
        <w:rPr>
          <w:rFonts w:ascii="Times New Roman" w:hAnsi="Times New Roman"/>
          <w:sz w:val="20"/>
        </w:rPr>
        <w:t xml:space="preserve"> </w:t>
      </w:r>
    </w:p>
    <w:tbl>
      <w:tblPr>
        <w:tblW w:w="4788" w:type="dxa"/>
        <w:jc w:val="left"/>
        <w:tblInd w:w="0" w:type="dxa"/>
        <w:tblCellMar>
          <w:top w:w="28" w:type="dxa"/>
          <w:left w:w="28" w:type="dxa"/>
          <w:bottom w:w="28" w:type="dxa"/>
          <w:right w:w="28" w:type="dxa"/>
        </w:tblCellMar>
      </w:tblPr>
      <w:tblGrid>
        <w:gridCol w:w="2131"/>
        <w:gridCol w:w="1306"/>
        <w:gridCol w:w="1351"/>
      </w:tblGrid>
      <w:tr>
        <w:trPr/>
        <w:tc>
          <w:tcPr>
            <w:tcW w:w="2131"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r>
      <w:tr>
        <w:trPr/>
        <w:tc>
          <w:tcPr>
            <w:tcW w:w="2131" w:type="dxa"/>
            <w:tcBorders/>
            <w:shd w:fill="auto" w:val="clear"/>
            <w:vAlign w:val="center"/>
          </w:tcPr>
          <w:p>
            <w:pPr>
              <w:pStyle w:val="TableContents"/>
              <w:spacing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3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3.06% - 3.64%</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1.18% - 3.54%</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3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3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64%</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 - 64%</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option life</w:t>
            </w:r>
          </w:p>
        </w:tc>
        <w:tc>
          <w:tcPr>
            <w:tcW w:w="130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w:t>
            </w:r>
            <w:r>
              <w:rPr>
                <w:rFonts w:ascii="Times New Roman" w:hAnsi="Times New Roman"/>
                <w:sz w:val="20"/>
              </w:rPr>
              <w:t xml:space="preserve"> – </w:t>
            </w:r>
            <w:r>
              <w:rPr>
                <w:rFonts w:ascii="Times New Roman;serif" w:hAnsi="Times New Roman;serif"/>
                <w:b w:val="false"/>
                <w:sz w:val="20"/>
              </w:rPr>
              <w:t>4.5</w:t>
            </w:r>
            <w:r>
              <w:rPr>
                <w:rFonts w:ascii="Times New Roman" w:hAnsi="Times New Roman"/>
                <w:sz w:val="20"/>
              </w:rPr>
              <w:t> </w:t>
            </w:r>
            <w:r>
              <w:rPr>
                <w:rFonts w:ascii="Times New Roman;serif" w:hAnsi="Times New Roman;serif"/>
                <w:b w:val="false"/>
                <w:sz w:val="20"/>
              </w:rPr>
              <w:t>years</w:t>
            </w:r>
          </w:p>
        </w:tc>
        <w:tc>
          <w:tcPr>
            <w:tcW w:w="13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w:t>
            </w:r>
            <w:r>
              <w:rPr>
                <w:rFonts w:ascii="Times New Roman" w:hAnsi="Times New Roman"/>
                <w:sz w:val="20"/>
              </w:rPr>
              <w:t xml:space="preserve"> – </w:t>
            </w:r>
            <w:r>
              <w:rPr>
                <w:rFonts w:ascii="Times New Roman;serif" w:hAnsi="Times New Roman;serif"/>
                <w:b w:val="false"/>
                <w:sz w:val="20"/>
              </w:rPr>
              <w:t>4.5</w:t>
            </w:r>
            <w:r>
              <w:rPr>
                <w:rFonts w:ascii="Times New Roman" w:hAnsi="Times New Roman"/>
                <w:sz w:val="20"/>
              </w:rPr>
              <w:t> </w:t>
            </w:r>
            <w:r>
              <w:rPr>
                <w:rFonts w:ascii="Times New Roman;serif" w:hAnsi="Times New Roman;serif"/>
                <w:b w:val="false"/>
                <w:sz w:val="20"/>
              </w:rPr>
              <w:t>years</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permitted under ASC 718, the Company has made an accounting policy choice to account for forfeitures when they occur.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16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 xml:space="preserve">9. SHARE CAPITAL </w:t>
      </w:r>
      <w:r>
        <w:rPr>
          <w:rFonts w:ascii="Times New Roman;serif" w:hAnsi="Times New Roman;serif"/>
          <w:b w:val="false"/>
          <w:i/>
          <w:sz w:val="20"/>
        </w:rPr>
        <w:t>(Continued)</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(c) Stock-Based Compensation</w:t>
      </w:r>
      <w:r>
        <w:rPr>
          <w:rFonts w:ascii="Times New Roman" w:hAnsi="Times New Roman"/>
          <w:sz w:val="20"/>
        </w:rPr>
        <w:t xml:space="preserve"> </w:t>
      </w:r>
      <w:r>
        <w:rPr>
          <w:rFonts w:ascii="Times New Roman;serif" w:hAnsi="Times New Roman;serif"/>
          <w:b w:val="false"/>
          <w:i/>
          <w:sz w:val="20"/>
        </w:rPr>
        <w:t>(Continued)</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the number of unvested RSU awards as of March 31, 2023 and December 31, 2022 and the changes during the three months ended March 31, 2023:</w:t>
      </w:r>
      <w:r>
        <w:rPr>
          <w:rFonts w:ascii="Times New Roman" w:hAnsi="Times New Roman"/>
          <w:sz w:val="20"/>
        </w:rPr>
        <w:t xml:space="preserve"> </w:t>
      </w:r>
    </w:p>
    <w:tbl>
      <w:tblPr>
        <w:tblW w:w="8250" w:type="dxa"/>
        <w:jc w:val="left"/>
        <w:tblInd w:w="0" w:type="dxa"/>
        <w:tblCellMar>
          <w:top w:w="28" w:type="dxa"/>
          <w:left w:w="28" w:type="dxa"/>
          <w:bottom w:w="28" w:type="dxa"/>
          <w:right w:w="28" w:type="dxa"/>
        </w:tblCellMar>
      </w:tblPr>
      <w:tblGrid>
        <w:gridCol w:w="3271"/>
        <w:gridCol w:w="146"/>
        <w:gridCol w:w="1411"/>
        <w:gridCol w:w="211"/>
        <w:gridCol w:w="3211"/>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 Fair Value</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Shares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947,502</w:t>
            </w:r>
          </w:p>
        </w:tc>
        <w:tc>
          <w:tcPr>
            <w:tcW w:w="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17.91</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256,940</w:t>
            </w:r>
          </w:p>
        </w:tc>
        <w:tc>
          <w:tcPr>
            <w:tcW w:w="211" w:type="dxa"/>
            <w:tcBorders/>
            <w:shd w:fill="auto" w:val="clear"/>
            <w:vAlign w:val="center"/>
          </w:tcPr>
          <w:p>
            <w:pPr>
              <w:pStyle w:val="TableContents"/>
              <w:spacing w:before="0" w:after="0"/>
              <w:ind w:left="0" w:right="0" w:hanging="0"/>
              <w:jc w:val="right"/>
              <w:rPr/>
            </w:pPr>
            <w:r>
              <w:rPr/>
              <w:t> </w:t>
            </w:r>
          </w:p>
        </w:tc>
        <w:tc>
          <w:tcPr>
            <w:tcW w:w="3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(33,843)</w:t>
            </w:r>
          </w:p>
        </w:tc>
        <w:tc>
          <w:tcPr>
            <w:tcW w:w="211" w:type="dxa"/>
            <w:tcBorders/>
            <w:shd w:fill="auto" w:val="clear"/>
            <w:vAlign w:val="center"/>
          </w:tcPr>
          <w:p>
            <w:pPr>
              <w:pStyle w:val="TableContents"/>
              <w:spacing w:before="0" w:after="0"/>
              <w:ind w:left="0" w:right="0" w:hanging="0"/>
              <w:jc w:val="right"/>
              <w:rPr/>
            </w:pPr>
            <w:r>
              <w:rPr/>
              <w:t> </w:t>
            </w:r>
          </w:p>
        </w:tc>
        <w:tc>
          <w:tcPr>
            <w:tcW w:w="3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18.31</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(75,620)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9.36</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Shares at March 31, 2023</w:t>
            </w:r>
          </w:p>
        </w:tc>
        <w:tc>
          <w:tcPr>
            <w:tcW w:w="146" w:type="dxa"/>
            <w:tcBorders/>
            <w:shd w:fill="auto" w:val="clear"/>
            <w:vAlign w:val="center"/>
          </w:tcPr>
          <w:p>
            <w:pPr>
              <w:pStyle w:val="TableContents"/>
              <w:spacing w:before="0" w:after="0"/>
              <w:ind w:left="0" w:right="0" w:hanging="0"/>
              <w:jc w:val="left"/>
              <w:rPr/>
            </w:pPr>
            <w:r>
              <w:rPr/>
              <w:t> </w:t>
            </w:r>
          </w:p>
        </w:tc>
        <w:tc>
          <w:tcPr>
            <w:tcW w:w="14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1,094,979</w:t>
            </w:r>
          </w:p>
        </w:tc>
        <w:tc>
          <w:tcPr>
            <w:tcW w:w="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16.28</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stock-based compensation expense for the three months ended March 31, 2023 and 2022 was as follows:</w:t>
      </w:r>
      <w:r>
        <w:rPr>
          <w:rFonts w:ascii="Times New Roman" w:hAnsi="Times New Roman"/>
          <w:sz w:val="20"/>
        </w:rPr>
        <w:t xml:space="preserve"> </w:t>
      </w:r>
    </w:p>
    <w:tbl>
      <w:tblPr>
        <w:tblW w:w="6227" w:type="dxa"/>
        <w:jc w:val="left"/>
        <w:tblInd w:w="0" w:type="dxa"/>
        <w:tblCellMar>
          <w:top w:w="28" w:type="dxa"/>
          <w:left w:w="28" w:type="dxa"/>
          <w:bottom w:w="28" w:type="dxa"/>
          <w:right w:w="28" w:type="dxa"/>
        </w:tblCellMar>
      </w:tblPr>
      <w:tblGrid>
        <w:gridCol w:w="3571"/>
        <w:gridCol w:w="211"/>
        <w:gridCol w:w="999"/>
        <w:gridCol w:w="369"/>
        <w:gridCol w:w="1077"/>
      </w:tblGrid>
      <w:tr>
        <w:trPr/>
        <w:tc>
          <w:tcPr>
            <w:tcW w:w="3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2445"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r>
      <w:tr>
        <w:trPr/>
        <w:tc>
          <w:tcPr>
            <w:tcW w:w="357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357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2445"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expense</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4,483</w:t>
            </w:r>
          </w:p>
        </w:tc>
        <w:tc>
          <w:tcPr>
            <w:tcW w:w="36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3,207</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211" w:type="dxa"/>
            <w:tcBorders/>
            <w:shd w:fill="auto" w:val="clear"/>
            <w:vAlign w:val="center"/>
          </w:tcPr>
          <w:p>
            <w:pPr>
              <w:pStyle w:val="TableContents"/>
              <w:spacing w:before="0" w:after="0"/>
              <w:ind w:left="0" w:right="0" w:hanging="0"/>
              <w:jc w:val="center"/>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 Based Compensation Expense</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6,239</w:t>
            </w:r>
          </w:p>
        </w:tc>
        <w:tc>
          <w:tcPr>
            <w:tcW w:w="3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4,651</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$34,546</w:t>
      </w:r>
      <w:r>
        <w:rPr>
          <w:rFonts w:ascii="Times New Roman" w:hAnsi="Times New Roman"/>
          <w:sz w:val="20"/>
        </w:rPr>
        <w:t xml:space="preserve"> </w:t>
      </w:r>
      <w:r>
        <w:rPr>
          <w:rFonts w:ascii="Times New Roman;serif" w:hAnsi="Times New Roman;serif"/>
          <w:b w:val="false"/>
          <w:sz w:val="20"/>
        </w:rPr>
        <w:t>thousand of total unrecognized expense related to stock-based compensation awards is expected to be recognized over a weighted-average period of 1.86</w:t>
      </w:r>
      <w:r>
        <w:rPr>
          <w:rFonts w:ascii="Times New Roman" w:hAnsi="Times New Roman"/>
          <w:sz w:val="20"/>
        </w:rPr>
        <w:t xml:space="preserve"> </w:t>
      </w:r>
      <w:r>
        <w:rPr>
          <w:rFonts w:ascii="Times New Roman;serif" w:hAnsi="Times New Roman;serif"/>
          <w:b w:val="false"/>
          <w:sz w:val="20"/>
        </w:rPr>
        <w:t>years.</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10. INCOME TAX EXPENSE</w:t>
      </w:r>
      <w:r>
        <w:rPr>
          <w:rFonts w:ascii="Times New Roman" w:hAnsi="Times New Roman"/>
          <w:sz w:val="20"/>
        </w:rPr>
        <w:t xml:space="preserve"> </w:t>
      </w:r>
    </w:p>
    <w:p>
      <w:pPr>
        <w:pStyle w:val="TextBody"/>
        <w:pBdr>
          <w:bottom w:val="single" w:sz="6" w:space="1" w:color="000000"/>
        </w:pBdr>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following table summarizes the Company’s income tax expense and effective tax rates for the three months ended March 31, 2023 and 2022: </w:t>
      </w:r>
    </w:p>
    <w:p>
      <w:pPr>
        <w:pStyle w:val="TextBody"/>
        <w:spacing w:before="0" w:after="0"/>
        <w:jc w:val="left"/>
        <w:rPr/>
      </w:pPr>
      <w:r>
        <w:rPr/>
        <w:t> </w:t>
      </w:r>
    </w:p>
    <w:tbl>
      <w:tblPr>
        <w:tblW w:w="5101" w:type="dxa"/>
        <w:jc w:val="left"/>
        <w:tblInd w:w="0" w:type="dxa"/>
        <w:tblCellMar>
          <w:top w:w="28" w:type="dxa"/>
          <w:left w:w="28" w:type="dxa"/>
          <w:bottom w:w="28" w:type="dxa"/>
          <w:right w:w="28" w:type="dxa"/>
        </w:tblCellMar>
      </w:tblPr>
      <w:tblGrid>
        <w:gridCol w:w="2446"/>
        <w:gridCol w:w="211"/>
        <w:gridCol w:w="1028"/>
        <w:gridCol w:w="320"/>
        <w:gridCol w:w="1096"/>
      </w:tblGrid>
      <w:tr>
        <w:trPr/>
        <w:tc>
          <w:tcPr>
            <w:tcW w:w="2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244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r>
      <w:tr>
        <w:trPr/>
        <w:tc>
          <w:tcPr>
            <w:tcW w:w="24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0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43,041</w:t>
            </w:r>
          </w:p>
        </w:tc>
        <w:tc>
          <w:tcPr>
            <w:tcW w:w="32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60,817</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11" w:type="dxa"/>
            <w:tcBorders/>
            <w:shd w:fill="auto" w:val="clear"/>
            <w:vAlign w:val="center"/>
          </w:tcPr>
          <w:p>
            <w:pPr>
              <w:pStyle w:val="TableContents"/>
              <w:spacing w:before="0" w:after="0"/>
              <w:ind w:left="0" w:right="0" w:hanging="0"/>
              <w:jc w:val="center"/>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33,636</w:t>
            </w:r>
          </w:p>
        </w:tc>
        <w:tc>
          <w:tcPr>
            <w:tcW w:w="320" w:type="dxa"/>
            <w:tcBorders/>
            <w:shd w:fill="auto" w:val="clear"/>
            <w:vAlign w:val="center"/>
          </w:tcPr>
          <w:p>
            <w:pPr>
              <w:pStyle w:val="TableContents"/>
              <w:spacing w:before="0" w:after="0"/>
              <w:ind w:left="0" w:right="0" w:hanging="0"/>
              <w:jc w:val="center"/>
              <w:rPr/>
            </w:pPr>
            <w:r>
              <w:rPr/>
              <w:t> </w:t>
            </w:r>
          </w:p>
        </w:tc>
        <w:tc>
          <w:tcPr>
            <w:tcW w:w="10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31,131</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211" w:type="dxa"/>
            <w:tcBorders/>
            <w:shd w:fill="auto" w:val="clear"/>
            <w:vAlign w:val="center"/>
          </w:tcPr>
          <w:p>
            <w:pPr>
              <w:pStyle w:val="TableContents"/>
              <w:spacing w:before="0" w:after="0"/>
              <w:ind w:left="0" w:right="0" w:hanging="0"/>
              <w:jc w:val="center"/>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320" w:type="dxa"/>
            <w:tcBorders/>
            <w:shd w:fill="auto" w:val="clear"/>
            <w:vAlign w:val="center"/>
          </w:tcPr>
          <w:p>
            <w:pPr>
              <w:pStyle w:val="TableContents"/>
              <w:spacing w:before="0" w:after="0"/>
              <w:ind w:left="0" w:right="0" w:hanging="0"/>
              <w:jc w:val="center"/>
              <w:rPr/>
            </w:pPr>
            <w:r>
              <w:rPr/>
              <w:t> </w:t>
            </w:r>
          </w:p>
        </w:tc>
        <w:tc>
          <w:tcPr>
            <w:tcW w:w="10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effective tax rates for the three months ended March 31, 2023 and 2022 were based on the Company’s forecasted annualized effective tax rates and were adjusted for discrete items that occurred within the periods presented.</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spacing w:before="240" w:after="0"/>
        <w:jc w:val="left"/>
        <w:rPr>
          <w:rFonts w:ascii="Times New Roman" w:hAnsi="Times New Roman"/>
          <w:sz w:val="20"/>
        </w:rPr>
      </w:pPr>
      <w:r>
        <w:rPr>
          <w:rFonts w:ascii="Times New Roman;serif" w:hAnsi="Times New Roman;serif"/>
          <w:b w:val="false"/>
          <w:sz w:val="20"/>
        </w:rPr>
        <w:t>Taxes paid during the three months ended March 31, 2023 and 2022 were $159</w:t>
      </w:r>
      <w:r>
        <w:rPr>
          <w:rFonts w:ascii="Times New Roman" w:hAnsi="Times New Roman"/>
          <w:sz w:val="20"/>
        </w:rPr>
        <w:t xml:space="preserve"> </w:t>
      </w:r>
      <w:r>
        <w:rPr>
          <w:rFonts w:ascii="Times New Roman;serif" w:hAnsi="Times New Roman;serif"/>
          <w:b w:val="false"/>
          <w:sz w:val="20"/>
        </w:rPr>
        <w:t>thousand and $132</w:t>
      </w:r>
      <w:r>
        <w:rPr>
          <w:rFonts w:ascii="Times New Roman" w:hAnsi="Times New Roman"/>
          <w:sz w:val="20"/>
        </w:rPr>
        <w:t xml:space="preserve"> </w:t>
      </w:r>
      <w:r>
        <w:rPr>
          <w:rFonts w:ascii="Times New Roman;serif" w:hAnsi="Times New Roman;serif"/>
          <w:b w:val="false"/>
          <w:sz w:val="20"/>
        </w:rPr>
        <w:t>thousand, respectively.</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11. OTHER INCOME (EXPENSE)</w:t>
      </w:r>
      <w:r>
        <w:rPr>
          <w:rFonts w:ascii="Times New Roman" w:hAnsi="Times New Roman"/>
          <w:sz w:val="20"/>
        </w:rPr>
        <w:t xml:space="preserve"> </w:t>
      </w:r>
    </w:p>
    <w:p>
      <w:pPr>
        <w:pStyle w:val="TextBody"/>
        <w:pBdr>
          <w:bottom w:val="single" w:sz="6" w:space="1" w:color="000000"/>
        </w:pBdr>
        <w:spacing w:before="0" w:after="0"/>
        <w:jc w:val="left"/>
        <w:rPr/>
      </w:pPr>
      <w:r>
        <w:rPr/>
        <w:t> </w:t>
      </w:r>
    </w:p>
    <w:p>
      <w:pPr>
        <w:pStyle w:val="TextBody"/>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and 2022 other income (expense) was comprised of the following:</w:t>
      </w:r>
      <w:r>
        <w:rPr>
          <w:rFonts w:ascii="Times New Roman" w:hAnsi="Times New Roman"/>
          <w:sz w:val="20"/>
        </w:rPr>
        <w:t xml:space="preserve"> </w:t>
      </w:r>
    </w:p>
    <w:p>
      <w:pPr>
        <w:pStyle w:val="TextBody"/>
        <w:spacing w:before="0" w:after="0"/>
        <w:jc w:val="left"/>
        <w:rPr/>
      </w:pPr>
      <w:r>
        <w:rPr/>
        <w:t> </w:t>
      </w:r>
    </w:p>
    <w:tbl>
      <w:tblPr>
        <w:tblW w:w="6657" w:type="dxa"/>
        <w:jc w:val="left"/>
        <w:tblInd w:w="0" w:type="dxa"/>
        <w:tblCellMar>
          <w:top w:w="28" w:type="dxa"/>
          <w:left w:w="28" w:type="dxa"/>
          <w:bottom w:w="28" w:type="dxa"/>
          <w:right w:w="28" w:type="dxa"/>
        </w:tblCellMar>
      </w:tblPr>
      <w:tblGrid>
        <w:gridCol w:w="3871"/>
        <w:gridCol w:w="196"/>
        <w:gridCol w:w="916"/>
        <w:gridCol w:w="351"/>
        <w:gridCol w:w="1132"/>
        <w:gridCol w:w="191"/>
      </w:tblGrid>
      <w:tr>
        <w:trPr/>
        <w:tc>
          <w:tcPr>
            <w:tcW w:w="38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87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39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39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adjustments on equity investments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(479)</w:t>
            </w:r>
          </w:p>
        </w:tc>
        <w:tc>
          <w:tcPr>
            <w:tcW w:w="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(9,609)</w:t>
            </w:r>
          </w:p>
        </w:tc>
        <w:tc>
          <w:tcPr>
            <w:tcW w:w="191" w:type="dxa"/>
            <w:tcBorders/>
            <w:shd w:fill="auto" w:val="cle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adjustments on equity method investments</w:t>
            </w:r>
          </w:p>
        </w:tc>
        <w:tc>
          <w:tcPr>
            <w:tcW w:w="19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51" w:type="dxa"/>
            <w:tcBorders/>
            <w:shd w:fill="auto" w:val="clear"/>
            <w:vAlign w:val="center"/>
          </w:tcPr>
          <w:p>
            <w:pPr>
              <w:pStyle w:val="TableContents"/>
              <w:spacing w:before="0" w:after="0"/>
              <w:ind w:left="0" w:right="0" w:hanging="0"/>
              <w:jc w:val="center"/>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14,119</w:t>
            </w:r>
          </w:p>
        </w:tc>
        <w:tc>
          <w:tcPr>
            <w:tcW w:w="191" w:type="dxa"/>
            <w:tcBorders/>
            <w:shd w:fill="auto" w:val="cle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adjustments on warrants issued</w:t>
            </w:r>
          </w:p>
        </w:tc>
        <w:tc>
          <w:tcPr>
            <w:tcW w:w="19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1,642</w:t>
            </w:r>
          </w:p>
        </w:tc>
        <w:tc>
          <w:tcPr>
            <w:tcW w:w="351" w:type="dxa"/>
            <w:tcBorders/>
            <w:shd w:fill="auto" w:val="clear"/>
            <w:vAlign w:val="center"/>
          </w:tcPr>
          <w:p>
            <w:pPr>
              <w:pStyle w:val="TableContents"/>
              <w:spacing w:before="0" w:after="0"/>
              <w:ind w:left="0" w:right="0" w:hanging="0"/>
              <w:jc w:val="center"/>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7,929</w:t>
            </w:r>
          </w:p>
        </w:tc>
        <w:tc>
          <w:tcPr>
            <w:tcW w:w="191" w:type="dxa"/>
            <w:tcBorders/>
            <w:shd w:fill="auto" w:val="cle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Earnings (loss) from equity method investments</w:t>
            </w:r>
          </w:p>
        </w:tc>
        <w:tc>
          <w:tcPr>
            <w:tcW w:w="19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(318)</w:t>
            </w:r>
          </w:p>
        </w:tc>
        <w:tc>
          <w:tcPr>
            <w:tcW w:w="351" w:type="dxa"/>
            <w:tcBorders/>
            <w:shd w:fill="auto" w:val="clear"/>
            <w:vAlign w:val="center"/>
          </w:tcPr>
          <w:p>
            <w:pPr>
              <w:pStyle w:val="TableContents"/>
              <w:spacing w:before="0" w:after="0"/>
              <w:ind w:left="0" w:right="0" w:hanging="0"/>
              <w:jc w:val="center"/>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(1,203)</w:t>
            </w:r>
          </w:p>
        </w:tc>
        <w:tc>
          <w:tcPr>
            <w:tcW w:w="191" w:type="dxa"/>
            <w:tcBorders/>
            <w:shd w:fill="auto" w:val="cle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w:t>
            </w:r>
          </w:p>
        </w:tc>
        <w:tc>
          <w:tcPr>
            <w:tcW w:w="196" w:type="dxa"/>
            <w:tcBorders/>
            <w:shd w:fill="auto" w:val="clear"/>
            <w:vAlign w:val="center"/>
          </w:tcPr>
          <w:p>
            <w:pPr>
              <w:pStyle w:val="TableContents"/>
              <w:spacing w:before="0" w:after="0"/>
              <w:ind w:left="0" w:right="0" w:hanging="0"/>
              <w:jc w:val="center"/>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Other Income (Expense)</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924</w:t>
            </w:r>
          </w:p>
        </w:tc>
        <w:tc>
          <w:tcPr>
            <w:tcW w:w="3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1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11,435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12. COMMITMENTS AND CONTINGENCIES</w:t>
      </w:r>
      <w:r>
        <w:rPr>
          <w:rFonts w:ascii="Times New Roman" w:hAnsi="Times New Roman"/>
          <w:sz w:val="20"/>
        </w:rPr>
        <w:t xml:space="preserve"> </w:t>
      </w:r>
    </w:p>
    <w:p>
      <w:pPr>
        <w:pStyle w:val="TextBody"/>
        <w:pBdr>
          <w:bottom w:val="sing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(a) 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(b) Claims and Litigation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the Company may be involved in litigation relating to claims arising out of operations in the normal course of business. As of March 31, 2023, the following matter was being appealed by the Company: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Cresco Labs New York, LLC and Cresco Labs LLC (“Plaintiffs”) filed an amended complaint against one of the Company’s subsidiaries, Fiorello Pharmaceuticals, Inc. (“Defendant”) on November 20, 2018, in the Supreme Court of the State of New York, NY County alleging Defendant breached the parties’ Equity Purchase Agreement Letter of Intent (“LOI”) relating to the acquisition of Defendant by Plaintiffs. In December 2022, the trial court granted Plaintiffs' motion for summary judgment on their claim that Defendant breached the LOI. Defendant disputes any liability and is vigorously appealing the trial court’s decision. The Company believes a successful appeal is probable, and as such, as of March 31, 2023 and December 31, 2022, a $900</w:t>
      </w:r>
      <w:r>
        <w:rPr>
          <w:rFonts w:ascii="Times New Roman" w:hAnsi="Times New Roman"/>
          <w:sz w:val="20"/>
        </w:rPr>
        <w:t xml:space="preserve"> </w:t>
      </w:r>
      <w:r>
        <w:rPr>
          <w:rFonts w:ascii="Times New Roman;serif" w:hAnsi="Times New Roman;serif"/>
          <w:b w:val="false"/>
          <w:sz w:val="20"/>
        </w:rPr>
        <w:t>thousand loss contingency was recorded within accrued liabilities on the unaudited interim condensed consolidated balance sheets as of each period end. In the event that the Defendant’s appeal is unsuccessful, any damages will be determined by further legal proceedings. The Company has estimated that the possible range of loss is between $900</w:t>
      </w:r>
      <w:r>
        <w:rPr>
          <w:rFonts w:ascii="Times New Roman" w:hAnsi="Times New Roman"/>
          <w:sz w:val="20"/>
        </w:rPr>
        <w:t xml:space="preserve"> </w:t>
      </w:r>
      <w:r>
        <w:rPr>
          <w:rFonts w:ascii="Times New Roman;serif" w:hAnsi="Times New Roman;serif"/>
          <w:b w:val="false"/>
          <w:sz w:val="20"/>
        </w:rPr>
        <w:t>thousand and $72,915</w:t>
      </w:r>
      <w:r>
        <w:rPr>
          <w:rFonts w:ascii="Times New Roman" w:hAnsi="Times New Roman"/>
          <w:sz w:val="20"/>
        </w:rPr>
        <w:t xml:space="preserve"> </w:t>
      </w:r>
      <w:r>
        <w:rPr>
          <w:rFonts w:ascii="Times New Roman;serif" w:hAnsi="Times New Roman;serif"/>
          <w:b w:val="false"/>
          <w:sz w:val="20"/>
        </w:rPr>
        <w:t>thousand.</w:t>
      </w:r>
    </w:p>
    <w:p>
      <w:pPr>
        <w:pStyle w:val="TextBody"/>
        <w:spacing w:before="120" w:after="0"/>
        <w:jc w:val="left"/>
        <w:rPr>
          <w:rFonts w:ascii="Times New Roman" w:hAnsi="Times New Roman"/>
          <w:sz w:val="20"/>
        </w:rPr>
      </w:pPr>
      <w:r>
        <w:rPr>
          <w:rFonts w:ascii="Times New Roman;serif" w:hAnsi="Times New Roman;serif"/>
          <w:b w:val="false"/>
          <w:sz w:val="20"/>
        </w:rPr>
        <w:t>At March 31, 2023, other than as discussed above, there were no</w:t>
      </w:r>
      <w:r>
        <w:rPr>
          <w:rFonts w:ascii="Times New Roman" w:hAnsi="Times New Roman"/>
          <w:sz w:val="20"/>
        </w:rPr>
        <w:t xml:space="preserve"> </w:t>
      </w:r>
      <w:r>
        <w:rPr>
          <w:rFonts w:ascii="Times New Roman;serif" w:hAnsi="Times New Roman;serif"/>
          <w:b w:val="false"/>
          <w:sz w:val="20"/>
        </w:rPr>
        <w:t>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(c) Construction Commitments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 held approximately $47,900</w:t>
      </w:r>
      <w:r>
        <w:rPr>
          <w:rFonts w:ascii="Times New Roman;serif" w:hAnsi="Times New Roman;serif"/>
          <w:sz w:val="20"/>
        </w:rPr>
        <w:t xml:space="preserve"> </w:t>
      </w:r>
      <w:r>
        <w:rPr>
          <w:rFonts w:ascii="Times New Roman;serif" w:hAnsi="Times New Roman;serif"/>
          <w:b w:val="false"/>
          <w:sz w:val="20"/>
        </w:rPr>
        <w:t>thousand of open construction commitments to contractors on work being performed.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16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13. FAIR VALUE MEASUREMENTS</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Level 1</w:t>
      </w:r>
      <w:r>
        <w:rPr>
          <w:rFonts w:ascii="Times New Roman" w:hAnsi="Times New Roman"/>
          <w:sz w:val="20"/>
        </w:rPr>
        <w:t xml:space="preserve"> – </w:t>
      </w:r>
      <w:r>
        <w:rPr>
          <w:rFonts w:ascii="Times New Roman;serif" w:hAnsi="Times New Roman;serif"/>
          <w:b w:val="false"/>
          <w:sz w:val="20"/>
        </w:rPr>
        <w:t>Unadjusted quoted prices in active markets for identical assets or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Inputs other than quoted prices that are observable for the asset or liability, either directly or indirectly;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Inputs for the asset or liability that are not based on observable market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(a) Financial Instruments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financial instruments consist of cash and cash equivalents, accounts receivable, investments, accounts payable and accrued liabilities, notes payable, warrant liability, and contingent consideration payable.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It was not practicable to estimate the fair value of the Company's long-term notes payable, which consist of charitable contributions, private placement debt and mortgage notes, since there were no quoted market prices or active trading markets. The carrying amount of notes payable at March 31, 2023 and December 31, 2022 was $277,827</w:t>
      </w:r>
      <w:r>
        <w:rPr>
          <w:rFonts w:ascii="Times New Roman" w:hAnsi="Times New Roman"/>
          <w:sz w:val="20"/>
        </w:rPr>
        <w:t xml:space="preserve"> </w:t>
      </w:r>
      <w:r>
        <w:rPr>
          <w:rFonts w:ascii="Times New Roman;serif" w:hAnsi="Times New Roman;serif"/>
          <w:b w:val="false"/>
          <w:sz w:val="20"/>
        </w:rPr>
        <w:t>thousand and $275,668</w:t>
      </w:r>
      <w:r>
        <w:rPr>
          <w:rFonts w:ascii="Times New Roman" w:hAnsi="Times New Roman"/>
          <w:sz w:val="20"/>
        </w:rPr>
        <w:t xml:space="preserve"> </w:t>
      </w:r>
      <w:r>
        <w:rPr>
          <w:rFonts w:ascii="Times New Roman;serif" w:hAnsi="Times New Roman;serif"/>
          <w:b w:val="false"/>
          <w:sz w:val="20"/>
        </w:rPr>
        <w:t>thousand, which includes $1,052</w:t>
      </w:r>
      <w:r>
        <w:rPr>
          <w:rFonts w:ascii="Times New Roman" w:hAnsi="Times New Roman"/>
          <w:sz w:val="20"/>
        </w:rPr>
        <w:t xml:space="preserve"> </w:t>
      </w:r>
      <w:r>
        <w:rPr>
          <w:rFonts w:ascii="Times New Roman;serif" w:hAnsi="Times New Roman;serif"/>
          <w:b w:val="false"/>
          <w:sz w:val="20"/>
        </w:rPr>
        <w:t>thousand and $1,037</w:t>
      </w:r>
      <w:r>
        <w:rPr>
          <w:rFonts w:ascii="Times New Roman" w:hAnsi="Times New Roman"/>
          <w:sz w:val="20"/>
        </w:rPr>
        <w:t xml:space="preserve"> </w:t>
      </w:r>
      <w:r>
        <w:rPr>
          <w:rFonts w:ascii="Times New Roman;serif" w:hAnsi="Times New Roman;serif"/>
          <w:b w:val="false"/>
          <w:sz w:val="20"/>
        </w:rPr>
        <w:t>thousand, respectively, of short-term debt due within one year.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Financial instruments recorded at fair value are classified using a fair value hierarchy that reflects the significance of the inputs to fair value measurements. The fair values of the Company’s financial instruments associated with each of the three levels of the hierarchy are: </w:t>
      </w:r>
    </w:p>
    <w:p>
      <w:pPr>
        <w:pStyle w:val="TextBody"/>
        <w:spacing w:before="0" w:after="0"/>
        <w:jc w:val="left"/>
        <w:rPr/>
      </w:pPr>
      <w:r>
        <w:rPr/>
        <w:t> </w:t>
      </w:r>
    </w:p>
    <w:tbl>
      <w:tblPr>
        <w:tblW w:w="6144" w:type="dxa"/>
        <w:jc w:val="left"/>
        <w:tblInd w:w="0" w:type="dxa"/>
        <w:tblCellMar>
          <w:top w:w="28" w:type="dxa"/>
          <w:left w:w="28" w:type="dxa"/>
          <w:bottom w:w="28" w:type="dxa"/>
          <w:right w:w="28" w:type="dxa"/>
        </w:tblCellMar>
      </w:tblPr>
      <w:tblGrid>
        <w:gridCol w:w="2536"/>
        <w:gridCol w:w="196"/>
        <w:gridCol w:w="691"/>
        <w:gridCol w:w="196"/>
        <w:gridCol w:w="646"/>
        <w:gridCol w:w="196"/>
        <w:gridCol w:w="721"/>
        <w:gridCol w:w="196"/>
        <w:gridCol w:w="766"/>
      </w:tblGrid>
      <w:tr>
        <w:trPr/>
        <w:tc>
          <w:tcPr>
            <w:tcW w:w="25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53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41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As of March 31, 2023</w:t>
            </w:r>
          </w:p>
        </w:tc>
      </w:tr>
      <w:tr>
        <w:trPr/>
        <w:tc>
          <w:tcPr>
            <w:tcW w:w="2536" w:type="dxa"/>
            <w:tcBorders/>
            <w:shd w:fill="auto" w:val="clear"/>
            <w:vAlign w:val="center"/>
          </w:tcPr>
          <w:p>
            <w:pPr>
              <w:pStyle w:val="TableContents"/>
              <w:spacing w:before="0" w:after="0"/>
              <w:ind w:left="0" w:right="0" w:hanging="0"/>
              <w:jc w:val="left"/>
              <w:rPr/>
            </w:pPr>
            <w:r>
              <w:rPr/>
              <w:t> </w:t>
            </w:r>
          </w:p>
        </w:tc>
        <w:tc>
          <w:tcPr>
            <w:tcW w:w="3608" w:type="dxa"/>
            <w:gridSpan w:val="8"/>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253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6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7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7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185,367</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21"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185,367</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Investments</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24,270</w:t>
            </w:r>
          </w:p>
        </w:tc>
        <w:tc>
          <w:tcPr>
            <w:tcW w:w="196" w:type="dxa"/>
            <w:tcBorders/>
            <w:shd w:fill="auto" w:val="clear"/>
            <w:vAlign w:val="center"/>
          </w:tcPr>
          <w:p>
            <w:pPr>
              <w:pStyle w:val="TableContents"/>
              <w:spacing w:before="0" w:after="0"/>
              <w:ind w:left="0" w:right="0" w:hanging="0"/>
              <w:jc w:val="center"/>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51,398</w:t>
            </w:r>
          </w:p>
        </w:tc>
        <w:tc>
          <w:tcPr>
            <w:tcW w:w="19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75,668</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Contingent Consideration Payable</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(42,674)</w:t>
            </w:r>
          </w:p>
        </w:tc>
        <w:tc>
          <w:tcPr>
            <w:tcW w:w="19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(42,674)</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Warrant Liability</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(2,878)</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(2,878)</w:t>
            </w:r>
          </w:p>
        </w:tc>
      </w:tr>
      <w:tr>
        <w:trPr/>
        <w:tc>
          <w:tcPr>
            <w:tcW w:w="253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209,637</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5,846</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215,483</w:t>
            </w:r>
          </w:p>
        </w:tc>
      </w:tr>
    </w:tbl>
    <w:p>
      <w:pPr>
        <w:pStyle w:val="TextBody"/>
        <w:spacing w:before="0" w:after="0"/>
        <w:jc w:val="left"/>
        <w:rPr/>
      </w:pPr>
      <w:r>
        <w:rPr/>
        <w:t> </w:t>
      </w:r>
    </w:p>
    <w:tbl>
      <w:tblPr>
        <w:tblW w:w="6144" w:type="dxa"/>
        <w:jc w:val="left"/>
        <w:tblInd w:w="0" w:type="dxa"/>
        <w:tblCellMar>
          <w:top w:w="28" w:type="dxa"/>
          <w:left w:w="28" w:type="dxa"/>
          <w:bottom w:w="28" w:type="dxa"/>
          <w:right w:w="28" w:type="dxa"/>
        </w:tblCellMar>
      </w:tblPr>
      <w:tblGrid>
        <w:gridCol w:w="2536"/>
        <w:gridCol w:w="196"/>
        <w:gridCol w:w="691"/>
        <w:gridCol w:w="196"/>
        <w:gridCol w:w="646"/>
        <w:gridCol w:w="196"/>
        <w:gridCol w:w="721"/>
        <w:gridCol w:w="196"/>
        <w:gridCol w:w="766"/>
      </w:tblGrid>
      <w:tr>
        <w:trPr/>
        <w:tc>
          <w:tcPr>
            <w:tcW w:w="25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53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341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As of December 31, 2022</w:t>
            </w:r>
          </w:p>
        </w:tc>
      </w:tr>
      <w:tr>
        <w:trPr/>
        <w:tc>
          <w:tcPr>
            <w:tcW w:w="2536" w:type="dxa"/>
            <w:tcBorders/>
            <w:shd w:fill="auto" w:val="clear"/>
            <w:vAlign w:val="center"/>
          </w:tcPr>
          <w:p>
            <w:pPr>
              <w:pStyle w:val="TableContents"/>
              <w:spacing w:before="0" w:after="0"/>
              <w:ind w:left="0" w:right="0" w:hanging="0"/>
              <w:jc w:val="left"/>
              <w:rPr/>
            </w:pPr>
            <w:r>
              <w:rPr/>
              <w:t> </w:t>
            </w:r>
          </w:p>
        </w:tc>
        <w:tc>
          <w:tcPr>
            <w:tcW w:w="3608" w:type="dxa"/>
            <w:gridSpan w:val="8"/>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253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6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7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7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177,682</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21"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177,682</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Investments</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24,749</w:t>
            </w:r>
          </w:p>
        </w:tc>
        <w:tc>
          <w:tcPr>
            <w:tcW w:w="196" w:type="dxa"/>
            <w:tcBorders/>
            <w:shd w:fill="auto" w:val="clear"/>
            <w:vAlign w:val="center"/>
          </w:tcPr>
          <w:p>
            <w:pPr>
              <w:pStyle w:val="TableContents"/>
              <w:spacing w:before="0" w:after="0"/>
              <w:ind w:left="0" w:right="0" w:hanging="0"/>
              <w:jc w:val="center"/>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49,420</w:t>
            </w:r>
          </w:p>
        </w:tc>
        <w:tc>
          <w:tcPr>
            <w:tcW w:w="19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74,169</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Contingent Consideration Payable</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(41,943)</w:t>
            </w:r>
          </w:p>
        </w:tc>
        <w:tc>
          <w:tcPr>
            <w:tcW w:w="19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(41,943)</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Warrant Liability</w:t>
            </w:r>
          </w:p>
        </w:tc>
        <w:tc>
          <w:tcPr>
            <w:tcW w:w="19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(4,520)</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(4,520)</w:t>
            </w:r>
          </w:p>
        </w:tc>
      </w:tr>
      <w:tr>
        <w:trPr/>
        <w:tc>
          <w:tcPr>
            <w:tcW w:w="253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202,431</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2,957</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205,388</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spacing w:before="16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14. SEGMENT REPORTING</w:t>
      </w:r>
    </w:p>
    <w:p>
      <w:pPr>
        <w:pStyle w:val="TextBody"/>
        <w:spacing w:before="0" w:after="0"/>
        <w:jc w:val="left"/>
        <w:rPr/>
      </w:pPr>
      <w:r>
        <w:rPr/>
        <w:t> </w:t>
      </w:r>
    </w:p>
    <w:p>
      <w:pPr>
        <w:pStyle w:val="TextBody"/>
        <w:pBdr>
          <w:top w:val="single" w:sz="6"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below table presents revenues by type for the</w:t>
      </w:r>
      <w:r>
        <w:rPr>
          <w:rFonts w:ascii="Times New Roman" w:hAnsi="Times New Roman"/>
          <w:sz w:val="20"/>
        </w:rPr>
        <w:t xml:space="preserve"> </w:t>
      </w:r>
      <w:r>
        <w:rPr>
          <w:rFonts w:ascii="Times New Roman;serif" w:hAnsi="Times New Roman;serif"/>
          <w:b w:val="false"/>
          <w:sz w:val="20"/>
        </w:rPr>
        <w:t>three months ended March 31, 2023 and 2022:</w:t>
      </w:r>
      <w:r>
        <w:rPr>
          <w:rFonts w:ascii="Times New Roman" w:hAnsi="Times New Roman"/>
          <w:sz w:val="20"/>
        </w:rPr>
        <w:t xml:space="preserve"> </w:t>
      </w:r>
    </w:p>
    <w:p>
      <w:pPr>
        <w:pStyle w:val="TextBody"/>
        <w:spacing w:before="240" w:after="0"/>
        <w:jc w:val="left"/>
        <w:rPr/>
      </w:pPr>
      <w:r>
        <w:rPr/>
        <w:t> </w:t>
      </w:r>
    </w:p>
    <w:tbl>
      <w:tblPr>
        <w:tblW w:w="6463" w:type="dxa"/>
        <w:jc w:val="left"/>
        <w:tblInd w:w="0" w:type="dxa"/>
        <w:tblCellMar>
          <w:top w:w="28" w:type="dxa"/>
          <w:left w:w="28" w:type="dxa"/>
          <w:bottom w:w="28" w:type="dxa"/>
          <w:right w:w="28" w:type="dxa"/>
        </w:tblCellMar>
      </w:tblPr>
      <w:tblGrid>
        <w:gridCol w:w="3271"/>
        <w:gridCol w:w="211"/>
        <w:gridCol w:w="1232"/>
        <w:gridCol w:w="326"/>
        <w:gridCol w:w="1232"/>
        <w:gridCol w:w="191"/>
      </w:tblGrid>
      <w:tr>
        <w:trPr/>
        <w:tc>
          <w:tcPr>
            <w:tcW w:w="3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279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279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Revenues, Net of Discounts</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Retail</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188,878</w:t>
            </w:r>
          </w:p>
        </w:tc>
        <w:tc>
          <w:tcPr>
            <w:tcW w:w="3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172,586</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Packaged Goods</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125,617</w:t>
            </w:r>
          </w:p>
        </w:tc>
        <w:tc>
          <w:tcPr>
            <w:tcW w:w="326"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120,412</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Eliminations</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(65,959)</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(50,398)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Revenues, Net of Discounts</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248,536</w:t>
            </w:r>
          </w:p>
        </w:tc>
        <w:tc>
          <w:tcPr>
            <w:tcW w:w="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242,600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Depreciation and Amortization</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Retail</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8,832</w:t>
            </w:r>
          </w:p>
        </w:tc>
        <w:tc>
          <w:tcPr>
            <w:tcW w:w="3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9,833</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Packaged Goods</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14,669</w:t>
            </w:r>
          </w:p>
        </w:tc>
        <w:tc>
          <w:tcPr>
            <w:tcW w:w="326"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13,157</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Eliminations</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Depreciation and Amortization</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23,501</w:t>
            </w:r>
          </w:p>
        </w:tc>
        <w:tc>
          <w:tcPr>
            <w:tcW w:w="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22,990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Income Taxes</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Retail</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19,011</w:t>
            </w:r>
          </w:p>
        </w:tc>
        <w:tc>
          <w:tcPr>
            <w:tcW w:w="3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18,190</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Packaged Goods</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14,625</w:t>
            </w:r>
          </w:p>
        </w:tc>
        <w:tc>
          <w:tcPr>
            <w:tcW w:w="326" w:type="dxa"/>
            <w:tcBorders/>
            <w:shd w:fill="auto" w:val="clear"/>
            <w:vAlign w:val="center"/>
          </w:tcPr>
          <w:p>
            <w:pPr>
              <w:pStyle w:val="TableContents"/>
              <w:spacing w:before="0" w:after="0"/>
              <w:ind w:left="0" w:right="0" w:hanging="0"/>
              <w:jc w:val="center"/>
              <w:rPr/>
            </w:pPr>
            <w:r>
              <w:rPr/>
              <w:t> </w:t>
            </w:r>
          </w:p>
        </w:tc>
        <w:tc>
          <w:tcPr>
            <w:tcW w:w="1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12,941</w:t>
            </w:r>
          </w:p>
        </w:tc>
        <w:tc>
          <w:tcPr>
            <w:tcW w:w="1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Eliminations</w:t>
            </w:r>
          </w:p>
        </w:tc>
        <w:tc>
          <w:tcPr>
            <w:tcW w:w="211" w:type="dxa"/>
            <w:tcBorders/>
            <w:shd w:fill="auto" w:val="clear"/>
            <w:vAlign w:val="center"/>
          </w:tcPr>
          <w:p>
            <w:pPr>
              <w:pStyle w:val="TableContents"/>
              <w:spacing w:before="0" w:after="0"/>
              <w:ind w:left="0" w:right="0" w:hanging="0"/>
              <w:jc w:val="center"/>
              <w:rPr/>
            </w:pPr>
            <w:r>
              <w:rPr/>
              <w:t> </w:t>
            </w:r>
          </w:p>
        </w:tc>
        <w:tc>
          <w:tcPr>
            <w:tcW w:w="1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Income Taxes</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33,636</w:t>
            </w:r>
          </w:p>
        </w:tc>
        <w:tc>
          <w:tcPr>
            <w:tcW w:w="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31,131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Goodwill assigned to the Consumer Packaged Goods segment as of March 31, 2023 and December 31, 2022 was $315,889</w:t>
      </w:r>
      <w:r>
        <w:rPr>
          <w:rFonts w:ascii="Times New Roman" w:hAnsi="Times New Roman"/>
          <w:sz w:val="20"/>
        </w:rPr>
        <w:t xml:space="preserve"> </w:t>
      </w:r>
      <w:r>
        <w:rPr>
          <w:rFonts w:ascii="Times New Roman;serif" w:hAnsi="Times New Roman;serif"/>
          <w:b w:val="false"/>
          <w:sz w:val="20"/>
        </w:rPr>
        <w:t>thousand and $315,889</w:t>
      </w:r>
      <w:r>
        <w:rPr>
          <w:rFonts w:ascii="Times New Roman" w:hAnsi="Times New Roman"/>
          <w:sz w:val="20"/>
        </w:rPr>
        <w:t xml:space="preserve"> </w:t>
      </w:r>
      <w:r>
        <w:rPr>
          <w:rFonts w:ascii="Times New Roman;serif" w:hAnsi="Times New Roman;serif"/>
          <w:b w:val="false"/>
          <w:sz w:val="20"/>
        </w:rPr>
        <w:t>thousand, respectively. Intangible assets, net assigned to the Consumer Packaged Goods segment as of March 31, 2023 and December 31, 2022 was $280,278</w:t>
      </w:r>
      <w:r>
        <w:rPr>
          <w:rFonts w:ascii="Times New Roman" w:hAnsi="Times New Roman"/>
          <w:sz w:val="20"/>
        </w:rPr>
        <w:t xml:space="preserve"> </w:t>
      </w:r>
      <w:r>
        <w:rPr>
          <w:rFonts w:ascii="Times New Roman;serif" w:hAnsi="Times New Roman;serif"/>
          <w:b w:val="false"/>
          <w:sz w:val="20"/>
        </w:rPr>
        <w:t>thousand and $286,922</w:t>
      </w:r>
      <w:r>
        <w:rPr>
          <w:rFonts w:ascii="Times New Roman" w:hAnsi="Times New Roman"/>
          <w:sz w:val="20"/>
        </w:rPr>
        <w:t xml:space="preserve"> </w:t>
      </w:r>
      <w:r>
        <w:rPr>
          <w:rFonts w:ascii="Times New Roman;serif" w:hAnsi="Times New Roman;serif"/>
          <w:b w:val="false"/>
          <w:sz w:val="20"/>
        </w:rPr>
        <w:t>thousand,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Goodwill assigned to the Retail segment as of March 31, 2023 and December 31, 2022 was $273,802</w:t>
      </w:r>
      <w:r>
        <w:rPr>
          <w:rFonts w:ascii="Times New Roman" w:hAnsi="Times New Roman"/>
          <w:sz w:val="20"/>
        </w:rPr>
        <w:t xml:space="preserve"> </w:t>
      </w:r>
      <w:r>
        <w:rPr>
          <w:rFonts w:ascii="Times New Roman;serif" w:hAnsi="Times New Roman;serif"/>
          <w:b w:val="false"/>
          <w:sz w:val="20"/>
        </w:rPr>
        <w:t>thousand and $273,802</w:t>
      </w:r>
      <w:r>
        <w:rPr>
          <w:rFonts w:ascii="Times New Roman" w:hAnsi="Times New Roman"/>
          <w:sz w:val="20"/>
        </w:rPr>
        <w:t xml:space="preserve"> </w:t>
      </w:r>
      <w:r>
        <w:rPr>
          <w:rFonts w:ascii="Times New Roman;serif" w:hAnsi="Times New Roman;serif"/>
          <w:b w:val="false"/>
          <w:sz w:val="20"/>
        </w:rPr>
        <w:t>thousand, respectively. Intangible assets, net assigned to the Retail segment as of March 31, 2023 and December 31, 2022 was $296,631</w:t>
      </w:r>
      <w:r>
        <w:rPr>
          <w:rFonts w:ascii="Times New Roman" w:hAnsi="Times New Roman"/>
          <w:sz w:val="20"/>
        </w:rPr>
        <w:t xml:space="preserve"> </w:t>
      </w:r>
      <w:r>
        <w:rPr>
          <w:rFonts w:ascii="Times New Roman;serif" w:hAnsi="Times New Roman;serif"/>
          <w:b w:val="false"/>
          <w:sz w:val="20"/>
        </w:rPr>
        <w:t>thousand and $302,597</w:t>
      </w:r>
      <w:r>
        <w:rPr>
          <w:rFonts w:ascii="Times New Roman" w:hAnsi="Times New Roman"/>
          <w:sz w:val="20"/>
        </w:rPr>
        <w:t xml:space="preserve"> </w:t>
      </w:r>
      <w:r>
        <w:rPr>
          <w:rFonts w:ascii="Times New Roman;serif" w:hAnsi="Times New Roman;serif"/>
          <w:b w:val="false"/>
          <w:sz w:val="20"/>
        </w:rPr>
        <w:t>thousand,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8" w:name="item2_mda"/>
      <w:bookmarkStart w:id="9" w:name="management_discussion_and_analysis"/>
      <w:bookmarkEnd w:id="8"/>
      <w:bookmarkEnd w:id="9"/>
      <w:r>
        <w:rPr>
          <w:rFonts w:ascii="Times New Roman;serif" w:hAnsi="Times New Roman;serif"/>
          <w:b/>
          <w:sz w:val="20"/>
        </w:rPr>
        <w:t>ITEM 2. MANAGEMENT DISCUSSION AND ANALYSIS OF FINANCIAL CONDITION AND RESULTS OF OPERATION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This management discussion and analysis (“MD&amp;A”) of the financial condition and results of operations of Green Thumb Industries Inc. (the “Company” or “Green Thumb”) is for the three months ended March 31, 2023 and 2022. It is supplemental to, and should be read in conjunction with, the Company’s unaudited interim condensed consolidated financial statements as of March 31, 2023 and the consolidated financial statements for the year ended December 31, 2022 included in the Company’s Annual Report on Form 10-K for the year ended December 31, 2022 filed with the U.S. Securities and Exchange Commission on March 1, 2023 (the “2022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of the 2022 Form 10-K.” As a result of many factors, the Company’s actual results may differ materially from those anticipated in these forward-looking statements and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OVERVIEW OF THE COMPANY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Established in 2014 and headquartered in Chicago, Illinois, Green Thumb promotes well-being through the power of cannabis through branded consumer packaged goods and people-first retail experiences, while giving back to the communities in which it serves. As of March 31, 2023, Green Thumb has operations in 15 U.S. markets, employs approximately 4,000 people and serves millions of patients and customers annually.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Company’s Consumer Packaged Goods portfolio is primarily generated from plant material that Green Thumb grows and processes itself, which we use to produce our consumer packaged goods in 18 manufacturing facilities. This portfolio consists of stock keeping units (“SKUs”)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U.S. including at Green Thumb’s own RISE and other stores.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Green Thumb owns and operates a national cannabis retail chain called RISE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stores under other names, primarily where naming is subject to licensing or similar restrictions or in certain instances where we co-own the store.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13 of the states in which we operate. As of March 31, 2023, the Company had 77 open and operating retail locations. The Company’s new store opening plans will remain fluid depending on market conditions, obtaining local licensing, construction and other permissions and subject to the Company’s capital allocation plans.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Results of Operations – Consolidated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the Company’s selected consolidated financial results for the periods, and as of the dates, indicated. The (i) unaudited interim condensed consolidated statements of operations for the three months ended March 31, 2023 and 2022 and (ii) unaudited interim condensed consolidated balance sheet as of March 31, 2023 and December 31, 2022 have been derived from, and should be read in conjunction with, the unaudited interim condensed consolidated financial statements and accompanying notes presented in Item 1 of this quarterly report on Form 10-Q.</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Company’s unaudited interim condensed consolidated financial statements have been prepared in accordance with U.S. GAAP and on a going-concern basis that contemplates continuity of operations and realization of assets and liquidation of liabilities in the ordinary course of business.</w:t>
      </w:r>
      <w:r>
        <w:rPr>
          <w:rFonts w:ascii="Times New Roman" w:hAnsi="Times New Roman"/>
          <w:sz w:val="20"/>
        </w:rPr>
        <w:t xml:space="preserve"> </w:t>
      </w:r>
    </w:p>
    <w:tbl>
      <w:tblPr>
        <w:tblW w:w="9570" w:type="dxa"/>
        <w:jc w:val="left"/>
        <w:tblInd w:w="0" w:type="dxa"/>
        <w:tblCellMar>
          <w:top w:w="28" w:type="dxa"/>
          <w:left w:w="28" w:type="dxa"/>
          <w:bottom w:w="28" w:type="dxa"/>
          <w:right w:w="28" w:type="dxa"/>
        </w:tblCellMar>
      </w:tblPr>
      <w:tblGrid>
        <w:gridCol w:w="5236"/>
        <w:gridCol w:w="196"/>
        <w:gridCol w:w="1093"/>
        <w:gridCol w:w="213"/>
        <w:gridCol w:w="1093"/>
        <w:gridCol w:w="146"/>
        <w:gridCol w:w="196"/>
        <w:gridCol w:w="721"/>
        <w:gridCol w:w="676"/>
      </w:tblGrid>
      <w:tr>
        <w:trPr/>
        <w:tc>
          <w:tcPr>
            <w:tcW w:w="52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523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39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3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QTD Change</w:t>
            </w:r>
          </w:p>
        </w:tc>
      </w:tr>
      <w:tr>
        <w:trPr/>
        <w:tc>
          <w:tcPr>
            <w:tcW w:w="523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523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4138" w:type="dxa"/>
            <w:gridSpan w:val="7"/>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and per share amounts)</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Revenues, Net of Discounts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9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248,536</w:t>
            </w:r>
          </w:p>
        </w:tc>
        <w:tc>
          <w:tcPr>
            <w:tcW w:w="21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9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242,600</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19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72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5,936</w:t>
            </w:r>
          </w:p>
        </w:tc>
        <w:tc>
          <w:tcPr>
            <w:tcW w:w="67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Goods Sold, Net</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(123,815)</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(119,660)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(4,155)</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Gross Profit</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124,721</w:t>
            </w:r>
          </w:p>
        </w:tc>
        <w:tc>
          <w:tcPr>
            <w:tcW w:w="213"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122,940</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1,781</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Selling, General, and Administrative</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80,519</w:t>
            </w:r>
          </w:p>
        </w:tc>
        <w:tc>
          <w:tcPr>
            <w:tcW w:w="213"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68,388</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12,131</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80,519</w:t>
            </w:r>
          </w:p>
        </w:tc>
        <w:tc>
          <w:tcPr>
            <w:tcW w:w="213"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093"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68,388</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12,131</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 From Operations</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44,202</w:t>
            </w:r>
          </w:p>
        </w:tc>
        <w:tc>
          <w:tcPr>
            <w:tcW w:w="213"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54,552</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(10,350)</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Income (Expense)</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(1,161)</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(7,426)</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 Before Provision for Income Taxes And Non-Controlling Interest</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43,041</w:t>
            </w:r>
          </w:p>
        </w:tc>
        <w:tc>
          <w:tcPr>
            <w:tcW w:w="213"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60,817</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(17,776)</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Provision for Income Taxes</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33,636</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2,505</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Before Non-Controlling Interest</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9,405</w:t>
            </w:r>
          </w:p>
        </w:tc>
        <w:tc>
          <w:tcPr>
            <w:tcW w:w="213" w:type="dxa"/>
            <w:tcBorders/>
            <w:shd w:fill="auto" w:val="clear"/>
            <w:vAlign w:val="center"/>
          </w:tcPr>
          <w:p>
            <w:pPr>
              <w:pStyle w:val="TableContents"/>
              <w:spacing w:before="0" w:after="0"/>
              <w:ind w:left="0" w:right="0" w:hanging="0"/>
              <w:jc w:val="center"/>
              <w:rPr/>
            </w:pPr>
            <w:r>
              <w:rPr/>
              <w:t> </w:t>
            </w:r>
          </w:p>
        </w:tc>
        <w:tc>
          <w:tcPr>
            <w:tcW w:w="109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29,686</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(20,281)</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Attributable to Non-Controlling Interest</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266</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(481)</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Attributable To Green Thumb Industries Inc.</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9,139</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28,939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(19,800)</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Per Share - Basic</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0.04</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(0.08)</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Per Share - Diluted</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0.04</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(0.08)</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Number of Shares Outstanding – Basic</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237,398,253</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235,838,947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pPr>
            <w:r>
              <w:rPr/>
              <w:t> </w:t>
            </w:r>
          </w:p>
        </w:tc>
      </w:tr>
      <w:tr>
        <w:trPr/>
        <w:tc>
          <w:tcPr>
            <w:tcW w:w="5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Number of Shares Outstanding – Diluted</w:t>
            </w:r>
          </w:p>
        </w:tc>
        <w:tc>
          <w:tcPr>
            <w:tcW w:w="196" w:type="dxa"/>
            <w:tcBorders/>
            <w:shd w:fill="auto" w:val="clear"/>
            <w:vAlign w:val="center"/>
          </w:tcPr>
          <w:p>
            <w:pPr>
              <w:pStyle w:val="TableContents"/>
              <w:spacing w:before="0" w:after="0"/>
              <w:ind w:left="0" w:right="0" w:hanging="0"/>
              <w:jc w:val="center"/>
              <w:rPr/>
            </w:pPr>
            <w:r>
              <w:rPr/>
              <w:t> </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237,686,092</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238,225,420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4940" w:type="dxa"/>
        <w:jc w:val="left"/>
        <w:tblInd w:w="0" w:type="dxa"/>
        <w:tblCellMar>
          <w:top w:w="28" w:type="dxa"/>
          <w:left w:w="28" w:type="dxa"/>
          <w:bottom w:w="28" w:type="dxa"/>
          <w:right w:w="28" w:type="dxa"/>
        </w:tblCellMar>
      </w:tblPr>
      <w:tblGrid>
        <w:gridCol w:w="1666"/>
        <w:gridCol w:w="196"/>
        <w:gridCol w:w="1291"/>
        <w:gridCol w:w="196"/>
        <w:gridCol w:w="1591"/>
      </w:tblGrid>
      <w:tr>
        <w:trPr/>
        <w:tc>
          <w:tcPr>
            <w:tcW w:w="16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166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07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2,493,167</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2,433,528</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Long-Term Liabilities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625,084</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621,525</w:t>
            </w:r>
          </w:p>
        </w:tc>
      </w:tr>
    </w:tbl>
    <w:p>
      <w:pPr>
        <w:pStyle w:val="TextBody"/>
        <w:spacing w:before="360" w:after="0"/>
        <w:jc w:val="left"/>
        <w:rPr>
          <w:rFonts w:ascii="Times New Roman;serif" w:hAnsi="Times New Roman;serif"/>
          <w:b/>
          <w:i/>
          <w:sz w:val="20"/>
        </w:rPr>
      </w:pPr>
      <w:r>
        <w:rPr>
          <w:rFonts w:ascii="Times New Roman;serif" w:hAnsi="Times New Roman;serif"/>
          <w:b/>
          <w:i/>
          <w:sz w:val="20"/>
        </w:rPr>
        <w:t>Three Months Ended March 31, 2023 Compared to the Three Months Ended March 31, 2022</w:t>
      </w:r>
    </w:p>
    <w:p>
      <w:pPr>
        <w:pStyle w:val="TextBody"/>
        <w:spacing w:before="120" w:after="0"/>
        <w:jc w:val="left"/>
        <w:rPr>
          <w:rFonts w:ascii="Times New Roman" w:hAnsi="Times New Roman"/>
          <w:sz w:val="20"/>
        </w:rPr>
      </w:pPr>
      <w:r>
        <w:rPr>
          <w:rFonts w:ascii="Times New Roman;serif" w:hAnsi="Times New Roman;serif"/>
          <w:b w:val="false"/>
          <w:i/>
          <w:sz w:val="20"/>
        </w:rPr>
        <w:t>Revenues, net of Discounts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Revenue for the three months ended March 31, 2023 was $248,536 thousand, up 2% from $242,600 thousand for the three months ended March 31, 2022, driven primarily by the operations of the Retail segment. Key performance drivers for the period included: (i) legalization of adult-use sales in New Jersey, which began on April 21, 2022, (ii) legalization of adult-use sales in Rhode Island, which began on December 1, 2022, (iii) legalization of adult-use sales in Connecticut, which began on January 10, 2023, and (iv) increased store traffic to Green Thumb’s open and operating retail stores, particularly in Virginia, Minnesota and Maryland.</w:t>
      </w:r>
    </w:p>
    <w:p>
      <w:pPr>
        <w:pStyle w:val="TextBody"/>
        <w:spacing w:before="120" w:after="0"/>
        <w:jc w:val="left"/>
        <w:rPr>
          <w:rFonts w:ascii="Times New Roman" w:hAnsi="Times New Roman"/>
          <w:sz w:val="20"/>
        </w:rPr>
      </w:pPr>
      <w:r>
        <w:rPr>
          <w:rFonts w:ascii="Times New Roman;serif" w:hAnsi="Times New Roman;serif"/>
          <w:b w:val="false"/>
          <w:sz w:val="20"/>
        </w:rPr>
        <w:t>The Company generated revenue from 77 Retail stores during the quarter compared to 76 in the same quarter of the prior year. Retail revenues made up 76% of total revenues during the three months ended March 31, 2023 as compared to 71% during the three months ended March 31, 2022. From March 31, 2022 until March 31, 2023, the Company opened one new Retail store in Minnesota.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Consumer Packaged Goods revenues made up 24% of total revenues during the three months ended March 31, 2023 as compared to 29% during the three months ended March 31,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Cost of Goods Sold, net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 of goods sold are derived from retail purchases made by the Company from its third-party licensed producers operating within our state markets and costs related to the internal cultivation and production of cannabis. Cost of goods sold for the three months ended March 31, 2023 was $123,815 thousand, up 3% from $119,660 thousand for the three months ended March 31, 2022, driven by increased demand stemming from the launch of adult-use sales in New Jersey, Rhode Island, and Connecticut as noted above, as well as increased sales volume at the Company's open and operating retail stores.</w:t>
      </w:r>
    </w:p>
    <w:p>
      <w:pPr>
        <w:pStyle w:val="TextBody"/>
        <w:spacing w:before="360" w:after="0"/>
        <w:jc w:val="left"/>
        <w:rPr>
          <w:rFonts w:ascii="Times New Roman" w:hAnsi="Times New Roman"/>
          <w:sz w:val="20"/>
        </w:rPr>
      </w:pPr>
      <w:r>
        <w:rPr>
          <w:rFonts w:ascii="Times New Roman;serif" w:hAnsi="Times New Roman;serif"/>
          <w:b w:val="false"/>
          <w:i/>
          <w:sz w:val="20"/>
        </w:rPr>
        <w:t>Gross Profit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Gross profit for the three months ended March 31, 2023 was $124,721 thousand, representing a gross margin on the sale of branded cannabis flower and processed and packaged products including concentrates, edibles, topicals and other cannabis products, of 50%. This is compared to gross profit for the three months ended March 31, 2022 of $122,940 thousand, or a 51% gross margin. The increase in gross profit (dollars) was directly attributable to the revenue increase as described above. The decline in gross margin (percent) was primarily driven by price compression.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Total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expenses for the three months ended March 31, 2023 were $80,519 thousand, or 32% of revenues, net of discounts, resulting in an increase of $12,131 thousand. Total expenses for the three months ended March 31, 2022 were $68,388 thousand or 28% of revenues, net of discounts. The increase in total expenses was attributable to favorable fair value adjustments associated with the Company's contingent consideration arrangements recorded during the three months ended March 31, 2022. No such fair value adjustments were recorded during the three months ended March 31, 2023.</w:t>
      </w:r>
    </w:p>
    <w:p>
      <w:pPr>
        <w:pStyle w:val="TextBody"/>
        <w:spacing w:before="360" w:after="0"/>
        <w:jc w:val="left"/>
        <w:rPr>
          <w:rFonts w:ascii="Times New Roman" w:hAnsi="Times New Roman"/>
          <w:sz w:val="20"/>
        </w:rPr>
      </w:pPr>
      <w:r>
        <w:rPr>
          <w:rFonts w:ascii="Times New Roman;serif" w:hAnsi="Times New Roman;serif"/>
          <w:b w:val="false"/>
          <w:i/>
          <w:sz w:val="20"/>
        </w:rPr>
        <w:t>Total Other Income (Expense)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other income (expense) for three months ended March 31, 2023 was $(1,161) thousand, a change of $(7,426) thousand, primarily due to a favorable fair value adjustment associated with the Company's acquisition of the remaining 50% ownership interest in ILDISP, LLC from the Company's former membership interest partner during the three months ended March 31, 2022, partially offset by unfavorable fair value adjustments on equity investments during the three months ended March 31, 2022.</w:t>
      </w:r>
    </w:p>
    <w:p>
      <w:pPr>
        <w:pStyle w:val="TextBody"/>
        <w:spacing w:before="360" w:after="0"/>
        <w:jc w:val="left"/>
        <w:rPr>
          <w:rFonts w:ascii="Times New Roman" w:hAnsi="Times New Roman"/>
          <w:sz w:val="20"/>
        </w:rPr>
      </w:pPr>
      <w:r>
        <w:rPr>
          <w:rFonts w:ascii="Times New Roman;serif" w:hAnsi="Times New Roman;serif"/>
          <w:b w:val="false"/>
          <w:i/>
          <w:sz w:val="20"/>
        </w:rPr>
        <w:t>Income Before Provision for Income Taxes and Non-Controlling Interest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Income before provision for income taxes and non-controlling interest for the three months ended March 31, 2023 was $43,041 thousand, a decrease of $17,776 thousand compared to the three months ended March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presented under the heading “Non-GAAP Measures” below, after adjusting for non-cash equity incentive compensation of $6,239 thousand and $4,651 thousand in the three months ended March 31, 2023 and 2022, respectively, and other nonoperating expenses (income), of $2,292 thousand and $(15,154) thousand in the three months ended March 31, 2023 and 2022, respectively, adjusted earnings before interest, depreciation, and amortization (“EBITDA”) was $76,234 thousand and $67,039 thousand, respectively.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Income tax expense is recognized based on the expected tax payable on the taxable income for the year, using tax rates enacted or substantively enacted at year-end. For the three months ended March 31, 2023, federal and state income tax expense totaled $33,636 thousand compared to expense of $31,131 thousand</w:t>
      </w:r>
      <w:r>
        <w:rPr>
          <w:rFonts w:ascii="Times New Roman" w:hAnsi="Times New Roman"/>
          <w:sz w:val="20"/>
        </w:rPr>
        <w:t xml:space="preserve"> </w:t>
      </w:r>
      <w:r>
        <w:rPr>
          <w:rFonts w:ascii="Times New Roman;serif" w:hAnsi="Times New Roman;serif"/>
          <w:b w:val="false"/>
          <w:sz w:val="20"/>
        </w:rPr>
        <w:t>for the three months ended March 31, 2022.</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Results of Operation by Segment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revenues, net of discounts by segment for the three months ended March 31, 2023 and 2022:</w:t>
      </w:r>
      <w:r>
        <w:rPr>
          <w:rFonts w:ascii="Times New Roman" w:hAnsi="Times New Roman"/>
          <w:sz w:val="20"/>
        </w:rPr>
        <w:t xml:space="preserve"> </w:t>
      </w:r>
    </w:p>
    <w:p>
      <w:pPr>
        <w:pStyle w:val="TextBody"/>
        <w:spacing w:before="120" w:after="0"/>
        <w:jc w:val="left"/>
        <w:rPr/>
      </w:pPr>
      <w:r>
        <w:rPr/>
        <w:t> </w:t>
      </w:r>
    </w:p>
    <w:tbl>
      <w:tblPr>
        <w:tblW w:w="6724" w:type="dxa"/>
        <w:jc w:val="left"/>
        <w:tblInd w:w="0" w:type="dxa"/>
        <w:tblCellMar>
          <w:top w:w="28" w:type="dxa"/>
          <w:left w:w="28" w:type="dxa"/>
          <w:bottom w:w="28" w:type="dxa"/>
          <w:right w:w="28" w:type="dxa"/>
        </w:tblCellMar>
      </w:tblPr>
      <w:tblGrid>
        <w:gridCol w:w="2506"/>
        <w:gridCol w:w="196"/>
        <w:gridCol w:w="1056"/>
        <w:gridCol w:w="287"/>
        <w:gridCol w:w="1056"/>
        <w:gridCol w:w="196"/>
        <w:gridCol w:w="721"/>
        <w:gridCol w:w="706"/>
      </w:tblGrid>
      <w:tr>
        <w:trPr/>
        <w:tc>
          <w:tcPr>
            <w:tcW w:w="250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r>
      <w:tr>
        <w:trPr/>
        <w:tc>
          <w:tcPr>
            <w:tcW w:w="250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39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r>
      <w:tr>
        <w:trPr/>
        <w:tc>
          <w:tcPr>
            <w:tcW w:w="250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r>
      <w:tr>
        <w:trPr/>
        <w:tc>
          <w:tcPr>
            <w:tcW w:w="250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39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center"/>
              <w:rPr/>
            </w:pPr>
            <w:r>
              <w:rPr/>
              <w:t> </w:t>
            </w:r>
          </w:p>
        </w:tc>
        <w:tc>
          <w:tcPr>
            <w:tcW w:w="706" w:type="dxa"/>
            <w:tcBorders/>
            <w:shd w:fill="auto" w:val="clear"/>
            <w:vAlign w:val="center"/>
          </w:tcPr>
          <w:p>
            <w:pPr>
              <w:pStyle w:val="TableContents"/>
              <w:spacing w:before="0" w:after="0"/>
              <w:ind w:left="0" w:right="0" w:hanging="0"/>
              <w:jc w:val="center"/>
              <w:rPr/>
            </w:pPr>
            <w:r>
              <w:rPr/>
              <w:t> </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Retail</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188,878</w:t>
            </w:r>
          </w:p>
        </w:tc>
        <w:tc>
          <w:tcPr>
            <w:tcW w:w="287"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172,586</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16,292</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Packaged Goods</w:t>
            </w:r>
          </w:p>
        </w:tc>
        <w:tc>
          <w:tcPr>
            <w:tcW w:w="196" w:type="dxa"/>
            <w:tcBorders/>
            <w:shd w:fill="auto" w:val="clear"/>
            <w:vAlign w:val="center"/>
          </w:tcPr>
          <w:p>
            <w:pPr>
              <w:pStyle w:val="TableContents"/>
              <w:spacing w:before="0" w:after="0"/>
              <w:ind w:left="0" w:right="0" w:hanging="0"/>
              <w:jc w:val="center"/>
              <w:rPr/>
            </w:pPr>
            <w:r>
              <w:rPr/>
              <w:t> </w:t>
            </w:r>
          </w:p>
        </w:tc>
        <w:tc>
          <w:tcPr>
            <w:tcW w:w="10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125,617</w:t>
            </w:r>
          </w:p>
        </w:tc>
        <w:tc>
          <w:tcPr>
            <w:tcW w:w="287" w:type="dxa"/>
            <w:tcBorders/>
            <w:shd w:fill="auto" w:val="clear"/>
            <w:vAlign w:val="center"/>
          </w:tcPr>
          <w:p>
            <w:pPr>
              <w:pStyle w:val="TableContents"/>
              <w:spacing w:before="0" w:after="0"/>
              <w:ind w:left="0" w:right="0" w:hanging="0"/>
              <w:jc w:val="center"/>
              <w:rPr/>
            </w:pPr>
            <w:r>
              <w:rPr/>
              <w:t> </w:t>
            </w:r>
          </w:p>
        </w:tc>
        <w:tc>
          <w:tcPr>
            <w:tcW w:w="10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120,412</w:t>
            </w:r>
          </w:p>
        </w:tc>
        <w:tc>
          <w:tcPr>
            <w:tcW w:w="19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5,205</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Intersegment Eliminations</w:t>
            </w:r>
          </w:p>
        </w:tc>
        <w:tc>
          <w:tcPr>
            <w:tcW w:w="196" w:type="dxa"/>
            <w:tcBorders/>
            <w:shd w:fill="auto" w:val="clear"/>
            <w:vAlign w:val="center"/>
          </w:tcPr>
          <w:p>
            <w:pPr>
              <w:pStyle w:val="TableContents"/>
              <w:spacing w:before="0" w:after="0"/>
              <w:ind w:left="0" w:right="0" w:hanging="0"/>
              <w:jc w:val="center"/>
              <w:rPr/>
            </w:pPr>
            <w:r>
              <w:rPr/>
              <w:t> </w:t>
            </w:r>
          </w:p>
        </w:tc>
        <w:tc>
          <w:tcPr>
            <w:tcW w:w="1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(65,959)</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(50,398)</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(15,561)</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Revenues, Net of Discounts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0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248,536</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0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242,600</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5,936</w:t>
            </w:r>
          </w:p>
        </w:tc>
        <w:tc>
          <w:tcPr>
            <w:tcW w:w="7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w:t>
            </w:r>
          </w:p>
        </w:tc>
      </w:tr>
    </w:tbl>
    <w:p>
      <w:pPr>
        <w:pStyle w:val="TextBody"/>
        <w:spacing w:before="360" w:after="0"/>
        <w:jc w:val="left"/>
        <w:rPr>
          <w:rFonts w:ascii="Times New Roman" w:hAnsi="Times New Roman"/>
          <w:sz w:val="20"/>
        </w:rPr>
      </w:pPr>
      <w:r>
        <w:rPr>
          <w:rFonts w:ascii="Times New Roman;serif" w:hAnsi="Times New Roman;serif"/>
          <w:b/>
          <w:i/>
          <w:sz w:val="20"/>
        </w:rPr>
        <w:t>Three Months Ended March 31, 2023 Compared with the Three Months Ended March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Revenues, net of discounts, for the Retail segment were $188,878 thousand, an increase of $16,292 thousand or 9%, compared to the three months ended March 31, 2022. The increase in Retail revenues, net of discounts, was primarily driven by: (i) the legalization of adult-use sales in New Jersey, which began on April 21, 2022, (ii) legalization of adult-use sales in Rhode Island, which began on December 1, 2022, (iii) legalization of adult-use sales in Connecticut, which began on January 10, 2023, and (iv) increased store traffic to Green Thumb’s open and operating retail stores, particularly in Virginia, Minnesota and Maryland.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Revenues, net of discounts, for the Consumer Packaged Goods Segment were $125,617 thousand, an increase of $5,205 thousand or 4%, compared to the three months ended March 31, 2022. The increase in Consumer Packaged Goods revenues, net of discounts, was primarily driven by the legalization of adult-use sales in New Jersey, which began on April 21, 2022.</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Intersegment eliminations associated with the Consumer Packaged Goods Segment were $(65,959) thousand, an increase of $(15,561) thousand or 31% compared to the three months ended March 31, 2022. The increase in intersegment eliminations was driven by increased intercompany sales, primarily to Company-owned Retail stores in New Jersey, Illinois, and Pennsylvania. Consumer Packaged Goods revenues, net of intersegment eliminations, made up 24% of total revenues during the three months ended March 31, 2023 as compared to 29% during the three months ended March 31, 2022.</w:t>
      </w:r>
    </w:p>
    <w:p>
      <w:pPr>
        <w:pStyle w:val="TextBody"/>
        <w:spacing w:before="240" w:after="0"/>
        <w:jc w:val="left"/>
        <w:rPr>
          <w:rFonts w:ascii="Times New Roman" w:hAnsi="Times New Roman"/>
          <w:sz w:val="20"/>
        </w:rPr>
      </w:pPr>
      <w:r>
        <w:rPr>
          <w:rFonts w:ascii="Times New Roman;serif" w:hAnsi="Times New Roman;serif"/>
          <w:b w:val="false"/>
          <w:sz w:val="20"/>
        </w:rPr>
        <w:t>Due to the vertically integrated nature of the business, the Company reviews its revenue at the Retail and Consumer Packaged Goods level while reviewing its operating results on a consolidated basis.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Drivers of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derives its revenue from two revenue streams: a Consumer Packaged Goods business in which it manufactures, sells and distributes its portfolio of Consumer Packaged Goods brands including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revenue was contributed from Consumer Packaged Goods and Retail sales across California, Colorado, Connecticut, Florida, Illinois, Maryland, Massachusetts, Minnesota, Nevada, New Jersey, New York, Ohio, Pennsylvania, Rhode Island and Virginia.</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Gross Profit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the Company continued to be focused on creating sustainable, profitable growth of the Company’s business within its current markets while considering strategic acquisition and partnership opportunities.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Total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General and administrative expenses also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IRC Section 280E, under which taxpayers are only allowed to deduct expenses directly related to sales of product. This results in permanent differences between ordinary and necessary business expenses deemeda non-allowable under IRC Section 280E and a higher effective tax rate than most industries. Therefore, the effective tax rate can be highly variable and may not necessarily correlate to pre-tax income or loss.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Non-GAAP Measures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spacing w:before="120" w:after="0"/>
        <w:jc w:val="left"/>
        <w:rPr/>
      </w:pPr>
      <w:r>
        <w:rPr/>
        <w:t> </w:t>
      </w:r>
    </w:p>
    <w:tbl>
      <w:tblPr>
        <w:tblW w:w="7333" w:type="dxa"/>
        <w:jc w:val="left"/>
        <w:tblInd w:w="0" w:type="dxa"/>
        <w:tblCellMar>
          <w:top w:w="28" w:type="dxa"/>
          <w:left w:w="28" w:type="dxa"/>
          <w:bottom w:w="28" w:type="dxa"/>
          <w:right w:w="28" w:type="dxa"/>
        </w:tblCellMar>
      </w:tblPr>
      <w:tblGrid>
        <w:gridCol w:w="4546"/>
        <w:gridCol w:w="196"/>
        <w:gridCol w:w="978"/>
        <w:gridCol w:w="304"/>
        <w:gridCol w:w="1118"/>
        <w:gridCol w:w="191"/>
      </w:tblGrid>
      <w:tr>
        <w:trPr/>
        <w:tc>
          <w:tcPr>
            <w:tcW w:w="45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0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40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Income Before Non-Controlling Interest</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9,405</w:t>
            </w:r>
          </w:p>
        </w:tc>
        <w:tc>
          <w:tcPr>
            <w:tcW w:w="304"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29,686</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Income, net</w:t>
            </w:r>
          </w:p>
        </w:tc>
        <w:tc>
          <w:tcPr>
            <w:tcW w:w="196" w:type="dxa"/>
            <w:tcBorders/>
            <w:shd w:fill="auto" w:val="clear"/>
            <w:vAlign w:val="center"/>
          </w:tcPr>
          <w:p>
            <w:pPr>
              <w:pStyle w:val="TableContents"/>
              <w:spacing w:before="0" w:after="0"/>
              <w:ind w:left="0" w:right="0" w:hanging="0"/>
              <w:jc w:val="center"/>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(1,731)</w:t>
            </w:r>
          </w:p>
        </w:tc>
        <w:tc>
          <w:tcPr>
            <w:tcW w:w="304" w:type="dxa"/>
            <w:tcBorders/>
            <w:shd w:fill="auto" w:val="clear"/>
            <w:vAlign w:val="center"/>
          </w:tcPr>
          <w:p>
            <w:pPr>
              <w:pStyle w:val="TableContents"/>
              <w:spacing w:before="0" w:after="0"/>
              <w:ind w:left="0" w:right="0" w:hanging="0"/>
              <w:jc w:val="center"/>
              <w:rPr/>
            </w:pPr>
            <w:r>
              <w:rPr/>
              <w:t> </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(900)</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 net</w:t>
            </w:r>
          </w:p>
        </w:tc>
        <w:tc>
          <w:tcPr>
            <w:tcW w:w="196" w:type="dxa"/>
            <w:tcBorders/>
            <w:shd w:fill="auto" w:val="clear"/>
            <w:vAlign w:val="center"/>
          </w:tcPr>
          <w:p>
            <w:pPr>
              <w:pStyle w:val="TableContents"/>
              <w:spacing w:before="0" w:after="0"/>
              <w:ind w:left="0" w:right="0" w:hanging="0"/>
              <w:jc w:val="center"/>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3,816</w:t>
            </w:r>
          </w:p>
        </w:tc>
        <w:tc>
          <w:tcPr>
            <w:tcW w:w="304" w:type="dxa"/>
            <w:tcBorders/>
            <w:shd w:fill="auto" w:val="clear"/>
            <w:vAlign w:val="center"/>
          </w:tcPr>
          <w:p>
            <w:pPr>
              <w:pStyle w:val="TableContents"/>
              <w:spacing w:before="0" w:after="0"/>
              <w:ind w:left="0" w:right="0" w:hanging="0"/>
              <w:jc w:val="center"/>
              <w:rPr/>
            </w:pPr>
            <w:r>
              <w:rPr/>
              <w:t> </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6,070</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Provision For Income Taxes</w:t>
            </w:r>
          </w:p>
        </w:tc>
        <w:tc>
          <w:tcPr>
            <w:tcW w:w="196" w:type="dxa"/>
            <w:tcBorders/>
            <w:shd w:fill="auto" w:val="clear"/>
            <w:vAlign w:val="center"/>
          </w:tcPr>
          <w:p>
            <w:pPr>
              <w:pStyle w:val="TableContents"/>
              <w:spacing w:before="0" w:after="0"/>
              <w:ind w:left="0" w:right="0" w:hanging="0"/>
              <w:jc w:val="center"/>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33,636</w:t>
            </w:r>
          </w:p>
        </w:tc>
        <w:tc>
          <w:tcPr>
            <w:tcW w:w="304" w:type="dxa"/>
            <w:tcBorders/>
            <w:shd w:fill="auto" w:val="clear"/>
            <w:vAlign w:val="center"/>
          </w:tcPr>
          <w:p>
            <w:pPr>
              <w:pStyle w:val="TableContents"/>
              <w:spacing w:before="0" w:after="0"/>
              <w:ind w:left="0" w:right="0" w:hanging="0"/>
              <w:jc w:val="center"/>
              <w:rPr/>
            </w:pPr>
            <w:r>
              <w:rPr/>
              <w:t> </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31,131</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 Net</w:t>
            </w:r>
          </w:p>
        </w:tc>
        <w:tc>
          <w:tcPr>
            <w:tcW w:w="196" w:type="dxa"/>
            <w:tcBorders/>
            <w:shd w:fill="auto" w:val="clear"/>
            <w:vAlign w:val="center"/>
          </w:tcPr>
          <w:p>
            <w:pPr>
              <w:pStyle w:val="TableContents"/>
              <w:spacing w:before="0" w:after="0"/>
              <w:ind w:left="0" w:right="0" w:hanging="0"/>
              <w:jc w:val="center"/>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(924)</w:t>
            </w:r>
          </w:p>
        </w:tc>
        <w:tc>
          <w:tcPr>
            <w:tcW w:w="304" w:type="dxa"/>
            <w:tcBorders/>
            <w:shd w:fill="auto" w:val="clear"/>
            <w:vAlign w:val="center"/>
          </w:tcPr>
          <w:p>
            <w:pPr>
              <w:pStyle w:val="TableContents"/>
              <w:spacing w:before="0" w:after="0"/>
              <w:ind w:left="0" w:right="0" w:hanging="0"/>
              <w:jc w:val="center"/>
              <w:rPr/>
            </w:pPr>
            <w:r>
              <w:rPr/>
              <w:t> </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(11,435)</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96" w:type="dxa"/>
            <w:tcBorders/>
            <w:shd w:fill="auto" w:val="clear"/>
            <w:vAlign w:val="center"/>
          </w:tcPr>
          <w:p>
            <w:pPr>
              <w:pStyle w:val="TableContents"/>
              <w:spacing w:before="0" w:after="0"/>
              <w:ind w:left="0" w:right="0" w:hanging="0"/>
              <w:jc w:val="center"/>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23,501</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22,990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Earnings before interest, taxes, depreciation and</w:t>
              <w:br/>
              <w:t>   amortization (EBITDA) (non-GAAP measure)</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67,703</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1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77,542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non-cash</w:t>
            </w:r>
          </w:p>
        </w:tc>
        <w:tc>
          <w:tcPr>
            <w:tcW w:w="196" w:type="dxa"/>
            <w:tcBorders/>
            <w:shd w:fill="auto" w:val="clear"/>
            <w:vAlign w:val="center"/>
          </w:tcPr>
          <w:p>
            <w:pPr>
              <w:pStyle w:val="TableContents"/>
              <w:spacing w:before="0" w:after="0"/>
              <w:ind w:left="0" w:right="0" w:hanging="0"/>
              <w:jc w:val="center"/>
              <w:rPr/>
            </w:pPr>
            <w:r>
              <w:rPr/>
              <w:t> </w:t>
            </w:r>
          </w:p>
        </w:tc>
        <w:tc>
          <w:tcPr>
            <w:tcW w:w="97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6,239</w:t>
            </w:r>
          </w:p>
        </w:tc>
        <w:tc>
          <w:tcPr>
            <w:tcW w:w="304" w:type="dxa"/>
            <w:tcBorders/>
            <w:shd w:fill="auto" w:val="clear"/>
            <w:vAlign w:val="center"/>
          </w:tcPr>
          <w:p>
            <w:pPr>
              <w:pStyle w:val="TableContents"/>
              <w:spacing w:before="0" w:after="0"/>
              <w:ind w:left="0" w:right="0" w:hanging="0"/>
              <w:jc w:val="center"/>
              <w:rPr/>
            </w:pPr>
            <w:r>
              <w:rPr/>
              <w:t> </w:t>
            </w:r>
          </w:p>
        </w:tc>
        <w:tc>
          <w:tcPr>
            <w:tcW w:w="111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4,651</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Acquisition, transaction and other non-operating (income) costs</w:t>
            </w:r>
          </w:p>
        </w:tc>
        <w:tc>
          <w:tcPr>
            <w:tcW w:w="196" w:type="dxa"/>
            <w:tcBorders/>
            <w:shd w:fill="auto" w:val="clear"/>
            <w:vAlign w:val="center"/>
          </w:tcPr>
          <w:p>
            <w:pPr>
              <w:pStyle w:val="TableContents"/>
              <w:spacing w:before="0" w:after="0"/>
              <w:ind w:left="0" w:right="0" w:hanging="0"/>
              <w:jc w:val="center"/>
              <w:rPr/>
            </w:pPr>
            <w:r>
              <w:rPr/>
              <w:t> </w:t>
            </w:r>
          </w:p>
        </w:tc>
        <w:tc>
          <w:tcPr>
            <w:tcW w:w="9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2,292</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(15,154)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Adjusted EBITDA (non-GAAP measure)</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76,234</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1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67,039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Liquidity, Financing Activities During the Period,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the Company had total current liabilities of $186,937 thousand and $146,571 thousand, respectively, and cash and cash equivalents of $185,367 thousand and $177,682 thousand, respectively to meet its current obligations. The Company had working capital of $170,674 thousand as of March 31, 2023, a decrease of $(34,106) thousand as compared to December 31, 2022. This decrease in working capital was primarily driven by an increase in income taxes payable which will be paid during the second quarter.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is an early-stage growth company, generating cash from revenues deploying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Cash Used in Operating Activities, Investing and Financing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provided by (used in) operating, investing and financing activities for the three months ended March 31, 2023 and 2022, were as follows:</w:t>
      </w:r>
      <w:r>
        <w:rPr>
          <w:rFonts w:ascii="Times New Roman" w:hAnsi="Times New Roman"/>
          <w:sz w:val="20"/>
        </w:rPr>
        <w:t xml:space="preserve"> </w:t>
      </w:r>
    </w:p>
    <w:p>
      <w:pPr>
        <w:pStyle w:val="TextBody"/>
        <w:spacing w:before="0" w:after="0"/>
        <w:jc w:val="left"/>
        <w:rPr/>
      </w:pPr>
      <w:r>
        <w:rPr/>
        <w:t> </w:t>
      </w:r>
    </w:p>
    <w:tbl>
      <w:tblPr>
        <w:tblW w:w="5986" w:type="dxa"/>
        <w:jc w:val="left"/>
        <w:tblInd w:w="0" w:type="dxa"/>
        <w:tblCellMar>
          <w:top w:w="28" w:type="dxa"/>
          <w:left w:w="28" w:type="dxa"/>
          <w:bottom w:w="28" w:type="dxa"/>
          <w:right w:w="28" w:type="dxa"/>
        </w:tblCellMar>
      </w:tblPr>
      <w:tblGrid>
        <w:gridCol w:w="3166"/>
        <w:gridCol w:w="196"/>
        <w:gridCol w:w="1067"/>
        <w:gridCol w:w="290"/>
        <w:gridCol w:w="1267"/>
      </w:tblGrid>
      <w:tr>
        <w:trPr/>
        <w:tc>
          <w:tcPr>
            <w:tcW w:w="3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62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r>
      <w:tr>
        <w:trPr/>
        <w:tc>
          <w:tcPr>
            <w:tcW w:w="316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0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r>
      <w:tr>
        <w:trPr/>
        <w:tc>
          <w:tcPr>
            <w:tcW w:w="316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262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Operating Activities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0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74,711</w:t>
            </w:r>
          </w:p>
        </w:tc>
        <w:tc>
          <w:tcPr>
            <w:tcW w:w="290"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55,376</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Investing Activities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0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(66,890)</w:t>
            </w:r>
          </w:p>
        </w:tc>
        <w:tc>
          <w:tcPr>
            <w:tcW w:w="290"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(100,401)</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Financing Activities</w:t>
            </w:r>
          </w:p>
        </w:tc>
        <w:tc>
          <w:tcPr>
            <w:tcW w:w="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0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(136)</w:t>
            </w:r>
          </w:p>
        </w:tc>
        <w:tc>
          <w:tcPr>
            <w:tcW w:w="290"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(10,856)</w:t>
            </w:r>
          </w:p>
        </w:tc>
      </w:tr>
    </w:tbl>
    <w:p>
      <w:pPr>
        <w:pStyle w:val="TextBody"/>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Changes in or Adoption of Accounting Practices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Refer to the discussion of recently adopted/issued accounting pronouncements under Part I, Item 1, Notes to Unaudited Interim Condensed Consolidated Financial Statements, Note 1—Overview and Basis of Presentation.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were no material changes to our critical accounting policies and estimates from the information provided in “Management’s Discussion and Analysis of Financial Condition and Results of Operations,” included in our 2022 Form 10-K.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0" w:name="quant_and_qual_disclosure_market_risk"/>
      <w:bookmarkEnd w:id="10"/>
      <w:r>
        <w:rPr>
          <w:rFonts w:ascii="Times New Roman;serif" w:hAnsi="Times New Roman;serif"/>
          <w:b/>
          <w:sz w:val="20"/>
        </w:rPr>
        <w:t>ITEM 3. QUANTITAVE AND QUALITATIVE DISCLOSURES ABOUT MARKET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have been no material changes to our market risk disclosures as set forth in Part II Item 7A of our 2022 Form 10-K.</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1" w:name="controls_and_procedures"/>
      <w:bookmarkEnd w:id="11"/>
      <w:r>
        <w:rPr>
          <w:rFonts w:ascii="Times New Roman;serif" w:hAnsi="Times New Roman;serif"/>
          <w:b/>
          <w:sz w:val="20"/>
        </w:rPr>
        <w:t>ITEM 4. CONTROLS AND PROCEDURES</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March 31, 2023.</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changes in the Company's internal control over financial reporting during the first quarter of 2023 that have materially affected, or are reasonably likely to materially affect, our internal control over financial reporting.</w:t>
      </w:r>
    </w:p>
    <w:p>
      <w:pPr>
        <w:pStyle w:val="TextBody"/>
        <w:spacing w:before="120" w:after="0"/>
        <w:jc w:val="left"/>
        <w:rPr>
          <w:rFonts w:ascii="Times New Roman;serif" w:hAnsi="Times New Roman;serif"/>
          <w:b/>
          <w:sz w:val="20"/>
        </w:rPr>
      </w:pPr>
      <w:r>
        <w:rPr>
          <w:rFonts w:ascii="Times New Roman;serif" w:hAnsi="Times New Roman;serif"/>
          <w:b/>
          <w:sz w:val="20"/>
        </w:rPr>
        <w:t>Inherent Limitations on Control Systems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PART II — OTHER INFORMATION</w:t>
      </w:r>
      <w:r>
        <w:rPr>
          <w:rFonts w:ascii="Times New Roman" w:hAnsi="Times New Roman"/>
          <w:sz w:val="20"/>
        </w:rPr>
        <w:t xml:space="preserve"> </w:t>
      </w:r>
    </w:p>
    <w:p>
      <w:pPr>
        <w:pStyle w:val="TextBody"/>
        <w:spacing w:before="240" w:after="0"/>
        <w:jc w:val="left"/>
        <w:rPr>
          <w:rFonts w:ascii="Times New Roman" w:hAnsi="Times New Roman"/>
          <w:sz w:val="20"/>
        </w:rPr>
      </w:pPr>
      <w:bookmarkStart w:id="12" w:name="partii_item1_legal_proceedings"/>
      <w:bookmarkEnd w:id="12"/>
      <w:r>
        <w:rPr>
          <w:rFonts w:ascii="Times New Roman;serif" w:hAnsi="Times New Roman;serif"/>
          <w:b/>
          <w:sz w:val="20"/>
        </w:rPr>
        <w:t>ITEM 1. LEGAL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r>
        <w:rPr>
          <w:rFonts w:ascii="Times New Roman" w:hAnsi="Times New Roman"/>
          <w:sz w:val="20"/>
        </w:rPr>
        <w:t xml:space="preserve"> </w:t>
      </w:r>
    </w:p>
    <w:p>
      <w:pPr>
        <w:pStyle w:val="TextBody"/>
        <w:spacing w:before="120" w:after="0"/>
        <w:jc w:val="left"/>
        <w:rPr/>
      </w:pPr>
      <w:bookmarkStart w:id="13" w:name="partii_item1a_risk_factors"/>
      <w:bookmarkEnd w:id="13"/>
      <w:r>
        <w:rPr/>
        <w:t> </w:t>
      </w:r>
    </w:p>
    <w:p>
      <w:pPr>
        <w:pStyle w:val="TextBody"/>
        <w:spacing w:before="120" w:after="0"/>
        <w:jc w:val="left"/>
        <w:rPr>
          <w:rFonts w:ascii="Times New Roman" w:hAnsi="Times New Roman"/>
          <w:sz w:val="20"/>
        </w:rPr>
      </w:pPr>
      <w:r>
        <w:rPr>
          <w:rFonts w:ascii="Times New Roman;serif" w:hAnsi="Times New Roman;serif"/>
          <w:b/>
          <w:sz w:val="20"/>
        </w:rPr>
        <w:t>ITEM 1A. RISK FACTORS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a discussion of our potential risks and uncertainties, see the information under the heading “Risk Factors” in our 2022 Form 10-K.</w:t>
      </w:r>
    </w:p>
    <w:p>
      <w:pPr>
        <w:pStyle w:val="TextBody"/>
        <w:spacing w:before="120" w:after="0"/>
        <w:jc w:val="left"/>
        <w:rPr/>
      </w:pPr>
      <w:r>
        <w:rPr/>
        <w:t> </w:t>
      </w:r>
    </w:p>
    <w:p>
      <w:pPr>
        <w:pStyle w:val="TextBody"/>
        <w:spacing w:before="120" w:after="0"/>
        <w:jc w:val="left"/>
        <w:rPr>
          <w:rFonts w:ascii="Times New Roman" w:hAnsi="Times New Roman"/>
          <w:sz w:val="20"/>
        </w:rPr>
      </w:pPr>
      <w:bookmarkStart w:id="14" w:name="partii_item2_sale_of_unregistered_securi"/>
      <w:bookmarkEnd w:id="14"/>
      <w:r>
        <w:rPr>
          <w:rFonts w:ascii="Times New Roman;serif" w:hAnsi="Times New Roman;serif"/>
          <w:b/>
          <w:sz w:val="20"/>
        </w:rPr>
        <w:t>ITEM 2. UNREGISTERED SALE OF EQUITY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Recent Sales of Unregistered Securities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u w:val="single"/>
        </w:rPr>
      </w:pPr>
      <w:r>
        <w:rPr>
          <w:rFonts w:ascii="Times New Roman;serif" w:hAnsi="Times New Roman;serif"/>
          <w:b/>
          <w:sz w:val="20"/>
          <w:u w:val="single"/>
        </w:rPr>
        <w:t>Subordinate Voting Shares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Between January 1, 2023 and March 31, 2023, the Company issued a total of 615,819 deferred shares associated with the Company's previous acquisitions of various privately held Companies.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u w:val="single"/>
        </w:rPr>
      </w:pPr>
      <w:r>
        <w:rPr>
          <w:rFonts w:ascii="Times New Roman;serif" w:hAnsi="Times New Roman;serif"/>
          <w:b/>
          <w:sz w:val="20"/>
          <w:u w:val="single"/>
        </w:rPr>
        <w:t>Multiple Voting Shares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u w:val="single"/>
        </w:rPr>
      </w:pPr>
      <w:r>
        <w:rPr>
          <w:rFonts w:ascii="Times New Roman;serif" w:hAnsi="Times New Roman;serif"/>
          <w:b/>
          <w:sz w:val="20"/>
          <w:u w:val="single"/>
        </w:rPr>
        <w:t>Super Voting Shares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360" w:after="0"/>
        <w:jc w:val="left"/>
        <w:rPr>
          <w:rFonts w:ascii="Times New Roman" w:hAnsi="Times New Roman"/>
          <w:sz w:val="20"/>
        </w:rPr>
      </w:pPr>
      <w:bookmarkStart w:id="15" w:name="partii_item3_defaults_upon_senior_securi"/>
      <w:bookmarkEnd w:id="15"/>
      <w:r>
        <w:rPr>
          <w:rFonts w:ascii="Times New Roman;serif" w:hAnsi="Times New Roman;serif"/>
          <w:b/>
          <w:sz w:val="20"/>
        </w:rPr>
        <w:t>ITEM 3. DEFAULTS UPON SENIOR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360" w:after="0"/>
        <w:jc w:val="left"/>
        <w:rPr>
          <w:rFonts w:ascii="Times New Roman" w:hAnsi="Times New Roman"/>
          <w:sz w:val="20"/>
        </w:rPr>
      </w:pPr>
      <w:bookmarkStart w:id="16" w:name="partii_item4_mine_safety_disclosure"/>
      <w:bookmarkEnd w:id="16"/>
      <w:r>
        <w:rPr>
          <w:rFonts w:ascii="Times New Roman;serif" w:hAnsi="Times New Roman;serif"/>
          <w:b/>
          <w:sz w:val="20"/>
        </w:rPr>
        <w:t>ITEM 4. MINE SAFETY DISCLOSURE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 w:hAnsi="Times New Roman"/>
          <w:sz w:val="20"/>
        </w:rPr>
      </w:pPr>
      <w:bookmarkStart w:id="17" w:name="partii_item5_other_information"/>
      <w:bookmarkEnd w:id="17"/>
      <w:r>
        <w:rPr>
          <w:rFonts w:ascii="Times New Roman;serif" w:hAnsi="Times New Roman;serif"/>
          <w:b/>
          <w:sz w:val="20"/>
        </w:rPr>
        <w:t>ITEM 5. OTHER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8" w:name="partii_item6_exhibits"/>
      <w:bookmarkEnd w:id="18"/>
      <w:r>
        <w:rPr>
          <w:rFonts w:ascii="Times New Roman;serif" w:hAnsi="Times New Roman;serif"/>
          <w:b/>
          <w:sz w:val="20"/>
        </w:rPr>
        <w:t>ITEM 6. EXHIBITS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exhibits are filed with this report:</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90"/>
        <w:gridCol w:w="9415"/>
      </w:tblGrid>
      <w:tr>
        <w:trPr/>
        <w:tc>
          <w:tcPr>
            <w:tcW w:w="790" w:type="dxa"/>
            <w:tcBorders/>
            <w:shd w:fill="auto" w:val="clear"/>
            <w:vAlign w:val="center"/>
          </w:tcPr>
          <w:p>
            <w:pPr>
              <w:pStyle w:val="TableContents"/>
              <w:spacing w:before="0" w:after="283"/>
              <w:rPr>
                <w:sz w:val="4"/>
                <w:szCs w:val="4"/>
              </w:rPr>
            </w:pPr>
            <w:r>
              <w:rPr>
                <w:sz w:val="4"/>
                <w:szCs w:val="4"/>
              </w:rPr>
            </w:r>
          </w:p>
        </w:tc>
        <w:tc>
          <w:tcPr>
            <w:tcW w:w="9415" w:type="dxa"/>
            <w:tcBorders/>
            <w:shd w:fill="auto" w:val="clear"/>
            <w:vAlign w:val="cente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10.1</w:t>
            </w:r>
          </w:p>
        </w:tc>
        <w:tc>
          <w:tcPr>
            <w:tcW w:w="9415" w:type="dxa"/>
            <w:tcBorders/>
            <w:shd w:fill="auto" w:val="clear"/>
            <w:vAlign w:val="center"/>
          </w:tcPr>
          <w:p>
            <w:pPr>
              <w:pStyle w:val="TableContents"/>
              <w:spacing w:before="0" w:after="0"/>
              <w:ind w:left="0" w:right="0" w:hanging="0"/>
              <w:jc w:val="left"/>
              <w:rPr/>
            </w:pPr>
            <w:hyperlink w:anchor="gtbif-ex10_1.htm">
              <w:bookmarkStart w:id="19" w:name="ex10_1"/>
              <w:bookmarkEnd w:id="19"/>
              <w:r>
                <w:rPr>
                  <w:rStyle w:val="InternetLink"/>
                  <w:rFonts w:ascii="Times New Roman;serif" w:hAnsi="Times New Roman;serif"/>
                  <w:b w:val="false"/>
                  <w:sz w:val="20"/>
                  <w:u w:val="single"/>
                </w:rPr>
                <w:t>Amendment No. 2 to the Green Thumb Industries Inc. 2018 Stock and incentive Plan</w:t>
              </w:r>
            </w:hyperlink>
          </w:p>
        </w:tc>
      </w:tr>
      <w:tr>
        <w:trPr/>
        <w:tc>
          <w:tcPr>
            <w:tcW w:w="790" w:type="dxa"/>
            <w:tcBorders/>
            <w:shd w:fill="auto" w:val="clear"/>
            <w:vAlign w:val="center"/>
          </w:tcPr>
          <w:p>
            <w:pPr>
              <w:pStyle w:val="TableContents"/>
              <w:spacing w:before="0" w:after="0"/>
              <w:ind w:left="0" w:right="0" w:hanging="0"/>
              <w:jc w:val="left"/>
              <w:rPr/>
            </w:pPr>
            <w:r>
              <w:rPr/>
              <w:t> </w:t>
            </w:r>
          </w:p>
        </w:tc>
        <w:tc>
          <w:tcPr>
            <w:tcW w:w="9415" w:type="dxa"/>
            <w:tcBorders/>
            <w:shd w:fill="auto" w:val="clear"/>
            <w:vAlign w:val="center"/>
          </w:tcPr>
          <w:p>
            <w:pPr>
              <w:pStyle w:val="TableContents"/>
              <w:spacing w:before="0" w:after="0"/>
              <w:ind w:left="0" w:right="0" w:hanging="0"/>
              <w:jc w:val="left"/>
              <w:rPr/>
            </w:pPr>
            <w:r>
              <w:rPr/>
              <w:t> </w:t>
            </w:r>
          </w:p>
        </w:tc>
      </w:tr>
      <w:tr>
        <w:trPr/>
        <w:tc>
          <w:tcPr>
            <w:tcW w:w="79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10.2</w:t>
            </w:r>
          </w:p>
        </w:tc>
        <w:tc>
          <w:tcPr>
            <w:tcW w:w="9415" w:type="dxa"/>
            <w:tcBorders/>
            <w:shd w:fill="auto" w:val="clear"/>
            <w:vAlign w:val="center"/>
          </w:tcPr>
          <w:p>
            <w:pPr>
              <w:pStyle w:val="TableContents"/>
              <w:spacing w:before="0" w:after="0"/>
              <w:ind w:left="0" w:right="0" w:hanging="0"/>
              <w:jc w:val="left"/>
              <w:rPr/>
            </w:pPr>
            <w:hyperlink w:anchor="gtbif-ex10_2.htm">
              <w:r>
                <w:rPr>
                  <w:rStyle w:val="InternetLink"/>
                  <w:rFonts w:ascii="Times New Roman;serif" w:hAnsi="Times New Roman;serif"/>
                  <w:b w:val="false"/>
                  <w:sz w:val="20"/>
                  <w:u w:val="single"/>
                </w:rPr>
                <w:t>2023 Form of Option Grant Agreement</w:t>
              </w:r>
            </w:hyperlink>
          </w:p>
        </w:tc>
      </w:tr>
      <w:tr>
        <w:trPr/>
        <w:tc>
          <w:tcPr>
            <w:tcW w:w="790" w:type="dxa"/>
            <w:tcBorders/>
            <w:shd w:fill="auto" w:val="clear"/>
            <w:vAlign w:val="center"/>
          </w:tcPr>
          <w:p>
            <w:pPr>
              <w:pStyle w:val="TableContents"/>
              <w:spacing w:before="0" w:after="0"/>
              <w:ind w:left="0" w:right="0" w:hanging="0"/>
              <w:jc w:val="left"/>
              <w:rPr/>
            </w:pPr>
            <w:r>
              <w:rPr/>
              <w:t> </w:t>
            </w:r>
          </w:p>
        </w:tc>
        <w:tc>
          <w:tcPr>
            <w:tcW w:w="9415" w:type="dxa"/>
            <w:tcBorders/>
            <w:shd w:fill="auto" w:val="clear"/>
            <w:vAlign w:val="center"/>
          </w:tcPr>
          <w:p>
            <w:pPr>
              <w:pStyle w:val="TableContents"/>
              <w:spacing w:before="0" w:after="0"/>
              <w:ind w:left="0" w:right="0" w:hanging="0"/>
              <w:jc w:val="left"/>
              <w:rPr/>
            </w:pPr>
            <w:r>
              <w:rPr/>
              <w:t> </w:t>
            </w:r>
          </w:p>
        </w:tc>
      </w:tr>
      <w:tr>
        <w:trPr/>
        <w:tc>
          <w:tcPr>
            <w:tcW w:w="79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10.3</w:t>
            </w:r>
          </w:p>
        </w:tc>
        <w:tc>
          <w:tcPr>
            <w:tcW w:w="9415" w:type="dxa"/>
            <w:tcBorders/>
            <w:shd w:fill="auto" w:val="clear"/>
            <w:vAlign w:val="center"/>
          </w:tcPr>
          <w:p>
            <w:pPr>
              <w:pStyle w:val="TableContents"/>
              <w:spacing w:before="0" w:after="0"/>
              <w:ind w:left="0" w:right="0" w:hanging="0"/>
              <w:jc w:val="left"/>
              <w:rPr/>
            </w:pPr>
            <w:hyperlink w:anchor="gtbif-ex10_3.htm">
              <w:r>
                <w:rPr>
                  <w:rStyle w:val="InternetLink"/>
                  <w:rFonts w:ascii="Times New Roman;serif" w:hAnsi="Times New Roman;serif"/>
                  <w:b w:val="false"/>
                  <w:sz w:val="20"/>
                  <w:u w:val="single"/>
                </w:rPr>
                <w:t>2023 Form of RSU Grant Agreement</w:t>
              </w:r>
            </w:hyperlink>
          </w:p>
        </w:tc>
      </w:tr>
      <w:tr>
        <w:trPr/>
        <w:tc>
          <w:tcPr>
            <w:tcW w:w="790" w:type="dxa"/>
            <w:tcBorders/>
            <w:shd w:fill="auto" w:val="clear"/>
            <w:vAlign w:val="center"/>
          </w:tcPr>
          <w:p>
            <w:pPr>
              <w:pStyle w:val="TableContents"/>
              <w:spacing w:before="0" w:after="0"/>
              <w:ind w:left="0" w:right="0" w:hanging="0"/>
              <w:jc w:val="left"/>
              <w:rPr/>
            </w:pPr>
            <w:r>
              <w:rPr/>
              <w:t> </w:t>
            </w:r>
          </w:p>
        </w:tc>
        <w:tc>
          <w:tcPr>
            <w:tcW w:w="9415" w:type="dxa"/>
            <w:tcBorders/>
            <w:shd w:fill="auto" w:val="clear"/>
            <w:vAlign w:val="center"/>
          </w:tcPr>
          <w:p>
            <w:pPr>
              <w:pStyle w:val="TableContents"/>
              <w:spacing w:before="0" w:after="0"/>
              <w:ind w:left="0" w:right="0" w:hanging="0"/>
              <w:jc w:val="left"/>
              <w:rPr/>
            </w:pPr>
            <w:r>
              <w:rPr/>
              <w:t> </w:t>
            </w:r>
          </w:p>
        </w:tc>
      </w:tr>
      <w:tr>
        <w:trPr/>
        <w:tc>
          <w:tcPr>
            <w:tcW w:w="79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31.1</w:t>
            </w:r>
          </w:p>
        </w:tc>
        <w:tc>
          <w:tcPr>
            <w:tcW w:w="9415" w:type="dxa"/>
            <w:tcBorders/>
            <w:shd w:fill="auto" w:val="clear"/>
            <w:vAlign w:val="center"/>
          </w:tcPr>
          <w:p>
            <w:pPr>
              <w:pStyle w:val="TableContents"/>
              <w:spacing w:before="0" w:after="0"/>
              <w:ind w:left="0" w:right="0" w:hanging="0"/>
              <w:jc w:val="left"/>
              <w:rPr/>
            </w:pPr>
            <w:hyperlink w:anchor="gtbif-ex31_1.htm">
              <w:r>
                <w:rPr>
                  <w:rStyle w:val="InternetLink"/>
                  <w:rFonts w:ascii="Times New Roman;serif" w:hAnsi="Times New Roman;serif"/>
                  <w:b w:val="false"/>
                  <w:sz w:val="20"/>
                  <w:u w:val="single"/>
                </w:rPr>
                <w:t>CERTIFICATE OF CHIEF EXECUTIVE OFFICER</w:t>
              </w:r>
            </w:hyperlink>
            <w:hyperlink w:anchor="gtbif-ex31_1.htm">
              <w:r>
                <w:rPr>
                  <w:rStyle w:val="InternetLink"/>
                  <w:rFonts w:ascii="Times New Roman" w:hAnsi="Times New Roman"/>
                  <w:sz w:val="20"/>
                </w:rPr>
                <w:t xml:space="preserve"> </w:t>
              </w:r>
            </w:hyperlink>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31.2</w:t>
            </w:r>
          </w:p>
        </w:tc>
        <w:tc>
          <w:tcPr>
            <w:tcW w:w="9415" w:type="dxa"/>
            <w:tcBorders/>
            <w:shd w:fill="auto" w:val="clear"/>
            <w:vAlign w:val="center"/>
          </w:tcPr>
          <w:p>
            <w:pPr>
              <w:pStyle w:val="TableContents"/>
              <w:spacing w:before="0" w:after="0"/>
              <w:ind w:left="0" w:right="0" w:hanging="0"/>
              <w:jc w:val="left"/>
              <w:rPr/>
            </w:pPr>
            <w:hyperlink w:anchor="gtbif-ex31_2.htm">
              <w:r>
                <w:rPr>
                  <w:rStyle w:val="InternetLink"/>
                  <w:rFonts w:ascii="Times New Roman;serif" w:hAnsi="Times New Roman;serif"/>
                  <w:b w:val="false"/>
                  <w:sz w:val="20"/>
                  <w:u w:val="single"/>
                </w:rPr>
                <w:t>CERTIFICATE OF CHIEF FINANCIAL OFFICER</w:t>
              </w:r>
            </w:hyperlink>
            <w:hyperlink w:anchor="gtbif-ex31_2.htm">
              <w:r>
                <w:rPr>
                  <w:rStyle w:val="InternetLink"/>
                  <w:rFonts w:ascii="Times New Roman" w:hAnsi="Times New Roman"/>
                  <w:sz w:val="20"/>
                </w:rPr>
                <w:t xml:space="preserve"> </w:t>
              </w:r>
            </w:hyperlink>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32.1</w:t>
            </w:r>
          </w:p>
        </w:tc>
        <w:tc>
          <w:tcPr>
            <w:tcW w:w="9415" w:type="dxa"/>
            <w:tcBorders/>
            <w:shd w:fill="auto" w:val="clear"/>
            <w:vAlign w:val="center"/>
          </w:tcPr>
          <w:p>
            <w:pPr>
              <w:pStyle w:val="TableContents"/>
              <w:spacing w:before="0" w:after="0"/>
              <w:ind w:left="0" w:right="0" w:hanging="0"/>
              <w:jc w:val="left"/>
              <w:rPr/>
            </w:pPr>
            <w:hyperlink w:anchor="gtbif-ex32_1.htm">
              <w:r>
                <w:rPr>
                  <w:rStyle w:val="InternetLink"/>
                  <w:rFonts w:ascii="Times New Roman;serif" w:hAnsi="Times New Roman;serif"/>
                  <w:b w:val="false"/>
                  <w:sz w:val="20"/>
                  <w:u w:val="single"/>
                </w:rPr>
                <w:t>CERTIFICATION PURSUANT TO 18 U.S.C. SECTION 1350, AS ADOPTED PURSUANT TO SECTION 906 OF THE SARBANES-OXLEY ACT OF 2002</w:t>
              </w:r>
            </w:hyperlink>
            <w:hyperlink w:anchor="gtbif-ex32_1.htm">
              <w:r>
                <w:rPr>
                  <w:rStyle w:val="InternetLink"/>
                  <w:rFonts w:ascii="Times New Roman" w:hAnsi="Times New Roman"/>
                  <w:sz w:val="20"/>
                </w:rPr>
                <w:t xml:space="preserve"> </w:t>
              </w:r>
            </w:hyperlink>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32.2</w:t>
            </w:r>
          </w:p>
        </w:tc>
        <w:tc>
          <w:tcPr>
            <w:tcW w:w="9415" w:type="dxa"/>
            <w:tcBorders/>
            <w:shd w:fill="auto" w:val="clear"/>
            <w:vAlign w:val="center"/>
          </w:tcPr>
          <w:p>
            <w:pPr>
              <w:pStyle w:val="TableContents"/>
              <w:spacing w:before="0" w:after="0"/>
              <w:ind w:left="0" w:right="0" w:hanging="0"/>
              <w:jc w:val="left"/>
              <w:rPr/>
            </w:pPr>
            <w:hyperlink w:anchor="gtbif-ex32_2.htm">
              <w:r>
                <w:rPr>
                  <w:rStyle w:val="InternetLink"/>
                  <w:rFonts w:ascii="Times New Roman;serif" w:hAnsi="Times New Roman;serif"/>
                  <w:b w:val="false"/>
                  <w:sz w:val="20"/>
                  <w:u w:val="single"/>
                </w:rPr>
                <w:t>CERTIFICATION PURSUANT TO 18 U.S.C. SECTION 1350, AS ADOPTED PURSUANT TO SECTION 906 OF THE SARBANES-OXLEY ACT OF 2002</w:t>
              </w:r>
            </w:hyperlink>
            <w:hyperlink w:anchor="gtbif-ex32_2.htm">
              <w:r>
                <w:rPr>
                  <w:rStyle w:val="InternetLink"/>
                  <w:rFonts w:ascii="Times New Roman" w:hAnsi="Times New Roman"/>
                  <w:sz w:val="20"/>
                </w:rPr>
                <w:t xml:space="preserve"> </w:t>
              </w:r>
            </w:hyperlink>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9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9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9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9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90" w:type="dxa"/>
            <w:tcBorders/>
            <w:shd w:fill="auto" w:val="clear"/>
            <w:vAlign w:val="center"/>
          </w:tcPr>
          <w:p>
            <w:pPr>
              <w:pStyle w:val="TableContents"/>
              <w:spacing w:before="0" w:after="283"/>
              <w:ind w:left="0" w:right="0" w:hanging="0"/>
              <w:rPr>
                <w:sz w:val="4"/>
                <w:szCs w:val="4"/>
              </w:rPr>
            </w:pPr>
            <w:r>
              <w:rPr>
                <w:sz w:val="4"/>
                <w:szCs w:val="4"/>
              </w:rPr>
            </w:r>
          </w:p>
        </w:tc>
        <w:tc>
          <w:tcPr>
            <w:tcW w:w="9415" w:type="dxa"/>
            <w:tcBorders/>
            <w:shd w:fill="auto" w:val="clear"/>
            <w:vAlign w:val="center"/>
          </w:tcPr>
          <w:p>
            <w:pPr>
              <w:pStyle w:val="TableContents"/>
              <w:spacing w:before="0" w:after="283"/>
              <w:ind w:left="0" w:right="0" w:hanging="0"/>
              <w:rPr>
                <w:sz w:val="4"/>
                <w:szCs w:val="4"/>
              </w:rPr>
            </w:pPr>
            <w:r>
              <w:rPr>
                <w:sz w:val="4"/>
                <w:szCs w:val="4"/>
              </w:rPr>
            </w:r>
          </w:p>
        </w:tc>
      </w:tr>
      <w:tr>
        <w:trPr/>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9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90" w:type="dxa"/>
            <w:tcBorders/>
            <w:shd w:fill="auto" w:val="clear"/>
            <w:vAlign w:val="center"/>
          </w:tcPr>
          <w:p>
            <w:pPr>
              <w:pStyle w:val="TableContents"/>
              <w:spacing w:before="0" w:after="0"/>
              <w:ind w:left="0" w:right="0" w:hanging="0"/>
              <w:jc w:val="left"/>
              <w:rPr/>
            </w:pPr>
            <w:r>
              <w:rPr/>
              <w:t> </w:t>
            </w:r>
          </w:p>
        </w:tc>
        <w:tc>
          <w:tcPr>
            <w:tcW w:w="9415" w:type="dxa"/>
            <w:tcBorders/>
            <w:shd w:fill="auto" w:val="clear"/>
            <w:vAlign w:val="center"/>
          </w:tcPr>
          <w:p>
            <w:pPr>
              <w:pStyle w:val="TableContents"/>
              <w:spacing w:before="0" w:after="0"/>
              <w:ind w:left="0" w:right="0" w:hanging="0"/>
              <w:jc w:val="left"/>
              <w:rPr/>
            </w:pPr>
            <w:r>
              <w:rPr/>
              <w:t> </w:t>
            </w:r>
          </w:p>
        </w:tc>
      </w:tr>
      <w:tr>
        <w:trPr/>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941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Cover Page Interactive Data File (embedded with Inline XBRL File)</w:t>
            </w:r>
            <w:r>
              <w:rPr>
                <w:rFonts w:ascii="Times New Roman" w:hAnsi="Times New Roman"/>
                <w:sz w:val="20"/>
              </w:rPr>
              <w:t xml:space="preserve"> </w:t>
            </w:r>
          </w:p>
        </w:tc>
      </w:tr>
    </w:tbl>
    <w:p>
      <w:pPr>
        <w:pStyle w:val="TextBody"/>
        <w:spacing w:before="12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0" w:name="signatures"/>
      <w:bookmarkEnd w:id="20"/>
      <w:r>
        <w:rPr>
          <w:rFonts w:ascii="Times New Roman;serif" w:hAnsi="Times New Roman;serif"/>
          <w:b/>
          <w:sz w:val="20"/>
        </w:rPr>
        <w:t>SIGNATURES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requirements of the Securities Exchange Act of 1934, the Company has duly caused this report to be signed on its behalf by the undersigned thereunto duly authorized.</w:t>
      </w:r>
      <w:r>
        <w:rPr>
          <w:rFonts w:ascii="Times New Roman" w:hAnsi="Times New Roman"/>
          <w:sz w:val="20"/>
        </w:rPr>
        <w:t xml:space="preserve">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/s/Benjamin Kovler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Benjamin Kovler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bl>
    <w:p>
      <w:pPr>
        <w:pStyle w:val="TextBody"/>
        <w:spacing w:before="240" w:after="0"/>
        <w:jc w:val="left"/>
        <w:rPr>
          <w:rFonts w:ascii="Times New Roman" w:hAnsi="Times New Roman"/>
          <w:sz w:val="20"/>
        </w:rPr>
      </w:pPr>
      <w:r>
        <w:rPr>
          <w:rFonts w:ascii="Times New Roman;serif" w:hAnsi="Times New Roman;serif"/>
          <w:b w:val="false"/>
          <w:sz w:val="20"/>
        </w:rPr>
        <w:t>Date: May 4, 2023</w:t>
      </w:r>
      <w:r>
        <w:rPr>
          <w:rFonts w:ascii="Times New Roman" w:hAnsi="Times New Roman"/>
          <w:sz w:val="20"/>
        </w:rPr>
        <w:t xml:space="preserve">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/s/Mathew Faulkner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Mathew Faulkner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bl>
    <w:p>
      <w:pPr>
        <w:pStyle w:val="TextBody"/>
        <w:spacing w:before="240" w:after="0"/>
        <w:jc w:val="left"/>
        <w:rPr>
          <w:rFonts w:ascii="Times New Roman" w:hAnsi="Times New Roman"/>
          <w:sz w:val="20"/>
        </w:rPr>
      </w:pPr>
      <w:r>
        <w:rPr>
          <w:rFonts w:ascii="Times New Roman;serif" w:hAnsi="Times New Roman;serif"/>
          <w:b w:val="false"/>
          <w:sz w:val="20"/>
        </w:rPr>
        <w:t>Date: May 4, 2023</w:t>
      </w:r>
      <w:r>
        <w:rPr>
          <w:rFonts w:ascii="Times New Roman" w:hAnsi="Times New Roman"/>
          <w:sz w:val="20"/>
        </w:rPr>
        <w:t xml:space="preserve"> </w:t>
      </w:r>
    </w:p>
    <w:p>
      <w:pPr>
        <w:pStyle w:val="TextBody"/>
        <w:spacing w:before="18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r>
        <w:br w:type="page"/>
      </w:r>
    </w:p>
    <w:p>
      <w:pPr>
        <w:pStyle w:val="TextBody"/>
        <w:spacing w:before="0" w:after="0"/>
        <w:jc w:val="right"/>
        <w:rPr>
          <w:rFonts w:ascii="Times New Roman;serif" w:hAnsi="Times New Roman;serif"/>
          <w:b/>
          <w:sz w:val="22"/>
        </w:rPr>
      </w:pPr>
      <w:bookmarkStart w:id="21" w:name="gtbif-ex10_1.htm"/>
      <w:bookmarkStart w:id="22" w:name="ksgtbifex10_1"/>
      <w:bookmarkEnd w:id="21"/>
      <w:bookmarkEnd w:id="22"/>
      <w:r>
        <w:rPr>
          <w:rFonts w:ascii="Times New Roman;serif" w:hAnsi="Times New Roman;serif"/>
          <w:b/>
          <w:sz w:val="22"/>
        </w:rPr>
        <w:t>Exhibit 10.1</w:t>
      </w:r>
    </w:p>
    <w:p>
      <w:pPr>
        <w:pStyle w:val="TextBody"/>
        <w:spacing w:before="0" w:after="0"/>
        <w:jc w:val="right"/>
        <w:rPr>
          <w:rFonts w:ascii="Times New Roman;serif" w:hAnsi="Times New Roman;serif"/>
          <w:b/>
          <w:sz w:val="24"/>
          <w:u w:val="single"/>
        </w:rPr>
      </w:pPr>
      <w:bookmarkStart w:id="23" w:name="ex10_11"/>
      <w:bookmarkEnd w:id="23"/>
      <w:r>
        <w:rPr>
          <w:rFonts w:ascii="Times New Roman;serif" w:hAnsi="Times New Roman;serif"/>
          <w:b/>
          <w:sz w:val="24"/>
          <w:u w:val="single"/>
        </w:rPr>
        <w:t>Exhibit 10.1</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AMENDMENT NO. 2 TO</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GREEN THUMB INDUSTRIES INC.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2018 STOCK AND INCENTIVE PLAN</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Effective April 7, 2023, the Green Thumb Industries Inc. 2018 Stock and Incentive Plan (the “Plan”) is amended as follows:</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Section 4(a) shall be deleted and replaced in its entirety with the following: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u w:val="single"/>
        </w:rPr>
        <w:t>Shares Available</w:t>
      </w:r>
      <w:r>
        <w:rPr>
          <w:rFonts w:ascii="Times New Roman;serif" w:hAnsi="Times New Roman;serif"/>
          <w:b w:val="false"/>
          <w:sz w:val="20"/>
        </w:rPr>
        <w:t>. Subject to adjustment as provided in Section 4(c) of the Plan, the aggregate number of Shares that may be issued under all Awards under the Plan shall be 10% of the number of Shares outstanding at the time of granting of Awards, and for clarity, including the number of Shares issuable on conversion of the Super Voting Shares and the Multiple Voting Shares.</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Section 4(b)(i) shall be deleted and replaced in its entirety with the following:</w:t>
      </w:r>
    </w:p>
    <w:p>
      <w:pPr>
        <w:pStyle w:val="TextBody"/>
        <w:spacing w:before="0" w:after="0"/>
        <w:jc w:val="left"/>
        <w:rPr>
          <w:rFonts w:ascii="Times New Roman" w:hAnsi="Times New Roman"/>
          <w:sz w:val="20"/>
        </w:rPr>
      </w:pPr>
      <w:r>
        <w:rPr>
          <w:rFonts w:ascii="Times New Roman;serif" w:hAnsi="Times New Roman;serif"/>
          <w:b w:val="false"/>
          <w:sz w:val="20"/>
          <w:u w:val="single"/>
        </w:rPr>
        <w:t>Shares Added Back to Reserve</w:t>
      </w:r>
      <w:r>
        <w:rPr>
          <w:rFonts w:ascii="Times New Roman;serif" w:hAnsi="Times New Roman;serif"/>
          <w:b w:val="false"/>
          <w:sz w:val="20"/>
        </w:rPr>
        <w:t>. If any Shares covered by an Award or to which an Award relates are: (i) not purchased or are forfeited or are reacquired by the Company (including any Shares withheld by the Company or Shares tendered to satisfy any tax withholding obligation on Awards or Shares covered by an Award that are settled in cash); (ii) terminated or cancelled without delivery of any Shares, or (iii) exercised or, in the case of RSUs, vested in accordance with the terms of the Award, then the number of Shares counted against the aggregate number of Shares available under the Plan with respect to such Award, to the extent of any such forfeiture, reacquisition by the Company, termination, exercise, vesting or cancellation, shall again be available for granting Awards under the Plan.</w:t>
      </w:r>
    </w:p>
    <w:p>
      <w:pPr>
        <w:pStyle w:val="TextBody"/>
        <w:spacing w:before="0" w:after="0"/>
        <w:jc w:val="left"/>
        <w:rPr/>
      </w:pPr>
      <w:r>
        <w:rPr/>
        <w:t> </w:t>
      </w:r>
    </w:p>
    <w:p>
      <w:pPr>
        <w:pStyle w:val="HorizontalLine"/>
        <w:rPr/>
      </w:pPr>
      <w:r>
        <w:rPr/>
      </w:r>
      <w:r>
        <w:br w:type="page"/>
      </w:r>
    </w:p>
    <w:p>
      <w:pPr>
        <w:pStyle w:val="TextBody"/>
        <w:spacing w:before="0" w:after="0"/>
        <w:jc w:val="right"/>
        <w:rPr/>
      </w:pPr>
      <w:bookmarkStart w:id="24" w:name="gtbif-ex10_2.htm"/>
      <w:bookmarkStart w:id="25" w:name="ksgtbifex10_2"/>
      <w:bookmarkEnd w:id="24"/>
      <w:bookmarkEnd w:id="25"/>
      <w:r>
        <w:rPr/>
        <w:t> </w:t>
      </w:r>
    </w:p>
    <w:p>
      <w:pPr>
        <w:pStyle w:val="TextBody"/>
        <w:spacing w:before="0" w:after="0"/>
        <w:jc w:val="right"/>
        <w:rPr>
          <w:rFonts w:ascii="Times New Roman;serif" w:hAnsi="Times New Roman;serif"/>
          <w:b/>
          <w:sz w:val="22"/>
          <w:u w:val="single"/>
        </w:rPr>
      </w:pPr>
      <w:r>
        <w:rPr>
          <w:rFonts w:ascii="Times New Roman;serif" w:hAnsi="Times New Roman;serif"/>
          <w:b/>
          <w:sz w:val="22"/>
          <w:u w:val="single"/>
        </w:rPr>
        <w:t>Exhibit 10.2</w:t>
      </w:r>
    </w:p>
    <w:p>
      <w:pPr>
        <w:pStyle w:val="TextBody"/>
        <w:spacing w:before="0" w:after="0"/>
        <w:jc w:val="right"/>
        <w:rPr/>
      </w:pPr>
      <w:r>
        <w:rPr/>
        <w:t> </w:t>
      </w:r>
    </w:p>
    <w:p>
      <w:pPr>
        <w:pStyle w:val="TextBody"/>
        <w:spacing w:before="0" w:after="0"/>
        <w:jc w:val="center"/>
        <w:rPr>
          <w:rFonts w:ascii="Times New Roman;serif" w:hAnsi="Times New Roman;serif"/>
          <w:b/>
          <w:sz w:val="22"/>
          <w:u w:val="single"/>
        </w:rPr>
      </w:pPr>
      <w:r>
        <w:rPr>
          <w:rFonts w:ascii="Times New Roman;serif" w:hAnsi="Times New Roman;serif"/>
          <w:b/>
          <w:sz w:val="22"/>
          <w:u w:val="single"/>
        </w:rPr>
        <w:t>2023 FORM OF RSU AGREEMENT</w:t>
      </w:r>
    </w:p>
    <w:p>
      <w:pPr>
        <w:pStyle w:val="TextBody"/>
        <w:spacing w:before="91" w:after="0"/>
        <w:jc w:val="center"/>
        <w:rPr>
          <w:rFonts w:ascii="Times New Roman;serif" w:hAnsi="Times New Roman;serif"/>
          <w:b/>
          <w:sz w:val="22"/>
        </w:rPr>
      </w:pPr>
      <w:r>
        <w:rPr>
          <w:rFonts w:ascii="Times New Roman;serif" w:hAnsi="Times New Roman;serif"/>
          <w:b/>
          <w:sz w:val="22"/>
        </w:rPr>
        <w:t>DELIVERY OF THIS CERTIFICATE MAY NOT CONSTITUTE “GOOD DELIVERY” IN SETTLEMENT OF TRANSACTIONS ON STOCK EXCHANGES IN CANADA.</w:t>
      </w:r>
    </w:p>
    <w:p>
      <w:pPr>
        <w:pStyle w:val="TextBody"/>
        <w:spacing w:before="0" w:after="0"/>
        <w:jc w:val="center"/>
        <w:rPr>
          <w:rFonts w:ascii="Times New Roman;serif" w:hAnsi="Times New Roman;serif"/>
          <w:b/>
          <w:caps/>
          <w:sz w:val="22"/>
        </w:rPr>
      </w:pPr>
      <w:r>
        <w:rPr>
          <w:rFonts w:ascii="Times New Roman;serif" w:hAnsi="Times New Roman;serif"/>
          <w:b/>
          <w:caps/>
          <w:sz w:val="22"/>
        </w:rPr>
        <w:t>GREEN THUMB INDUSTRIES INC. 2018 STOCK AND INCENTIVE PLAN</w:t>
      </w:r>
    </w:p>
    <w:p>
      <w:pPr>
        <w:pStyle w:val="TextBody"/>
        <w:spacing w:before="0" w:after="240"/>
        <w:jc w:val="center"/>
        <w:rPr>
          <w:rFonts w:ascii="Times New Roman;serif" w:hAnsi="Times New Roman;serif"/>
          <w:b/>
          <w:caps/>
          <w:sz w:val="22"/>
        </w:rPr>
      </w:pPr>
      <w:r>
        <w:rPr>
          <w:rFonts w:ascii="Times New Roman;serif" w:hAnsi="Times New Roman;serif"/>
          <w:b/>
          <w:caps/>
          <w:sz w:val="22"/>
        </w:rPr>
        <w:t>RESTRICTED STOCK UNIT AWARD AGREEMENT</w:t>
      </w:r>
    </w:p>
    <w:p>
      <w:pPr>
        <w:pStyle w:val="TextBody"/>
        <w:spacing w:before="0" w:after="24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This </w:t>
      </w:r>
      <w:r>
        <w:rPr>
          <w:rFonts w:ascii="Times New Roman;serif" w:hAnsi="Times New Roman;serif"/>
          <w:b/>
          <w:sz w:val="22"/>
        </w:rPr>
        <w:t>RESTRICTED STOCK UNIT AWARD AGREEMENT</w:t>
      </w:r>
      <w:r>
        <w:rPr>
          <w:rFonts w:ascii="Times New Roman" w:hAnsi="Times New Roman"/>
          <w:sz w:val="20"/>
        </w:rPr>
        <w:t xml:space="preserve"> </w:t>
      </w:r>
      <w:r>
        <w:rPr>
          <w:rFonts w:ascii="Times New Roman;serif" w:hAnsi="Times New Roman;serif"/>
          <w:b w:val="false"/>
          <w:sz w:val="22"/>
        </w:rPr>
        <w:t>(the “</w:t>
      </w:r>
      <w:r>
        <w:rPr>
          <w:rFonts w:ascii="Times New Roman;serif" w:hAnsi="Times New Roman;serif"/>
          <w:b w:val="false"/>
          <w:i/>
          <w:sz w:val="22"/>
        </w:rPr>
        <w:t>Agreement</w:t>
      </w:r>
      <w:r>
        <w:rPr>
          <w:rFonts w:ascii="Times New Roman" w:hAnsi="Times New Roman"/>
          <w:sz w:val="20"/>
        </w:rPr>
        <w:t>”</w:t>
      </w:r>
      <w:r>
        <w:rPr>
          <w:rFonts w:ascii="Times New Roman;serif" w:hAnsi="Times New Roman;serif"/>
          <w:b w:val="false"/>
          <w:sz w:val="22"/>
        </w:rPr>
        <w:t>) is made this _______day of_______, 20______ (the “</w:t>
      </w:r>
      <w:r>
        <w:rPr>
          <w:rFonts w:ascii="Times New Roman;serif" w:hAnsi="Times New Roman;serif"/>
          <w:b w:val="false"/>
          <w:i/>
          <w:sz w:val="22"/>
        </w:rPr>
        <w:t>Effective Date</w:t>
      </w:r>
      <w:r>
        <w:rPr>
          <w:rFonts w:ascii="Times New Roman" w:hAnsi="Times New Roman"/>
          <w:sz w:val="20"/>
        </w:rPr>
        <w:t>”</w:t>
      </w:r>
      <w:r>
        <w:rPr>
          <w:rFonts w:ascii="Times New Roman;serif" w:hAnsi="Times New Roman;serif"/>
          <w:b w:val="false"/>
          <w:sz w:val="22"/>
        </w:rPr>
        <w:t xml:space="preserve">), by and between </w:t>
      </w:r>
      <w:r>
        <w:rPr>
          <w:rFonts w:ascii="Times New Roman;serif" w:hAnsi="Times New Roman;serif"/>
          <w:b/>
          <w:sz w:val="22"/>
        </w:rPr>
        <w:t>Green Thumb Industries Inc.</w:t>
      </w:r>
      <w:r>
        <w:rPr>
          <w:rFonts w:ascii="Times New Roman;serif" w:hAnsi="Times New Roman;serif"/>
          <w:b w:val="false"/>
          <w:sz w:val="22"/>
        </w:rPr>
        <w:t>, a British Columbia, Canada corporation (the “</w:t>
      </w:r>
      <w:r>
        <w:rPr>
          <w:rFonts w:ascii="Times New Roman;serif" w:hAnsi="Times New Roman;serif"/>
          <w:b w:val="false"/>
          <w:i/>
          <w:sz w:val="22"/>
        </w:rPr>
        <w:t>Company</w:t>
      </w:r>
      <w:r>
        <w:rPr>
          <w:rFonts w:ascii="Times New Roman" w:hAnsi="Times New Roman"/>
          <w:sz w:val="20"/>
        </w:rPr>
        <w:t>”</w:t>
      </w:r>
      <w:r>
        <w:rPr>
          <w:rFonts w:ascii="Times New Roman;serif" w:hAnsi="Times New Roman;serif"/>
          <w:b w:val="false"/>
          <w:sz w:val="22"/>
        </w:rPr>
        <w:t>) and (“</w:t>
      </w:r>
      <w:r>
        <w:rPr>
          <w:rFonts w:ascii="Times New Roman;serif" w:hAnsi="Times New Roman;serif"/>
          <w:b w:val="false"/>
          <w:i/>
          <w:sz w:val="22"/>
        </w:rPr>
        <w:t>Participant</w:t>
      </w:r>
      <w:r>
        <w:rPr>
          <w:rFonts w:ascii="Times New Roman" w:hAnsi="Times New Roman"/>
          <w:sz w:val="20"/>
        </w:rPr>
        <w:t>”</w:t>
      </w:r>
      <w:r>
        <w:rPr>
          <w:rFonts w:ascii="Times New Roman;serif" w:hAnsi="Times New Roman;serif"/>
          <w:b w:val="false"/>
          <w:sz w:val="22"/>
        </w:rPr>
        <w:t>).</w:t>
      </w:r>
    </w:p>
    <w:p>
      <w:pPr>
        <w:pStyle w:val="TextBody"/>
        <w:spacing w:before="0" w:after="0"/>
        <w:jc w:val="lef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1.</w:t>
      </w:r>
    </w:p>
    <w:p>
      <w:pPr>
        <w:pStyle w:val="TextBody"/>
        <w:spacing w:before="0" w:after="240"/>
        <w:jc w:val="both"/>
        <w:rPr/>
      </w:pPr>
      <w:r>
        <w:rPr>
          <w:rFonts w:ascii="Times New Roman;serif" w:hAnsi="Times New Roman;serif"/>
          <w:b w:val="false"/>
          <w:sz w:val="22"/>
          <w:u w:val="single"/>
        </w:rPr>
        <w:t>Award</w:t>
      </w:r>
      <w:r>
        <w:rPr>
          <w:rFonts w:ascii="Times New Roman;serif" w:hAnsi="Times New Roman;serif"/>
          <w:b w:val="false"/>
          <w:sz w:val="22"/>
        </w:rPr>
        <w:t>. The Company hereby grants to Participant a restricted stock unit award covering ________Subordinate Voting Shares (the “</w:t>
      </w:r>
      <w:r>
        <w:rPr>
          <w:rFonts w:ascii="Times New Roman;serif" w:hAnsi="Times New Roman;serif"/>
          <w:b w:val="false"/>
          <w:i/>
          <w:sz w:val="22"/>
        </w:rPr>
        <w:t>Shares</w:t>
      </w:r>
      <w:r>
        <w:rPr/>
        <w:t>”</w:t>
      </w:r>
      <w:r>
        <w:rPr>
          <w:rFonts w:ascii="Times New Roman;serif" w:hAnsi="Times New Roman;serif"/>
          <w:b w:val="false"/>
          <w:sz w:val="22"/>
        </w:rPr>
        <w:t>) of the Company according to the terms and conditions set forth herein and in the Green Thumb Industries Inc. 2018 Stock and Incentive Plan, including, without limitation, any amendments thereto adopted at any time and from time to time (the “</w:t>
      </w:r>
      <w:r>
        <w:rPr>
          <w:rFonts w:ascii="Times New Roman;serif" w:hAnsi="Times New Roman;serif"/>
          <w:b w:val="false"/>
          <w:i/>
          <w:sz w:val="22"/>
        </w:rPr>
        <w:t>Plan</w:t>
      </w:r>
      <w:r>
        <w:rPr/>
        <w:t>”</w:t>
      </w:r>
      <w:r>
        <w:rPr>
          <w:rFonts w:ascii="Times New Roman;serif" w:hAnsi="Times New Roman;serif"/>
          <w:b w:val="false"/>
          <w:sz w:val="22"/>
        </w:rPr>
        <w:t>). Each restricted stock unit (a “</w:t>
      </w:r>
      <w:r>
        <w:rPr>
          <w:rFonts w:ascii="Times New Roman;serif" w:hAnsi="Times New Roman;serif"/>
          <w:b w:val="false"/>
          <w:i/>
          <w:sz w:val="22"/>
        </w:rPr>
        <w:t>Unit</w:t>
      </w:r>
      <w:r>
        <w:rPr/>
        <w:t>”</w:t>
      </w:r>
      <w:r>
        <w:rPr>
          <w:rFonts w:ascii="Times New Roman;serif" w:hAnsi="Times New Roman;serif"/>
          <w:b w:val="false"/>
          <w:sz w:val="22"/>
        </w:rPr>
        <w:t xml:space="preserve">) represents the right to receive one Subordinate Voting Share, subject to the terms of this Agreement, including the vesting requirements, and the terms of the Plan. The Units are granted under Section 6(c) of the Plan. This Agreement is subject in all respects to the terms and provisions of the Plan. The Participant acknowledges having received a copy of the Plan and that the Participant has read the Plan carefully and understands its content. The provisions of the Plan are incorporated into this Agreement by reference, and in the event of any conflict between the terms of this Agreement and the terms of the Plan, the terms of the Plan shall control. Capitalized terms used but not otherwise defined herein shall have the meaning ascribed to such terms in the Plan. </w:t>
      </w:r>
    </w:p>
    <w:p>
      <w:pPr>
        <w:pStyle w:val="TextBody"/>
        <w:spacing w:before="0" w:after="240"/>
        <w:jc w:val="both"/>
        <w:rPr>
          <w:rFonts w:ascii="Times New Roman" w:hAnsi="Times New Roman"/>
          <w:b w:val="false"/>
          <w:sz w:val="22"/>
        </w:rPr>
      </w:pPr>
      <w:r>
        <w:rPr>
          <w:rFonts w:ascii="Times New Roman" w:hAnsi="Times New Roman"/>
          <w:b w:val="false"/>
          <w:sz w:val="22"/>
        </w:rPr>
        <w:t>2.</w:t>
      </w:r>
    </w:p>
    <w:p>
      <w:pPr>
        <w:pStyle w:val="TextBody"/>
        <w:spacing w:before="0" w:after="240"/>
        <w:jc w:val="both"/>
        <w:rPr/>
      </w:pPr>
      <w:r>
        <w:rPr>
          <w:rFonts w:ascii="Times New Roman;serif" w:hAnsi="Times New Roman;serif"/>
          <w:b w:val="false"/>
          <w:sz w:val="22"/>
          <w:u w:val="single"/>
        </w:rPr>
        <w:t>Vesting</w:t>
      </w:r>
      <w:r>
        <w:rPr>
          <w:rFonts w:ascii="Times New Roman;serif" w:hAnsi="Times New Roman;serif"/>
          <w:b w:val="false"/>
          <w:sz w:val="22"/>
        </w:rPr>
        <w:t>. Except as otherwise provided in this Agreement, the Units shall vest in accordance with the following schedule:</w:t>
      </w:r>
    </w:p>
    <w:tbl>
      <w:tblPr>
        <w:tblW w:w="7232" w:type="dxa"/>
        <w:jc w:val="left"/>
        <w:tblInd w:w="0" w:type="dxa"/>
        <w:tblCellMar>
          <w:top w:w="28" w:type="dxa"/>
          <w:left w:w="28" w:type="dxa"/>
          <w:bottom w:w="28" w:type="dxa"/>
          <w:right w:w="28" w:type="dxa"/>
        </w:tblCellMar>
      </w:tblPr>
      <w:tblGrid>
        <w:gridCol w:w="3601"/>
        <w:gridCol w:w="3631"/>
      </w:tblGrid>
      <w:tr>
        <w:trPr/>
        <w:tc>
          <w:tcPr>
            <w:tcW w:w="3601" w:type="dxa"/>
            <w:tcBorders/>
            <w:shd w:fill="auto" w:val="clear"/>
            <w:vAlign w:val="center"/>
          </w:tcPr>
          <w:p>
            <w:pPr>
              <w:pStyle w:val="TableContents"/>
              <w:spacing w:before="0" w:after="283"/>
              <w:rPr>
                <w:sz w:val="4"/>
                <w:szCs w:val="4"/>
              </w:rPr>
            </w:pPr>
            <w:r>
              <w:rPr>
                <w:sz w:val="4"/>
                <w:szCs w:val="4"/>
              </w:rPr>
            </w:r>
          </w:p>
        </w:tc>
        <w:tc>
          <w:tcPr>
            <w:tcW w:w="3631"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tcMar>
              <w:top w:w="0" w:type="dxa"/>
              <w:left w:w="0" w:type="dxa"/>
              <w:bottom w:w="0" w:type="dxa"/>
              <w:right w:w="0" w:type="dxa"/>
            </w:tcMar>
            <w:vAlign w:val="center"/>
          </w:tcPr>
          <w:p>
            <w:pPr>
              <w:pStyle w:val="TableContents"/>
              <w:spacing w:before="0" w:after="240"/>
              <w:ind w:left="0" w:right="0" w:hanging="0"/>
              <w:jc w:val="center"/>
              <w:rPr>
                <w:rFonts w:ascii="Times New Roman;serif" w:hAnsi="Times New Roman;serif"/>
                <w:b w:val="false"/>
                <w:sz w:val="22"/>
              </w:rPr>
            </w:pPr>
            <w:r>
              <w:rPr>
                <w:rFonts w:ascii="Times New Roman;serif" w:hAnsi="Times New Roman;serif"/>
                <w:b w:val="false"/>
                <w:sz w:val="22"/>
              </w:rPr>
              <w:t>On or after each of</w:t>
              <w:br/>
              <w:t>the following dates</w:t>
            </w:r>
          </w:p>
          <w:p>
            <w:pPr>
              <w:pStyle w:val="TableContents"/>
              <w:spacing w:before="0" w:after="240"/>
              <w:ind w:left="0" w:right="0" w:hanging="0"/>
              <w:jc w:val="center"/>
              <w:rPr>
                <w:rFonts w:ascii="Times New Roman;serif" w:hAnsi="Times New Roman;serif"/>
                <w:b w:val="false"/>
                <w:sz w:val="22"/>
              </w:rPr>
            </w:pPr>
            <w:r>
              <w:rPr>
                <w:rFonts w:ascii="Times New Roman;serif" w:hAnsi="Times New Roman;serif"/>
                <w:b w:val="false"/>
                <w:sz w:val="22"/>
              </w:rPr>
              <w:t>_____________________________</w:t>
            </w:r>
          </w:p>
        </w:tc>
        <w:tc>
          <w:tcPr>
            <w:tcW w:w="3631" w:type="dxa"/>
            <w:tcBorders/>
            <w:shd w:fill="auto" w:val="clear"/>
            <w:tcMar>
              <w:top w:w="0" w:type="dxa"/>
              <w:left w:w="0" w:type="dxa"/>
              <w:bottom w:w="0" w:type="dxa"/>
              <w:right w:w="0" w:type="dxa"/>
            </w:tcMar>
            <w:vAlign w:val="center"/>
          </w:tcPr>
          <w:p>
            <w:pPr>
              <w:pStyle w:val="TableContents"/>
              <w:spacing w:before="0" w:after="240"/>
              <w:ind w:left="0" w:right="0" w:hanging="0"/>
              <w:jc w:val="center"/>
              <w:rPr>
                <w:rFonts w:ascii="Times New Roman;serif" w:hAnsi="Times New Roman;serif"/>
                <w:b w:val="false"/>
                <w:sz w:val="22"/>
              </w:rPr>
            </w:pPr>
            <w:r>
              <w:rPr>
                <w:rFonts w:ascii="Times New Roman;serif" w:hAnsi="Times New Roman;serif"/>
                <w:b w:val="false"/>
                <w:sz w:val="22"/>
              </w:rPr>
              <w:t>Number of Units</w:t>
              <w:br/>
              <w:t>Vested</w:t>
            </w:r>
          </w:p>
          <w:p>
            <w:pPr>
              <w:pStyle w:val="TableContents"/>
              <w:spacing w:before="0" w:after="240"/>
              <w:ind w:left="0" w:right="0" w:hanging="0"/>
              <w:jc w:val="center"/>
              <w:rPr>
                <w:rFonts w:ascii="Times New Roman;serif" w:hAnsi="Times New Roman;serif"/>
                <w:b w:val="false"/>
                <w:sz w:val="22"/>
              </w:rPr>
            </w:pPr>
            <w:r>
              <w:rPr>
                <w:rFonts w:ascii="Times New Roman;serif" w:hAnsi="Times New Roman;serif"/>
                <w:b w:val="false"/>
                <w:sz w:val="22"/>
              </w:rPr>
              <w:t>_____________________________</w:t>
            </w:r>
          </w:p>
        </w:tc>
      </w:tr>
    </w:tbl>
    <w:p>
      <w:pPr>
        <w:pStyle w:val="TextBody"/>
        <w:spacing w:before="0" w:after="240"/>
        <w:jc w:val="both"/>
        <w:rPr>
          <w:rFonts w:ascii="Times New Roman" w:hAnsi="Times New Roman"/>
          <w:b w:val="false"/>
          <w:sz w:val="22"/>
        </w:rPr>
      </w:pPr>
      <w:r>
        <w:rPr>
          <w:rFonts w:ascii="Times New Roman" w:hAnsi="Times New Roman"/>
          <w:b w:val="false"/>
          <w:sz w:val="22"/>
        </w:rPr>
        <w:t>3.</w:t>
      </w:r>
    </w:p>
    <w:p>
      <w:pPr>
        <w:pStyle w:val="TextBody"/>
        <w:spacing w:before="0" w:after="240"/>
        <w:jc w:val="both"/>
        <w:rPr/>
      </w:pPr>
      <w:r>
        <w:rPr>
          <w:rFonts w:ascii="Times New Roman;serif" w:hAnsi="Times New Roman;serif"/>
          <w:b w:val="false"/>
          <w:sz w:val="22"/>
          <w:u w:val="single"/>
        </w:rPr>
        <w:t>Restrictions on Transfer</w:t>
      </w:r>
      <w:r>
        <w:rPr>
          <w:rFonts w:ascii="Times New Roman;serif" w:hAnsi="Times New Roman;serif"/>
          <w:b w:val="false"/>
          <w:sz w:val="22"/>
        </w:rPr>
        <w:t>. The Units may not be sold, assigned, transferred or pledged, other than by will or the laws of descent and distribution, and any such attempted transfer shall be void.</w:t>
      </w:r>
    </w:p>
    <w:p>
      <w:pPr>
        <w:pStyle w:val="TextBody"/>
        <w:spacing w:before="0" w:after="240"/>
        <w:jc w:val="both"/>
        <w:rPr>
          <w:rFonts w:ascii="Times New Roman" w:hAnsi="Times New Roman"/>
          <w:b w:val="false"/>
          <w:sz w:val="22"/>
        </w:rPr>
      </w:pPr>
      <w:r>
        <w:rPr>
          <w:rFonts w:ascii="Times New Roman" w:hAnsi="Times New Roman"/>
          <w:b w:val="false"/>
          <w:sz w:val="22"/>
        </w:rPr>
        <w:t>4.</w:t>
      </w:r>
    </w:p>
    <w:p>
      <w:pPr>
        <w:pStyle w:val="TextBody"/>
        <w:spacing w:before="0" w:after="240"/>
        <w:jc w:val="both"/>
        <w:rPr/>
      </w:pPr>
      <w:r>
        <w:rPr>
          <w:rFonts w:ascii="Times New Roman;serif" w:hAnsi="Times New Roman;serif"/>
          <w:b w:val="false"/>
          <w:sz w:val="22"/>
          <w:u w:val="single"/>
        </w:rPr>
        <w:t>Forfeiture and Early Vesting</w:t>
      </w:r>
      <w:r>
        <w:rPr>
          <w:rFonts w:ascii="Times New Roman;serif" w:hAnsi="Times New Roman;serif"/>
          <w:b w:val="false"/>
          <w:sz w:val="22"/>
        </w:rPr>
        <w:t xml:space="preserve">. </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val="false"/>
          <w:sz w:val="22"/>
          <w:u w:val="single"/>
        </w:rPr>
        <w:t>In General</w:t>
      </w:r>
      <w:r>
        <w:rPr>
          <w:rFonts w:ascii="Times New Roman;serif" w:hAnsi="Times New Roman;serif"/>
          <w:b w:val="false"/>
          <w:sz w:val="22"/>
        </w:rPr>
        <w:t xml:space="preserve">. All vesting set forth in Section 2 shall be subject to the Participant’s continued service with the Company or an Affiliate through the applicable vesting date(s). Any Units that are not vested pursuant to Section 2 or Section 4 hereof as of the date of the Participant’s termination of service with the Company or any Affiliate for any reason (other than due to death) shall be immediately and irrevocably forfeited. </w:t>
      </w:r>
    </w:p>
    <w:p>
      <w:pPr>
        <w:pStyle w:val="TextBody"/>
        <w:spacing w:before="0" w:after="0"/>
        <w:jc w:val="left"/>
        <w:rPr/>
      </w:pPr>
      <w:r>
        <w:rPr/>
        <w:t> </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1</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val="false"/>
          <w:sz w:val="22"/>
          <w:u w:val="single"/>
        </w:rPr>
        <w:t>Change in Control</w:t>
      </w:r>
      <w:r>
        <w:rPr>
          <w:rFonts w:ascii="Times New Roman;serif" w:hAnsi="Times New Roman;serif"/>
          <w:b w:val="false"/>
          <w:sz w:val="22"/>
        </w:rPr>
        <w:t xml:space="preserve">. If within 12 months following a Change in Control (as defined below), the Company terminates the Participant’s service with the Company for reasons other than for Cause, all Units granted hereunder not already forfeited under operation of this Section 4 shall become fully vested with all restrictions lifted, and be issued pursuant to Section 5(a) hereof. Upon forfeiture, Participant will no longer have any rights relating to the unvested Units. </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pPr>
      <w:r>
        <w:rPr>
          <w:rFonts w:ascii="Times New Roman;serif" w:hAnsi="Times New Roman;serif"/>
          <w:b w:val="false"/>
          <w:sz w:val="22"/>
          <w:u w:val="single"/>
        </w:rPr>
        <w:t xml:space="preserve">Death. </w:t>
      </w:r>
      <w:r>
        <w:rPr>
          <w:rFonts w:ascii="Times New Roman;serif" w:hAnsi="Times New Roman;serif"/>
          <w:b w:val="false"/>
          <w:sz w:val="22"/>
        </w:rPr>
        <w:t xml:space="preserve">In the event of the Participant’s death, all of the Units shall immediately vest as of the date of death. </w:t>
      </w:r>
    </w:p>
    <w:p>
      <w:pPr>
        <w:pStyle w:val="TextBody"/>
        <w:spacing w:before="0" w:after="240"/>
        <w:jc w:val="both"/>
        <w:rPr>
          <w:rFonts w:ascii="Times New Roman" w:hAnsi="Times New Roman"/>
          <w:b w:val="false"/>
          <w:sz w:val="22"/>
        </w:rPr>
      </w:pPr>
      <w:r>
        <w:rPr>
          <w:rFonts w:ascii="Times New Roman" w:hAnsi="Times New Roman"/>
          <w:b w:val="false"/>
          <w:sz w:val="22"/>
        </w:rPr>
        <w:t>5.</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For purposes of this Agreement:</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t>“</w:t>
      </w:r>
      <w:r>
        <w:rPr>
          <w:rFonts w:ascii="Times New Roman;serif" w:hAnsi="Times New Roman;serif"/>
          <w:b w:val="false"/>
          <w:i/>
          <w:sz w:val="22"/>
        </w:rPr>
        <w:t>Cause</w:t>
      </w:r>
      <w:r>
        <w:rPr/>
        <w:t xml:space="preserve">” </w:t>
      </w:r>
      <w:r>
        <w:rPr>
          <w:rFonts w:ascii="Times New Roman;serif" w:hAnsi="Times New Roman;serif"/>
          <w:b w:val="false"/>
          <w:sz w:val="22"/>
        </w:rPr>
        <w:t>shall mean a (i) repeated failure to competently and diligently perform duties of Participant’s position with the Company (other than due to physical or mental illness); (ii) conviction of guilty or nolo contendere plea to, a misdemeanor which is materially and demonstrably injurious to the Company or any of its subsidiaries or Affiliates, or any felony; (iii) commission of an act, or a failure to act, that constitutes fraud, gross negligence or willful misconduct (including without limitation, embezzlement, misappropriation or breach of fiduciary duty resulting or intending to result in personal gain at the expense of the Company or any of its subsidiaries); and (iv) violation of any applicable laws, rules or regulations or failure to comply with applicable confidentiality, non solicitation and non competition obligations to the Company or any of its subsidiaries, corporate code of business conduct or other material policies of the Company or any of its subsidiaries in connection with or during performance of the Participant’s duties to the Company or any of its subsidiaries that could, in the Board’s opinion, cause material injury to the Company or any of its subsidiaries; and (v) failure to maintain applicable professional licenses or certifications. In the case of a violation or failure under (i), (iv) or (v), if such violation or failure is curable, such violation or failure shall only constitute “</w:t>
      </w:r>
      <w:r>
        <w:rPr>
          <w:rFonts w:ascii="Times New Roman;serif" w:hAnsi="Times New Roman;serif"/>
          <w:b w:val="false"/>
          <w:i/>
          <w:sz w:val="22"/>
        </w:rPr>
        <w:t>Cause</w:t>
      </w:r>
      <w:r>
        <w:rPr/>
        <w:t xml:space="preserve">” </w:t>
      </w:r>
      <w:r>
        <w:rPr>
          <w:rFonts w:ascii="Times New Roman;serif" w:hAnsi="Times New Roman;serif"/>
          <w:b w:val="false"/>
          <w:sz w:val="22"/>
        </w:rPr>
        <w:t>if it is not cured within thirty (30) days after notice thereof to the Participant.</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t>“</w:t>
      </w:r>
      <w:r>
        <w:rPr>
          <w:rFonts w:ascii="Times New Roman;serif" w:hAnsi="Times New Roman;serif"/>
          <w:b w:val="false"/>
          <w:i/>
          <w:sz w:val="22"/>
        </w:rPr>
        <w:t>Change in Control</w:t>
      </w:r>
      <w:r>
        <w:rPr/>
        <w:t xml:space="preserve">” </w:t>
      </w:r>
      <w:r>
        <w:rPr>
          <w:rFonts w:ascii="Times New Roman;serif" w:hAnsi="Times New Roman;serif"/>
          <w:b w:val="false"/>
          <w:sz w:val="22"/>
        </w:rPr>
        <w:t xml:space="preserve">shall mean: </w:t>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pPr>
      <w:r>
        <w:rPr>
          <w:rFonts w:ascii="Times New Roman;serif" w:hAnsi="Times New Roman;serif"/>
          <w:b w:val="false"/>
          <w:sz w:val="22"/>
        </w:rPr>
        <w:t>the occurrence of any of the following events (each, a “Business Combination”): (a) the sale of securities of the Company representing 50% or more of the combined economic interests of the Company’s then outstanding equity securities on a combined, fully diluted basis in a single transaction or in a series of transactions occurring during a period of not more than twelve months to any “person” or group (within the meaning of Section 13(d)(3) or Section 14(d)(2) of the Exchange Act, or any successor provision), including any group acting for the purpose of acquiring, holding or disposing of securities (within the meaning of Rule 13d-5(b)(1) under the Exchange Act) (a “</w:t>
      </w:r>
      <w:r>
        <w:rPr>
          <w:rFonts w:ascii="Times New Roman;serif" w:hAnsi="Times New Roman;serif"/>
          <w:b/>
          <w:sz w:val="22"/>
        </w:rPr>
        <w:t>Person</w:t>
      </w:r>
      <w:r>
        <w:rPr/>
        <w:t>”</w:t>
      </w:r>
      <w:r>
        <w:rPr>
          <w:rFonts w:ascii="Times New Roman;serif" w:hAnsi="Times New Roman;serif"/>
          <w:b w:val="false"/>
          <w:sz w:val="22"/>
        </w:rPr>
        <w:t xml:space="preserve">) other than to a Qualified Affiliate or a Permitted Holder; (b) a Person becomes the beneficial owner, as defined in Rule 13d-3 under the Exchange Act, directly or indirectly, of securities representing 50% or more of the combined economic interests of the Company’s then outstanding equity securities, other than an acquisition by (1) one or more Qualified Affiliates or (2) a Permitted Holder; (c) the Company is merged, amalgamated or consolidated with another corporation; or (d) a sale of substantially all of the assets of the Company to another entity, unless, following any of the foregoing Business Combinations in (a) through (d) above, all or substantially all of the individuals and entities that were the beneficial owners of the Company’s outstanding voting securities immediately prior to such Business Combination beneficially own immediately after the transaction or transactions, directly or indirectly, securities representing 50% or more of the combined economic interests of the then outstanding voting equity securities (or comparable interests) of the entity resulting from such Business Combination (including an entity that, as a result of such transaction, owns the Company or all or substantially all of the Company’s assets either directly or through one or more Affiliates) in substantially the same proportions as their </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2</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ownership of the Company’s voting equity securities immediately prior to such Business Combination; or</w:t>
      </w:r>
    </w:p>
    <w:p>
      <w:pPr>
        <w:pStyle w:val="TextBody"/>
        <w:spacing w:before="0" w:after="240"/>
        <w:jc w:val="both"/>
        <w:rPr>
          <w:rFonts w:ascii="Times New Roman" w:hAnsi="Times New Roman"/>
          <w:b w:val="false"/>
          <w:sz w:val="22"/>
        </w:rPr>
      </w:pPr>
      <w:r>
        <w:rPr>
          <w:rFonts w:ascii="Times New Roman" w:hAnsi="Times New Roman"/>
          <w:b w:val="false"/>
          <w:sz w:val="22"/>
        </w:rPr>
        <w:t>(ii)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any twelve (12) month period, the individuals who, as of the beginning of the 12-month period, constitute the Board of Directors (the “Incumbent Board”) cease for any reason to constitute at least a majority of the Board of Directors; provided, however, that any individual becoming a director subsequent to the Effective Date whose election or appointment, or nomination for election by Company’s shareholders,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Notwithstanding the foregoing,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the ownership of a substantial portion of the assets” of the Company within the meaning of Section 409A of the Code.</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pPr>
      <w:r>
        <w:rPr/>
        <w:t>“</w:t>
      </w:r>
      <w:r>
        <w:rPr>
          <w:rFonts w:ascii="Times New Roman;serif" w:hAnsi="Times New Roman;serif"/>
          <w:b w:val="false"/>
          <w:i/>
          <w:sz w:val="22"/>
        </w:rPr>
        <w:t>Permitted Holder</w:t>
      </w:r>
      <w:r>
        <w:rPr/>
        <w:t xml:space="preserve">” </w:t>
      </w:r>
      <w:r>
        <w:rPr>
          <w:rFonts w:ascii="Times New Roman;serif" w:hAnsi="Times New Roman;serif"/>
          <w:b w:val="false"/>
          <w:sz w:val="22"/>
        </w:rPr>
        <w:t>shall mean any Person that includes Ben Kovler.</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pPr>
      <w:r>
        <w:rPr/>
        <w:t>“</w:t>
      </w:r>
      <w:r>
        <w:rPr>
          <w:rFonts w:ascii="Times New Roman;serif" w:hAnsi="Times New Roman;serif"/>
          <w:b w:val="false"/>
          <w:i/>
          <w:sz w:val="22"/>
        </w:rPr>
        <w:t>Qualified Affiliate</w:t>
      </w:r>
      <w:r>
        <w:rPr/>
        <w:t xml:space="preserve">” </w:t>
      </w:r>
      <w:r>
        <w:rPr>
          <w:rFonts w:ascii="Times New Roman;serif" w:hAnsi="Times New Roman;serif"/>
          <w:b w:val="false"/>
          <w:sz w:val="22"/>
        </w:rPr>
        <w:t>shall mean (i) any Person that is part of a controlled group or under common control with the Company; or (ii) any employee benefit plan (or related trust) sponsored or maintained by the Company or by any entity controlled by the Company.</w:t>
      </w:r>
    </w:p>
    <w:p>
      <w:pPr>
        <w:pStyle w:val="TextBody"/>
        <w:spacing w:before="0" w:after="240"/>
        <w:jc w:val="both"/>
        <w:rPr>
          <w:rFonts w:ascii="Times New Roman" w:hAnsi="Times New Roman"/>
          <w:b w:val="false"/>
          <w:sz w:val="22"/>
        </w:rPr>
      </w:pPr>
      <w:r>
        <w:rPr>
          <w:rFonts w:ascii="Times New Roman" w:hAnsi="Times New Roman"/>
          <w:b w:val="false"/>
          <w:sz w:val="22"/>
        </w:rPr>
        <w:t>6.</w:t>
      </w:r>
    </w:p>
    <w:p>
      <w:pPr>
        <w:pStyle w:val="TextBody"/>
        <w:spacing w:before="0" w:after="240"/>
        <w:jc w:val="both"/>
        <w:rPr/>
      </w:pPr>
      <w:r>
        <w:rPr>
          <w:rFonts w:ascii="Times New Roman;serif" w:hAnsi="Times New Roman;serif"/>
          <w:b w:val="false"/>
          <w:sz w:val="22"/>
          <w:u w:val="single"/>
        </w:rPr>
        <w:t>Miscellaneous</w:t>
      </w:r>
      <w:r>
        <w:rPr>
          <w:rFonts w:ascii="Times New Roman;serif" w:hAnsi="Times New Roman;serif"/>
          <w:b w:val="false"/>
          <w:sz w:val="22"/>
        </w:rPr>
        <w:t>.</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val="false"/>
          <w:sz w:val="22"/>
          <w:u w:val="single"/>
        </w:rPr>
        <w:t>Issuance of Shares</w:t>
      </w:r>
      <w:r>
        <w:rPr>
          <w:rFonts w:ascii="Times New Roman;serif" w:hAnsi="Times New Roman;serif"/>
          <w:b w:val="false"/>
          <w:sz w:val="22"/>
        </w:rPr>
        <w:t>. As soon as administratively practicable following the Participant’s vesting date under Section 2 or Section 4 hereof, as applicable, and the Participant’s satisfaction of any required Withholding Obligations (but in no event later than 60 days following the vesting date), the Company shall cause to be issued and delivered to the Participant a certificate or certificates evidencing Shares registered in the name of the Participant (or in the name of the Participant’s legal representatives, beneficiaries or heirs, as the case may be) or to instruct the Company’s transfer agent to electronically deliver such shares to the respective Participant. The number of Shares issued shall equal the number of Units vested, reduced as necessary to cover applicable withholding obligations in accordance with Section 5(c) hereof. If it is administratively impracticable to issue Shares within the time frame described above because issuances of Shares are prohibited or restricted pursuant to the policies of the Company that are reasonably designed to ensure compliance with applicable securities laws or stock exchange rules, then such issuance shall be delayed until such prohibitions or restrictions lapse.</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val="false"/>
          <w:sz w:val="22"/>
          <w:u w:val="single"/>
        </w:rPr>
        <w:t>Rights as Shareholder</w:t>
      </w:r>
      <w:r>
        <w:rPr>
          <w:rFonts w:ascii="Times New Roman;serif" w:hAnsi="Times New Roman;serif"/>
          <w:b w:val="false"/>
          <w:sz w:val="22"/>
        </w:rPr>
        <w:t>. Units are not actual Shares, but rather, represent a right to receive Shares according to the terms and conditions set forth herein and the terms of the Plan. Accordingly, the issuance of a Unit shall not entitle the Participant to any of the rights or benefits generally accorded to stockholders unless and until a Share is actually issued under Section 5(a) hereof and the Shares in question have been registered in the Company’s register of shareholders.</w:t>
      </w:r>
    </w:p>
    <w:p>
      <w:pPr>
        <w:pStyle w:val="TextBody"/>
        <w:spacing w:before="0" w:after="0"/>
        <w:jc w:val="left"/>
        <w:rPr/>
      </w:pPr>
      <w:r>
        <w:rPr/>
        <w:t> </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3</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pPr>
      <w:r>
        <w:rPr>
          <w:rFonts w:ascii="Times New Roman;serif" w:hAnsi="Times New Roman;serif"/>
          <w:b w:val="false"/>
          <w:sz w:val="22"/>
          <w:u w:val="single"/>
        </w:rPr>
        <w:t>Taxes</w:t>
      </w:r>
      <w:r>
        <w:rPr>
          <w:rFonts w:ascii="Times New Roman;serif" w:hAnsi="Times New Roman;serif"/>
          <w:b w:val="false"/>
          <w:sz w:val="22"/>
        </w:rPr>
        <w:t>. The Participant hereby agrees to make adequate provision for any sums required to satisfy the applicable federal, state, local or foreign employment, social insurance, payroll, income or other tax withholding obligations (the “</w:t>
      </w:r>
      <w:r>
        <w:rPr>
          <w:rFonts w:ascii="Times New Roman;serif" w:hAnsi="Times New Roman;serif"/>
          <w:b w:val="false"/>
          <w:i/>
          <w:sz w:val="22"/>
          <w:u w:val="single"/>
        </w:rPr>
        <w:t>Withholding Obligations</w:t>
      </w:r>
      <w:r>
        <w:rPr/>
        <w:t>”</w:t>
      </w:r>
      <w:r>
        <w:rPr>
          <w:rFonts w:ascii="Times New Roman;serif" w:hAnsi="Times New Roman;serif"/>
          <w:b w:val="false"/>
          <w:sz w:val="22"/>
        </w:rPr>
        <w:t>) that arise in connection with this Agreement. The Company may establish procedures to ensure satisfaction of all applicable Withholding Obligations arising in connection with this Agreement, including any means permitted in Section 8 of the Plan. Notwithstanding anything else contained herein and except as otherwise determined by the Committee, the Withholding Obligations shall be satisfied by selling on the Participant’s behalf (using any brokerage firm determined acceptable to the Company for such purpose) a portion of the Securities issued in payment of the Units as the Company determines to be appropriate to generate cash proceeds sufficient to satisfy the Withholding Obligations. To the extent permitted by the Committee, the Participant hereby authorizes the Company, at its sole discretion and subject to any limitations under applicable law, to satisfy any such Tax Obligations by (1) withholding a portion of the Shares otherwise to be issued in payment of the Units having a value equal to the amount of Withholding Obligation in accordance with such rules as the Company may from time to time establish; or (2) withholding from the wages and other cash compensation payable to the Participant or by causing the Participant to tender a cash payment or other Shares to the Company. The Participant shall be responsible for all brokerage fees and other costs of sale, and the Participant further agrees to indemnify and hold the Company harmless from any losses, costs, damages or expenses relating to any such sale. The Company may refuse to deliver Shares if the Participant fails to comply with the Participant’s obligations in connection with the Withholding Obligations described in this paragraph. The Participant agrees to pay to the Company or its applicable Affiliate, any amount of Withholding Obligations that the Company or its applicable Affiliate may be required to withhold or account for as a result of Participant’s participation in the Plan that cannot be satisfied by the means described in this Agreement. The Company may refuse to issue or deliver the Shares, cash or the proceeds of the sale of Shares, if the Participant fails to comply with the Participant’s obligations in connection with the Withholding Obligations.</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pPr>
      <w:r>
        <w:rPr>
          <w:rFonts w:ascii="Times New Roman;serif" w:hAnsi="Times New Roman;serif"/>
          <w:b w:val="false"/>
          <w:sz w:val="22"/>
          <w:u w:val="single"/>
        </w:rPr>
        <w:t>Award Subject to Plan</w:t>
      </w:r>
      <w:r>
        <w:rPr>
          <w:rFonts w:ascii="Times New Roman;serif" w:hAnsi="Times New Roman;serif"/>
          <w:b w:val="false"/>
          <w:sz w:val="22"/>
        </w:rPr>
        <w:t>. This Award is subject to the terms and conditions of the Plan, but the terms of the Plan shall not be considered an enlargement of any benefits under this Agreement. In addition, this Award is subject to the rules and regulations promulgated pursuant to the Plan, now or hereafter in effect. Participant acknowledges receipt of a copy of the Plan.</w:t>
      </w:r>
    </w:p>
    <w:p>
      <w:pPr>
        <w:pStyle w:val="TextBody"/>
        <w:spacing w:before="0" w:after="240"/>
        <w:jc w:val="both"/>
        <w:rPr>
          <w:rFonts w:ascii="Times New Roman" w:hAnsi="Times New Roman"/>
          <w:b w:val="false"/>
          <w:sz w:val="22"/>
        </w:rPr>
      </w:pPr>
      <w:r>
        <w:rPr>
          <w:rFonts w:ascii="Times New Roman" w:hAnsi="Times New Roman"/>
          <w:b w:val="false"/>
          <w:sz w:val="22"/>
        </w:rPr>
        <w:t>(e)</w:t>
      </w:r>
    </w:p>
    <w:p>
      <w:pPr>
        <w:pStyle w:val="TextBody"/>
        <w:spacing w:before="0" w:after="240"/>
        <w:jc w:val="both"/>
        <w:rPr/>
      </w:pPr>
      <w:r>
        <w:rPr>
          <w:rFonts w:ascii="Times New Roman;serif" w:hAnsi="Times New Roman;serif"/>
          <w:b w:val="false"/>
          <w:sz w:val="22"/>
          <w:u w:val="single"/>
        </w:rPr>
        <w:t>No Right to Continued Service</w:t>
      </w:r>
      <w:r>
        <w:rPr>
          <w:rFonts w:ascii="Times New Roman;serif" w:hAnsi="Times New Roman;serif"/>
          <w:b w:val="false"/>
          <w:sz w:val="22"/>
        </w:rPr>
        <w:t xml:space="preserve">. This Agreement shall not confer on the Participant any right with respect to continuance of service to the Company, nor will it interfere in any way with the right of the Company to terminate such service at any time. Any questions as to whether and when there has been a termination of service and the cause of such termination shall be determined in the sole discretion of the Committee. </w:t>
      </w:r>
    </w:p>
    <w:p>
      <w:pPr>
        <w:pStyle w:val="TextBody"/>
        <w:spacing w:before="0" w:after="240"/>
        <w:jc w:val="both"/>
        <w:rPr>
          <w:rFonts w:ascii="Times New Roman" w:hAnsi="Times New Roman"/>
          <w:b w:val="false"/>
          <w:sz w:val="22"/>
        </w:rPr>
      </w:pPr>
      <w:r>
        <w:rPr>
          <w:rFonts w:ascii="Times New Roman" w:hAnsi="Times New Roman"/>
          <w:b w:val="false"/>
          <w:sz w:val="22"/>
        </w:rPr>
        <w:t>(f)</w:t>
      </w:r>
    </w:p>
    <w:p>
      <w:pPr>
        <w:pStyle w:val="TextBody"/>
        <w:spacing w:before="0" w:after="240"/>
        <w:jc w:val="both"/>
        <w:rPr/>
      </w:pPr>
      <w:r>
        <w:rPr>
          <w:rFonts w:ascii="Times New Roman;serif" w:hAnsi="Times New Roman;serif"/>
          <w:b w:val="false"/>
          <w:sz w:val="22"/>
          <w:u w:val="single"/>
        </w:rPr>
        <w:t>Governing Law</w:t>
      </w:r>
      <w:r>
        <w:rPr>
          <w:rFonts w:ascii="Times New Roman;serif" w:hAnsi="Times New Roman;serif"/>
          <w:b w:val="false"/>
          <w:sz w:val="22"/>
        </w:rPr>
        <w:t>. The validity, construction and effect of the Plan and the Agreement, and any rules and regulations relating to the Plan and the Agreement, shall be determined in accordance with the internal laws, and not the law of conflicts, of the State of Delaware.</w:t>
      </w:r>
    </w:p>
    <w:p>
      <w:pPr>
        <w:pStyle w:val="TextBody"/>
        <w:spacing w:before="0" w:after="240"/>
        <w:jc w:val="both"/>
        <w:rPr>
          <w:rFonts w:ascii="Times New Roman" w:hAnsi="Times New Roman"/>
          <w:b w:val="false"/>
          <w:sz w:val="22"/>
        </w:rPr>
      </w:pPr>
      <w:r>
        <w:rPr>
          <w:rFonts w:ascii="Times New Roman" w:hAnsi="Times New Roman"/>
          <w:b w:val="false"/>
          <w:sz w:val="22"/>
        </w:rPr>
        <w:t>(g)</w:t>
      </w:r>
    </w:p>
    <w:p>
      <w:pPr>
        <w:pStyle w:val="TextBody"/>
        <w:spacing w:before="0" w:after="240"/>
        <w:jc w:val="both"/>
        <w:rPr/>
      </w:pPr>
      <w:r>
        <w:rPr>
          <w:rFonts w:ascii="Times New Roman;serif" w:hAnsi="Times New Roman;serif"/>
          <w:b w:val="false"/>
          <w:sz w:val="22"/>
          <w:u w:val="single"/>
        </w:rPr>
        <w:t>Severability</w:t>
      </w:r>
      <w:r>
        <w:rPr>
          <w:rFonts w:ascii="Times New Roman;serif" w:hAnsi="Times New Roman;serif"/>
          <w:b w:val="false"/>
          <w:sz w:val="22"/>
        </w:rPr>
        <w:t>. If any provision of the Agreement is or becomes or is deemed to be invalid, illegal or unenforceable in any jurisdiction or would disqualify the Agreement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Agreement, such provision shall be stricken as to such jurisdiction or the Agreement, and the remainder of the Agreement shall remain in full force and effect.</w:t>
      </w:r>
    </w:p>
    <w:p>
      <w:pPr>
        <w:pStyle w:val="TextBody"/>
        <w:spacing w:before="0" w:after="240"/>
        <w:jc w:val="both"/>
        <w:rPr>
          <w:rFonts w:ascii="Times New Roman" w:hAnsi="Times New Roman"/>
          <w:b w:val="false"/>
          <w:sz w:val="22"/>
        </w:rPr>
      </w:pPr>
      <w:r>
        <w:rPr>
          <w:rFonts w:ascii="Times New Roman" w:hAnsi="Times New Roman"/>
          <w:b w:val="false"/>
          <w:sz w:val="22"/>
        </w:rPr>
        <w:t>(h)</w:t>
      </w:r>
    </w:p>
    <w:p>
      <w:pPr>
        <w:pStyle w:val="TextBody"/>
        <w:spacing w:before="0" w:after="240"/>
        <w:jc w:val="both"/>
        <w:rPr/>
      </w:pPr>
      <w:r>
        <w:rPr>
          <w:rFonts w:ascii="Times New Roman;serif" w:hAnsi="Times New Roman;serif"/>
          <w:b w:val="false"/>
          <w:sz w:val="22"/>
          <w:u w:val="single"/>
        </w:rPr>
        <w:t>No Trust or Fund Created</w:t>
      </w:r>
      <w:r>
        <w:rPr>
          <w:rFonts w:ascii="Times New Roman;serif" w:hAnsi="Times New Roman;serif"/>
          <w:b w:val="false"/>
          <w:sz w:val="22"/>
        </w:rPr>
        <w:t>. Neither the Plan nor the Agreement shall create or be construed to create a trust or separate fund of any kind or a fiduciary relationship between the Company or any Affiliate and Participant or any other person.</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4</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pPr>
      <w:r>
        <w:rPr>
          <w:rFonts w:ascii="Times New Roman;serif" w:hAnsi="Times New Roman;serif"/>
          <w:b w:val="false"/>
          <w:sz w:val="22"/>
          <w:u w:val="single"/>
        </w:rPr>
        <w:t>Section 409A Provisions</w:t>
      </w:r>
      <w:r>
        <w:rPr>
          <w:rFonts w:ascii="Times New Roman;serif" w:hAnsi="Times New Roman;serif"/>
          <w:b w:val="false"/>
          <w:sz w:val="22"/>
        </w:rPr>
        <w:t>. The payment of Shares under this Agreement are intended to be exempt from the application of section 409A of the Internal Revenue Code, as amended (“</w:t>
      </w:r>
      <w:r>
        <w:rPr>
          <w:rFonts w:ascii="Times New Roman;serif" w:hAnsi="Times New Roman;serif"/>
          <w:b w:val="false"/>
          <w:i/>
          <w:sz w:val="22"/>
        </w:rPr>
        <w:t>Section 409A</w:t>
      </w:r>
      <w:r>
        <w:rPr/>
        <w:t>”</w:t>
      </w:r>
      <w:r>
        <w:rPr>
          <w:rFonts w:ascii="Times New Roman;serif" w:hAnsi="Times New Roman;serif"/>
          <w:b w:val="false"/>
          <w:sz w:val="22"/>
        </w:rPr>
        <w:t xml:space="preserve">) by reason of the short-term deferral exemption set forth in Treasury Regulation §1.409A-1(b)(4). Notwithstanding anything in the Plan or this Agreement to the contrary, to the extent that any amount or benefit hereunder that constitutes “deferred compensation” to the Participant under section 409A and applicable guidance thereunder is otherwise payable or distributable to the Participant under the Plan or this Agreement solely by reason of the occurrence of a Change in Control or due to the Participant’s Disability or termination of employment, such amount or benefit will not be payable or distributable to the Participant by reason of such circumstance unless the Committee determines in good faith that (i) the circumstances giving rise to such Change in Control, Disability or separation from service meet the definition of a change in ownership or control, disability, or separation from service, as the case may be, in Section 409A(a)(2)(A) of the Code and applicable final regulations, or (ii) the payment or distribution of such amount or benefit would be exempt from the application of Section 409A by reason of the short-term deferral exemption or otherwise (including, but not limited to, a payment made pursuant to an involuntary separation arrangement that is exempt from Section 409A under the “short-term deferral” exception). Any payment or distribution that otherwise would be made to a Participant who is a specified employee as defined in Section 409A(a)(2)(B) of the Code on account of separation from service may not be made before the date which is six months after the date of the specified employee’s separation from service (or if earlier, upon the specified employee’s death) unless the payment or distribution is exempt from the application of Section 409A by reason of the short term deferral exemption or otherwise. </w:t>
      </w:r>
    </w:p>
    <w:p>
      <w:pPr>
        <w:pStyle w:val="TextBody"/>
        <w:spacing w:before="0" w:after="240"/>
        <w:jc w:val="both"/>
        <w:rPr>
          <w:rFonts w:ascii="Times New Roman" w:hAnsi="Times New Roman"/>
          <w:b w:val="false"/>
          <w:sz w:val="22"/>
        </w:rPr>
      </w:pPr>
      <w:r>
        <w:rPr>
          <w:rFonts w:ascii="Times New Roman" w:hAnsi="Times New Roman"/>
          <w:b w:val="false"/>
          <w:sz w:val="22"/>
        </w:rPr>
        <w:t>(j)</w:t>
      </w:r>
    </w:p>
    <w:p>
      <w:pPr>
        <w:pStyle w:val="TextBody"/>
        <w:spacing w:before="0" w:after="240"/>
        <w:jc w:val="both"/>
        <w:rPr/>
      </w:pPr>
      <w:r>
        <w:rPr>
          <w:rFonts w:ascii="Times New Roman;serif" w:hAnsi="Times New Roman;serif"/>
          <w:b w:val="false"/>
          <w:sz w:val="22"/>
          <w:u w:val="single"/>
        </w:rPr>
        <w:t>Insider Trading / Market Abuse Laws</w:t>
      </w:r>
      <w:r>
        <w:rPr>
          <w:rFonts w:ascii="Times New Roman;serif" w:hAnsi="Times New Roman;serif"/>
          <w:b w:val="false"/>
          <w:sz w:val="22"/>
        </w:rPr>
        <w:t>. By participating in the Plan, the Participant agrees to comply with the Company’s policy on insider trading as in effect at any given time. The Participant further acknowledges that the Participant may be subject to local insider trading and/or market abuse laws and regulations that are separate from and in addition to any restrictions that may be imposed under any applicable Company insider trading policy. The Participant acknowledges that it is the Participant’s personal responsibility to comply with any applicable restrictions, and that the Participant should consult the Participant’s personal advisor on this matter.</w:t>
      </w:r>
    </w:p>
    <w:p>
      <w:pPr>
        <w:pStyle w:val="TextBody"/>
        <w:spacing w:before="0" w:after="240"/>
        <w:jc w:val="both"/>
        <w:rPr>
          <w:rFonts w:ascii="Times New Roman" w:hAnsi="Times New Roman"/>
          <w:b w:val="false"/>
          <w:sz w:val="22"/>
        </w:rPr>
      </w:pPr>
      <w:r>
        <w:rPr>
          <w:rFonts w:ascii="Times New Roman" w:hAnsi="Times New Roman"/>
          <w:b w:val="false"/>
          <w:sz w:val="22"/>
        </w:rPr>
        <w:t>(k)</w:t>
      </w:r>
    </w:p>
    <w:p>
      <w:pPr>
        <w:pStyle w:val="TextBody"/>
        <w:spacing w:before="0" w:after="240"/>
        <w:jc w:val="both"/>
        <w:rPr/>
      </w:pPr>
      <w:r>
        <w:rPr>
          <w:rFonts w:ascii="Times New Roman;serif" w:hAnsi="Times New Roman;serif"/>
          <w:b w:val="false"/>
          <w:sz w:val="22"/>
          <w:u w:val="single"/>
        </w:rPr>
        <w:t>Electronic Delivery</w:t>
      </w:r>
      <w:r>
        <w:rPr>
          <w:rFonts w:ascii="Times New Roman;serif" w:hAnsi="Times New Roman;serif"/>
          <w:b w:val="false"/>
          <w:sz w:val="22"/>
        </w:rPr>
        <w:t>. The Company may, in its sole discretion, deliver by electronic means any documents related to the Units or the Participant’s future participation in the Plan. The Participant hereby consents to receive such documents by electronic delivery and agrees to participate in the Plan through an on-line or electronic system established and maintained by the Company or a third party designated by the Company. To the extent that this Agreement is manually signed, instead of electronically accepted by the Participant (if permitted by the Company), it may be signed in counterparts, each of which shall be deemed an original, with the same effect as if the signatures thereto and hereto were upon the same instrument.</w:t>
      </w:r>
    </w:p>
    <w:p>
      <w:pPr>
        <w:pStyle w:val="TextBody"/>
        <w:spacing w:before="0" w:after="240"/>
        <w:jc w:val="both"/>
        <w:rPr>
          <w:rFonts w:ascii="Times New Roman" w:hAnsi="Times New Roman"/>
          <w:b w:val="false"/>
          <w:sz w:val="22"/>
        </w:rPr>
      </w:pPr>
      <w:r>
        <w:rPr>
          <w:rFonts w:ascii="Times New Roman" w:hAnsi="Times New Roman"/>
          <w:b w:val="false"/>
          <w:sz w:val="22"/>
        </w:rPr>
        <w:t>(l)</w:t>
      </w:r>
    </w:p>
    <w:p>
      <w:pPr>
        <w:pStyle w:val="TextBody"/>
        <w:spacing w:before="0" w:after="240"/>
        <w:jc w:val="both"/>
        <w:rPr/>
      </w:pPr>
      <w:r>
        <w:rPr>
          <w:rFonts w:ascii="Times New Roman;serif" w:hAnsi="Times New Roman;serif"/>
          <w:b w:val="false"/>
          <w:sz w:val="22"/>
          <w:u w:val="single"/>
        </w:rPr>
        <w:t>Legend on Certificates</w:t>
      </w:r>
      <w:r>
        <w:rPr>
          <w:rFonts w:ascii="Times New Roman;serif" w:hAnsi="Times New Roman;serif"/>
          <w:b w:val="false"/>
          <w:sz w:val="22"/>
        </w:rPr>
        <w:t>. Any Shares issued or transferred to the Participant pursuant to this Agreement shall be subject to such stop transfer orders and other restrictions as the Board of Directors of the Company or the Compensation Committee thereof may deem advisable under the Plan or the rules, regulations, and other requirements of the U.S. Securities and Exchange Commission, the British Columbia Securities Commission, or any other applicable regulator, or any stock exchange upon which such Shares are listed, any applicable Canadian Federal or provincial, or U.S. Federal or state laws or relevant securities laws of the jurisdiction of the domicile of the Participant or to ensure compliance with any additional transfer restrictions that may be in effect from time to time, and the Board of Directors of the Company or the Compensation Committee thereof may cause a legend or legends to be put on any certificates representing such Shares to make appropriate reference to such restrictions.</w:t>
      </w:r>
    </w:p>
    <w:p>
      <w:pPr>
        <w:pStyle w:val="TextBody"/>
        <w:spacing w:before="0" w:after="0"/>
        <w:jc w:val="left"/>
        <w:rPr/>
      </w:pPr>
      <w:r>
        <w:rPr/>
        <w:t> </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5</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(m)</w:t>
      </w:r>
    </w:p>
    <w:p>
      <w:pPr>
        <w:pStyle w:val="TextBody"/>
        <w:spacing w:before="0" w:after="240"/>
        <w:jc w:val="both"/>
        <w:rPr/>
      </w:pPr>
      <w:r>
        <w:rPr>
          <w:rFonts w:ascii="Times New Roman;serif" w:hAnsi="Times New Roman;serif"/>
          <w:b w:val="false"/>
          <w:sz w:val="22"/>
          <w:u w:val="single"/>
        </w:rPr>
        <w:t>Rule 16b-3</w:t>
      </w:r>
      <w:r>
        <w:rPr>
          <w:rFonts w:ascii="Times New Roman;serif" w:hAnsi="Times New Roman;serif"/>
          <w:b w:val="false"/>
          <w:sz w:val="22"/>
        </w:rPr>
        <w:t>. If the Participant has been designated by the Company’s Board of Directors as a “Section 16 Officer” as of the Date of Grant, the grant of the Units to the Participant hereunder is intended to be exempt from the provisions of Section 16(b) of the Securities Exchange Act of 1934, as amended from time to time (the “</w:t>
      </w:r>
      <w:r>
        <w:rPr>
          <w:rFonts w:ascii="Times New Roman;serif" w:hAnsi="Times New Roman;serif"/>
          <w:b w:val="false"/>
          <w:i/>
          <w:sz w:val="22"/>
        </w:rPr>
        <w:t>Exchange Act</w:t>
      </w:r>
      <w:r>
        <w:rPr/>
        <w:t>”</w:t>
      </w:r>
      <w:r>
        <w:rPr>
          <w:rFonts w:ascii="Times New Roman;serif" w:hAnsi="Times New Roman;serif"/>
          <w:b w:val="false"/>
          <w:sz w:val="22"/>
        </w:rPr>
        <w:t>) pursuant to Rule 16b-3 promulgated under the Exchange Act.</w:t>
      </w:r>
    </w:p>
    <w:p>
      <w:pPr>
        <w:pStyle w:val="TextBody"/>
        <w:spacing w:before="0" w:after="240"/>
        <w:jc w:val="both"/>
        <w:rPr>
          <w:rFonts w:ascii="Times New Roman" w:hAnsi="Times New Roman"/>
          <w:b w:val="false"/>
          <w:sz w:val="22"/>
        </w:rPr>
      </w:pPr>
      <w:r>
        <w:rPr>
          <w:rFonts w:ascii="Times New Roman" w:hAnsi="Times New Roman"/>
          <w:b w:val="false"/>
          <w:sz w:val="22"/>
        </w:rPr>
        <w:t>(n)</w:t>
      </w:r>
    </w:p>
    <w:p>
      <w:pPr>
        <w:pStyle w:val="TextBody"/>
        <w:spacing w:before="0" w:after="240"/>
        <w:jc w:val="both"/>
        <w:rPr/>
      </w:pPr>
      <w:r>
        <w:rPr>
          <w:rFonts w:ascii="Times New Roman;serif" w:hAnsi="Times New Roman;serif"/>
          <w:b w:val="false"/>
          <w:sz w:val="22"/>
          <w:u w:val="single"/>
        </w:rPr>
        <w:t>Headings</w:t>
      </w:r>
      <w:r>
        <w:rPr>
          <w:rFonts w:ascii="Times New Roman;serif" w:hAnsi="Times New Roman;serif"/>
          <w:b w:val="false"/>
          <w:sz w:val="22"/>
        </w:rPr>
        <w:t>. Headings are given to the Sections and subsections of the Agreement solely as a convenience to facilitate reference. Such headings shall not be deemed in any way material or relevant to the construction or interpretation of the Agreement or any provision thereof.</w:t>
      </w:r>
    </w:p>
    <w:p>
      <w:pPr>
        <w:pStyle w:val="TextBody"/>
        <w:spacing w:before="0" w:after="240"/>
        <w:jc w:val="both"/>
        <w:rPr>
          <w:rFonts w:ascii="Times New Roman" w:hAnsi="Times New Roman"/>
          <w:b w:val="false"/>
          <w:sz w:val="22"/>
        </w:rPr>
      </w:pPr>
      <w:r>
        <w:rPr>
          <w:rFonts w:ascii="Times New Roman" w:hAnsi="Times New Roman"/>
          <w:b w:val="false"/>
          <w:sz w:val="22"/>
        </w:rPr>
        <w:t>(o)</w:t>
      </w:r>
    </w:p>
    <w:p>
      <w:pPr>
        <w:pStyle w:val="TextBody"/>
        <w:spacing w:before="0" w:after="240"/>
        <w:jc w:val="both"/>
        <w:rPr/>
      </w:pPr>
      <w:r>
        <w:rPr>
          <w:rFonts w:ascii="Times New Roman;serif" w:hAnsi="Times New Roman;serif"/>
          <w:b w:val="false"/>
          <w:sz w:val="22"/>
          <w:u w:val="single"/>
        </w:rPr>
        <w:t>Compliance with Laws</w:t>
      </w:r>
      <w:r>
        <w:rPr>
          <w:rFonts w:ascii="Times New Roman;serif" w:hAnsi="Times New Roman;serif"/>
          <w:b w:val="false"/>
          <w:i/>
          <w:sz w:val="22"/>
        </w:rPr>
        <w:t>.</w:t>
      </w:r>
      <w:r>
        <w:rPr/>
        <w:t xml:space="preserve"> </w:t>
      </w:r>
      <w:r>
        <w:rPr>
          <w:rFonts w:ascii="Times New Roman;serif" w:hAnsi="Times New Roman;serif"/>
          <w:b w:val="false"/>
          <w:sz w:val="22"/>
        </w:rPr>
        <w:t>The issuance of the Shares upon settlement of the Units pursuant to this Agreement shall be subject to, and shall comply with, any applicable requirements of any Canadian Federal or provincial, or U.S. Federal or state securities laws, rules and regulations (including, without limitation, the provisions of the CSE, the Securities Act, the Exchange Act and in each case any respective rules and regulations promulgated thereunder) and any other law or regulation applicable thereto. The Company shall not be obligated to issue any Shares pursuant to this Agreement if any such issuance would violate any such requirements.</w:t>
      </w:r>
    </w:p>
    <w:p>
      <w:pPr>
        <w:pStyle w:val="TextBody"/>
        <w:spacing w:before="0" w:after="240"/>
        <w:jc w:val="both"/>
        <w:rPr>
          <w:rFonts w:ascii="Times New Roman" w:hAnsi="Times New Roman"/>
          <w:b w:val="false"/>
          <w:sz w:val="22"/>
        </w:rPr>
      </w:pPr>
      <w:r>
        <w:rPr>
          <w:rFonts w:ascii="Times New Roman" w:hAnsi="Times New Roman"/>
          <w:b w:val="false"/>
          <w:sz w:val="22"/>
        </w:rPr>
        <w:t>(p)</w:t>
      </w:r>
    </w:p>
    <w:p>
      <w:pPr>
        <w:pStyle w:val="TextBody"/>
        <w:spacing w:before="0" w:after="240"/>
        <w:jc w:val="both"/>
        <w:rPr/>
      </w:pPr>
      <w:r>
        <w:rPr>
          <w:rFonts w:ascii="Times New Roman;serif" w:hAnsi="Times New Roman;serif"/>
          <w:b w:val="false"/>
          <w:sz w:val="22"/>
          <w:u w:val="single"/>
        </w:rPr>
        <w:t>Entire Agreement; Amendment</w:t>
      </w:r>
      <w:r>
        <w:rPr>
          <w:rFonts w:ascii="Times New Roman;serif" w:hAnsi="Times New Roman;serif"/>
          <w:b w:val="false"/>
          <w:sz w:val="22"/>
        </w:rPr>
        <w:t>.</w:t>
      </w:r>
      <w:r>
        <w:rPr/>
        <w:t xml:space="preserve"> </w:t>
      </w:r>
      <w:r>
        <w:rPr>
          <w:rFonts w:ascii="Times New Roman;serif" w:hAnsi="Times New Roman;serif"/>
          <w:b w:val="false"/>
          <w:sz w:val="22"/>
        </w:rPr>
        <w:t xml:space="preserve">This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The Committee shall have the right, in its sole discretion, to modify or amend this Agreement from time to time in accordance with and as provided in the Plan. This Agreement may also be modified or amended by a writing signed by both the Company and the Participant. </w:t>
      </w:r>
    </w:p>
    <w:p>
      <w:pPr>
        <w:pStyle w:val="TextBody"/>
        <w:spacing w:before="0" w:after="240"/>
        <w:jc w:val="both"/>
        <w:rPr>
          <w:rFonts w:ascii="Times New Roman" w:hAnsi="Times New Roman"/>
          <w:sz w:val="20"/>
        </w:rPr>
      </w:pPr>
      <w:r>
        <w:rPr>
          <w:rFonts w:ascii="Times New Roman;serif" w:hAnsi="Times New Roman;serif"/>
          <w:b/>
          <w:sz w:val="22"/>
        </w:rPr>
        <w:t>IN WITNESS WHEREOF</w:t>
      </w:r>
      <w:r>
        <w:rPr>
          <w:rFonts w:ascii="Times New Roman;serif" w:hAnsi="Times New Roman;serif"/>
          <w:b w:val="false"/>
          <w:sz w:val="22"/>
        </w:rPr>
        <w:t>, the Company and Participant have executed this Agreement on the date set forth in the first paragraph.</w:t>
      </w:r>
    </w:p>
    <w:p>
      <w:pPr>
        <w:pStyle w:val="TextBody"/>
        <w:spacing w:before="0" w:after="240"/>
        <w:jc w:val="left"/>
        <w:rPr>
          <w:rFonts w:ascii="Times New Roman;serif" w:hAnsi="Times New Roman;serif"/>
          <w:b/>
          <w:sz w:val="22"/>
        </w:rPr>
      </w:pPr>
      <w:r>
        <w:rPr>
          <w:rFonts w:ascii="Times New Roman;serif" w:hAnsi="Times New Roman;serif"/>
          <w:b/>
          <w:sz w:val="22"/>
        </w:rPr>
        <w:t>GREEN THUMB INDUSTRIES INC.</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By: ______________________________________</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[NAME]</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[TITLE]</w:t>
      </w:r>
    </w:p>
    <w:p>
      <w:pPr>
        <w:pStyle w:val="TextBody"/>
        <w:spacing w:before="0" w:after="240"/>
        <w:jc w:val="left"/>
        <w:rPr>
          <w:rFonts w:ascii="Times New Roman;serif" w:hAnsi="Times New Roman;serif"/>
          <w:b/>
          <w:sz w:val="22"/>
        </w:rPr>
      </w:pPr>
      <w:r>
        <w:rPr>
          <w:rFonts w:ascii="Times New Roman;serif" w:hAnsi="Times New Roman;serif"/>
          <w:b/>
          <w:sz w:val="22"/>
        </w:rPr>
        <w:t>PARTICIPANT</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Print Name: ______________________________</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6</w:t>
      </w:r>
    </w:p>
    <w:p>
      <w:pPr>
        <w:pStyle w:val="HorizontalLine"/>
        <w:rPr/>
      </w:pPr>
      <w:r>
        <w:rPr/>
      </w:r>
      <w:r>
        <w:br w:type="page"/>
      </w:r>
    </w:p>
    <w:p>
      <w:pPr>
        <w:pStyle w:val="TextBody"/>
        <w:spacing w:before="0" w:after="0"/>
        <w:jc w:val="right"/>
        <w:rPr>
          <w:rFonts w:ascii="Times New Roman;serif" w:hAnsi="Times New Roman;serif"/>
          <w:b/>
          <w:sz w:val="20"/>
        </w:rPr>
      </w:pPr>
      <w:bookmarkStart w:id="26" w:name="gtbif-ex10_3.htm"/>
      <w:bookmarkStart w:id="27" w:name="ksgtbifex10_3"/>
      <w:bookmarkEnd w:id="26"/>
      <w:bookmarkEnd w:id="27"/>
      <w:r>
        <w:rPr>
          <w:rFonts w:ascii="Times New Roman;serif" w:hAnsi="Times New Roman;serif"/>
          <w:b/>
          <w:sz w:val="20"/>
        </w:rPr>
        <w:t>Exhibit 10.3</w:t>
      </w:r>
    </w:p>
    <w:p>
      <w:pPr>
        <w:pStyle w:val="TextBody"/>
        <w:spacing w:before="0" w:after="0"/>
        <w:jc w:val="right"/>
        <w:rPr>
          <w:rFonts w:ascii="Times New Roman;serif" w:hAnsi="Times New Roman;serif"/>
          <w:b/>
          <w:sz w:val="22"/>
          <w:u w:val="single"/>
        </w:rPr>
      </w:pPr>
      <w:r>
        <w:rPr>
          <w:rFonts w:ascii="Times New Roman;serif" w:hAnsi="Times New Roman;serif"/>
          <w:b/>
          <w:sz w:val="22"/>
          <w:u w:val="single"/>
        </w:rPr>
        <w:t>Exhibit 10.3</w:t>
      </w:r>
    </w:p>
    <w:p>
      <w:pPr>
        <w:pStyle w:val="TextBody"/>
        <w:spacing w:before="0" w:after="0"/>
        <w:jc w:val="lef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2023 FORM OF OPTION AGREEMENT</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GREEN THUMB INDUSTRIES INC. 2018 STOCK AND INCENTIVE PLAN NOTICE OF STOCK OPTION GRANT</w:t>
      </w:r>
    </w:p>
    <w:p>
      <w:pPr>
        <w:pStyle w:val="TextBody"/>
        <w:spacing w:before="0" w:after="0"/>
        <w:jc w:val="left"/>
        <w:rPr>
          <w:rFonts w:ascii="Times New Roman" w:hAnsi="Times New Roman"/>
          <w:sz w:val="20"/>
        </w:rPr>
      </w:pPr>
      <w:r>
        <w:rPr>
          <w:rFonts w:ascii="Times New Roman;serif" w:hAnsi="Times New Roman;serif"/>
          <w:b w:val="false"/>
          <w:sz w:val="22"/>
        </w:rPr>
        <w:t>You have been granted the following option to purchase Subordinate Voting Shares of Green Thumb Industries Inc. (the “</w:t>
      </w:r>
      <w:r>
        <w:rPr>
          <w:rFonts w:ascii="Times New Roman;serif" w:hAnsi="Times New Roman;serif"/>
          <w:b/>
          <w:i/>
          <w:sz w:val="22"/>
        </w:rPr>
        <w:t>Company</w:t>
      </w:r>
      <w:r>
        <w:rPr>
          <w:rFonts w:ascii="Times New Roman" w:hAnsi="Times New Roman"/>
          <w:sz w:val="20"/>
        </w:rPr>
        <w:t>”</w:t>
      </w:r>
      <w:r>
        <w:rPr>
          <w:rFonts w:ascii="Times New Roman;serif" w:hAnsi="Times New Roman;serif"/>
          <w:b w:val="false"/>
          <w:sz w:val="22"/>
        </w:rPr>
        <w: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of Optionee: ______________________________</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Total Number of Shares Granted: ______________________________</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Type of Option: Non-Qualified Stock Option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Exercise Price Per Share: CDN$ _________ or US$ _________</w:t>
      </w:r>
    </w:p>
    <w:p>
      <w:pPr>
        <w:pStyle w:val="TextBody"/>
        <w:spacing w:before="0" w:after="0"/>
        <w:jc w:val="left"/>
        <w:rPr>
          <w:rFonts w:ascii="Times New Roman;serif" w:hAnsi="Times New Roman;serif"/>
          <w:b w:val="false"/>
          <w:sz w:val="22"/>
        </w:rPr>
      </w:pPr>
      <w:r>
        <w:rPr>
          <w:rFonts w:ascii="Times New Roman;serif" w:hAnsi="Times New Roman;serif"/>
          <w:b w:val="false"/>
          <w:sz w:val="22"/>
        </w:rPr>
        <w:t>Date of Grant: ______________________________</w:t>
      </w:r>
    </w:p>
    <w:p>
      <w:pPr>
        <w:pStyle w:val="TextBody"/>
        <w:spacing w:before="0" w:after="0"/>
        <w:jc w:val="left"/>
        <w:rPr>
          <w:rFonts w:ascii="Times New Roman" w:hAnsi="Times New Roman"/>
          <w:sz w:val="20"/>
        </w:rPr>
      </w:pPr>
      <w:r>
        <w:rPr>
          <w:rFonts w:ascii="Times New Roman;serif" w:hAnsi="Times New Roman;serif"/>
          <w:b w:val="false"/>
          <w:sz w:val="22"/>
        </w:rPr>
        <w:t>Vesting Terms: ______________________________</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Expiration Date: ______________________________</w:t>
      </w:r>
    </w:p>
    <w:p>
      <w:pPr>
        <w:pStyle w:val="TextBody"/>
        <w:spacing w:before="0" w:after="0"/>
        <w:jc w:val="left"/>
        <w:rPr>
          <w:rFonts w:ascii="Times New Roman" w:hAnsi="Times New Roman"/>
          <w:sz w:val="20"/>
        </w:rPr>
      </w:pPr>
      <w:r>
        <w:rPr>
          <w:rFonts w:ascii="Times New Roman;serif" w:hAnsi="Times New Roman;serif"/>
          <w:b w:val="false"/>
          <w:sz w:val="22"/>
        </w:rPr>
        <w:t>By your signature and the signature of the Company’s representative below, you and the Company</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agree that this option is granted under and governed by the terms and conditions of the Company’s 2018 Stock and Incentive Plan, as amended and the attached Stock Option Agreement, both of which are made a part of this document.</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OPTIONEE: GREEN THUMB INDUSTRIES INC.</w:t>
      </w:r>
    </w:p>
    <w:p>
      <w:pPr>
        <w:pStyle w:val="TextBody"/>
        <w:spacing w:before="0" w:after="0"/>
        <w:jc w:val="left"/>
        <w:rPr>
          <w:rFonts w:ascii="Times New Roman;serif" w:hAnsi="Times New Roman;serif"/>
          <w:b w:val="false"/>
          <w:sz w:val="22"/>
        </w:rPr>
      </w:pPr>
      <w:r>
        <w:rPr>
          <w:rFonts w:ascii="Times New Roman;serif" w:hAnsi="Times New Roman;serif"/>
          <w:b w:val="false"/>
          <w:sz w:val="22"/>
        </w:rPr>
        <w:t>______________________________ By: ______________________________</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______________________________ Title: ______________________________</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Print Name</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center"/>
        <w:rPr>
          <w:rFonts w:ascii="Times New Roman" w:hAnsi="Times New Roman"/>
          <w:sz w:val="20"/>
        </w:rPr>
      </w:pPr>
      <w:r>
        <w:rPr>
          <w:rFonts w:ascii="Times New Roman;serif" w:hAnsi="Times New Roman;serif"/>
          <w:b/>
          <w:caps/>
          <w:sz w:val="22"/>
        </w:rPr>
        <w:t>GREEN THUMB INDUSTRIES INC. 2018 STOCK AND INCENTIVE PLAN</w:t>
      </w:r>
      <w:r>
        <w:rPr>
          <w:rFonts w:ascii="Times New Roman" w:hAnsi="Times New Roman"/>
          <w:caps/>
          <w:sz w:val="20"/>
        </w:rPr>
        <w:t xml:space="preserve"> </w:t>
      </w:r>
    </w:p>
    <w:p>
      <w:pPr>
        <w:pStyle w:val="TextBody"/>
        <w:spacing w:before="0" w:after="240"/>
        <w:jc w:val="center"/>
        <w:rPr>
          <w:rFonts w:ascii="Times New Roman;serif" w:hAnsi="Times New Roman;serif"/>
          <w:b/>
          <w:caps/>
          <w:sz w:val="22"/>
        </w:rPr>
      </w:pPr>
      <w:r>
        <w:rPr>
          <w:rFonts w:ascii="Times New Roman;serif" w:hAnsi="Times New Roman;serif"/>
          <w:b/>
          <w:caps/>
          <w:sz w:val="22"/>
        </w:rPr>
        <w:t>STOCK OPTION AGREEMENT</w:t>
      </w:r>
    </w:p>
    <w:p>
      <w:pPr>
        <w:pStyle w:val="TextBody"/>
        <w:spacing w:before="0" w:after="240"/>
        <w:jc w:val="left"/>
        <w:rPr>
          <w:rFonts w:ascii="Times New Roman" w:hAnsi="Times New Roman"/>
          <w:b/>
          <w:sz w:val="22"/>
        </w:rPr>
      </w:pPr>
      <w:r>
        <w:rPr>
          <w:rFonts w:ascii="Times New Roman" w:hAnsi="Times New Roman"/>
          <w:b/>
          <w:sz w:val="22"/>
        </w:rPr>
        <w:t>SECTION 1.</w:t>
      </w:r>
    </w:p>
    <w:p>
      <w:pPr>
        <w:pStyle w:val="TextBody"/>
        <w:spacing w:before="0" w:after="240"/>
        <w:jc w:val="left"/>
        <w:rPr>
          <w:rFonts w:ascii="Times New Roman;serif" w:hAnsi="Times New Roman;serif"/>
          <w:b/>
          <w:sz w:val="22"/>
        </w:rPr>
      </w:pPr>
      <w:r>
        <w:rPr>
          <w:rFonts w:ascii="Times New Roman;serif" w:hAnsi="Times New Roman;serif"/>
          <w:b/>
          <w:sz w:val="22"/>
        </w:rPr>
        <w:t>GRANT OF OPTION.</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sz w:val="22"/>
        </w:rPr>
        <w:t xml:space="preserve">Option. </w:t>
      </w:r>
      <w:r>
        <w:rPr>
          <w:rFonts w:ascii="Times New Roman;serif" w:hAnsi="Times New Roman;serif"/>
          <w:b w:val="false"/>
          <w:sz w:val="22"/>
        </w:rPr>
        <w:t>On the terms and conditions set forth in the Notice of Stock Option Grant and this Agreement, the Company grants to the Optionee on the Date of Grant the option to purchase at the Exercise Price the number of Shares set forth in the Notice of Stock Option Grant. This option is intended to be a Non-Qualified Stock Option (NSO), as provided in the Notice of Stock Option Grant.</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sz w:val="22"/>
        </w:rPr>
        <w:t xml:space="preserve">Stock Plan and Defined Terms. </w:t>
      </w:r>
      <w:r>
        <w:rPr>
          <w:rFonts w:ascii="Times New Roman;serif" w:hAnsi="Times New Roman;serif"/>
          <w:b w:val="false"/>
          <w:sz w:val="22"/>
        </w:rPr>
        <w:t>This Agreement is subject in all respects to the terms and provisions of the Green Thumb Industries Inc. 2018 Stock and Incentive Plan, including, without limitation, any amendments thereto adopted at any time and from time to time (the “</w:t>
      </w:r>
      <w:r>
        <w:rPr>
          <w:rFonts w:ascii="Times New Roman;serif" w:hAnsi="Times New Roman;serif"/>
          <w:b/>
          <w:i/>
          <w:sz w:val="22"/>
        </w:rPr>
        <w:t>Plan</w:t>
      </w:r>
      <w:r>
        <w:rPr/>
        <w:t>”</w:t>
      </w:r>
      <w:r>
        <w:rPr>
          <w:rFonts w:ascii="Times New Roman;serif" w:hAnsi="Times New Roman;serif"/>
          <w:b w:val="false"/>
          <w:sz w:val="22"/>
        </w:rPr>
        <w:t>). The Optionee acknowledges having received a copy of the Plan and that the Participant has read the Plan carefully and understands its content. The provisions of the Plan are incorporated into this Agreement by reference, and in the event of any conflict between the terms of this Agreement and the terms of the Plan, the terms of the Plan shall control. Capitalized terms are defined in Section 9 of this Agreement, unless otherwise defined elsewhere herein or in Section 2 of the Plan.</w:t>
      </w:r>
    </w:p>
    <w:p>
      <w:pPr>
        <w:pStyle w:val="TextBody"/>
        <w:spacing w:before="0" w:after="240"/>
        <w:jc w:val="left"/>
        <w:rPr>
          <w:rFonts w:ascii="Times New Roman" w:hAnsi="Times New Roman"/>
          <w:b/>
          <w:sz w:val="22"/>
        </w:rPr>
      </w:pPr>
      <w:r>
        <w:rPr>
          <w:rFonts w:ascii="Times New Roman" w:hAnsi="Times New Roman"/>
          <w:b/>
          <w:sz w:val="22"/>
        </w:rPr>
        <w:t>SECTION 2.</w:t>
      </w:r>
    </w:p>
    <w:p>
      <w:pPr>
        <w:pStyle w:val="TextBody"/>
        <w:spacing w:before="0" w:after="240"/>
        <w:jc w:val="left"/>
        <w:rPr>
          <w:rFonts w:ascii="Times New Roman;serif" w:hAnsi="Times New Roman;serif"/>
          <w:b/>
          <w:sz w:val="22"/>
        </w:rPr>
      </w:pPr>
      <w:r>
        <w:rPr>
          <w:rFonts w:ascii="Times New Roman;serif" w:hAnsi="Times New Roman;serif"/>
          <w:b/>
          <w:sz w:val="22"/>
        </w:rPr>
        <w:t>RIGHT TO EXERCISE.</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sz w:val="22"/>
        </w:rPr>
        <w:t>In General.</w:t>
      </w:r>
      <w:r>
        <w:rPr/>
        <w:t xml:space="preserve"> </w:t>
      </w:r>
      <w:r>
        <w:rPr>
          <w:rFonts w:ascii="Times New Roman;serif" w:hAnsi="Times New Roman;serif"/>
          <w:b w:val="false"/>
          <w:sz w:val="22"/>
        </w:rPr>
        <w:t xml:space="preserve">All vesting set forth in the Notice of Stock Option Grant shall be subject to the Optionee’s continued service with the Company or an Affiliate through the applicable vesting date(s). Except as set forth below and subject to any other conditions of this Agreement, all or part of this option may be exercised only to the extent such option is vested and only prior to its expiration. </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sz w:val="22"/>
        </w:rPr>
        <w:t xml:space="preserve">Change in Control. </w:t>
      </w:r>
      <w:r>
        <w:rPr>
          <w:rFonts w:ascii="Times New Roman;serif" w:hAnsi="Times New Roman;serif"/>
          <w:b w:val="false"/>
          <w:sz w:val="22"/>
        </w:rPr>
        <w:t>If within 12 months following a Change in Control, the Company terminates the Optionee’s service with the Company for reasons other than for Cause, then the option shall become immediately exercisable in full on the date of such termination, and the Optionee may exercise all or part of this option at any time before the Expiration Date set forth in the Notice of Stock Option Grant.</w:t>
      </w:r>
    </w:p>
    <w:p>
      <w:pPr>
        <w:pStyle w:val="TextBody"/>
        <w:spacing w:before="0" w:after="240"/>
        <w:jc w:val="left"/>
        <w:rPr>
          <w:rFonts w:ascii="Times New Roman" w:hAnsi="Times New Roman"/>
          <w:b/>
          <w:sz w:val="22"/>
        </w:rPr>
      </w:pPr>
      <w:r>
        <w:rPr>
          <w:rFonts w:ascii="Times New Roman" w:hAnsi="Times New Roman"/>
          <w:b/>
          <w:sz w:val="22"/>
        </w:rPr>
        <w:t>SECTION 3.</w:t>
      </w:r>
    </w:p>
    <w:p>
      <w:pPr>
        <w:pStyle w:val="TextBody"/>
        <w:spacing w:before="0" w:after="240"/>
        <w:jc w:val="left"/>
        <w:rPr>
          <w:rFonts w:ascii="Times New Roman;serif" w:hAnsi="Times New Roman;serif"/>
          <w:b/>
          <w:sz w:val="22"/>
        </w:rPr>
      </w:pPr>
      <w:r>
        <w:rPr>
          <w:rFonts w:ascii="Times New Roman;serif" w:hAnsi="Times New Roman;serif"/>
          <w:b/>
          <w:sz w:val="22"/>
        </w:rPr>
        <w:t>NO TRANSFER OR ASSIGNMENT OF OPTION.</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pStyle w:val="TextBody"/>
        <w:spacing w:before="0" w:after="240"/>
        <w:jc w:val="left"/>
        <w:rPr>
          <w:rFonts w:ascii="Times New Roman" w:hAnsi="Times New Roman"/>
          <w:b/>
          <w:sz w:val="22"/>
        </w:rPr>
      </w:pPr>
      <w:r>
        <w:rPr>
          <w:rFonts w:ascii="Times New Roman" w:hAnsi="Times New Roman"/>
          <w:b/>
          <w:sz w:val="22"/>
        </w:rPr>
        <w:t>SECTION 4.</w:t>
      </w:r>
    </w:p>
    <w:p>
      <w:pPr>
        <w:pStyle w:val="TextBody"/>
        <w:spacing w:before="0" w:after="240"/>
        <w:jc w:val="left"/>
        <w:rPr>
          <w:rFonts w:ascii="Times New Roman;serif" w:hAnsi="Times New Roman;serif"/>
          <w:b/>
          <w:sz w:val="22"/>
        </w:rPr>
      </w:pPr>
      <w:r>
        <w:rPr>
          <w:rFonts w:ascii="Times New Roman;serif" w:hAnsi="Times New Roman;serif"/>
          <w:b/>
          <w:sz w:val="22"/>
        </w:rPr>
        <w:t>EXERCISE PROCEDURES.</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sz w:val="22"/>
        </w:rPr>
        <w:t xml:space="preserve">Notice of Exercise. </w:t>
      </w:r>
      <w:r>
        <w:rPr>
          <w:rFonts w:ascii="Times New Roman;serif" w:hAnsi="Times New Roman;serif"/>
          <w:b w:val="false"/>
          <w:sz w:val="22"/>
        </w:rPr>
        <w:t>The Optionee or the Optionee’s representative may exercise this option by giving written notice to the Company, which notice may be electronic and/or delivered through the Company’s share plan portal. The notice shall specify the election to exercise this option, the number of Shares for which it is being exercised and the form of payment. The notice shall be signed by the person exercising this option.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of this Agreement for the full amount of the Purchase Price.</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1</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sz w:val="22"/>
        </w:rPr>
        <w:t>Applicable Exercise Price.</w:t>
      </w:r>
      <w:r>
        <w:rPr/>
        <w:t xml:space="preserve"> </w:t>
      </w:r>
      <w:r>
        <w:rPr>
          <w:rFonts w:ascii="Times New Roman;serif" w:hAnsi="Times New Roman;serif"/>
          <w:b w:val="false"/>
          <w:sz w:val="22"/>
        </w:rPr>
        <w:t xml:space="preserve">The options granted hereby include a Canadian Dollar and U.S. Dollar Exercise Price that are equivalent as of the Date of Grant. The Company shall have the sole authority, to be exercised in its sole discretion, to determine to apply the U.S. Dollar or Canadian Dollar Exercise Price based on the Company’s share plan administration procedures. </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pPr>
      <w:r>
        <w:rPr>
          <w:rFonts w:ascii="Times New Roman;serif" w:hAnsi="Times New Roman;serif"/>
          <w:b/>
          <w:sz w:val="22"/>
        </w:rPr>
        <w:t xml:space="preserve">Issuance of Shares. </w:t>
      </w:r>
      <w:r>
        <w:rPr>
          <w:rFonts w:ascii="Times New Roman;serif" w:hAnsi="Times New Roman;serif"/>
          <w:b w:val="false"/>
          <w:sz w:val="22"/>
        </w:rPr>
        <w:t>After receiving a proper notice of exercise, the Company shall cause to be issued Shares (either in certificate or book entry form, as determined by the Company) as to which this option has been exercised, registered in the name of the person exercising this option (or in the names of such person and his or her spouse as community property or as joint tenants with right of survivorship). If the Optionee is a resident of the United States, the Optionee acknowledges that any securities (the “</w:t>
      </w:r>
      <w:r>
        <w:rPr>
          <w:rFonts w:ascii="Times New Roman;serif" w:hAnsi="Times New Roman;serif"/>
          <w:b w:val="false"/>
          <w:i/>
          <w:sz w:val="22"/>
        </w:rPr>
        <w:t>Securities</w:t>
      </w:r>
      <w:r>
        <w:rPr/>
        <w:t>”</w:t>
      </w:r>
      <w:r>
        <w:rPr>
          <w:rFonts w:ascii="Times New Roman;serif" w:hAnsi="Times New Roman;serif"/>
          <w:b w:val="false"/>
          <w:sz w:val="22"/>
        </w:rPr>
        <w:t>) issued hereunder may be “restricted securities”, as such term is defined under Rule 144 under the Securities Act of 1933, as amended, (the “</w:t>
      </w:r>
      <w:r>
        <w:rPr>
          <w:rFonts w:ascii="Times New Roman;serif" w:hAnsi="Times New Roman;serif"/>
          <w:b w:val="false"/>
          <w:i/>
          <w:sz w:val="22"/>
        </w:rPr>
        <w:t>U.S. Securities Act</w:t>
      </w:r>
      <w:r>
        <w:rPr/>
        <w:t>”</w:t>
      </w:r>
      <w:r>
        <w:rPr>
          <w:rFonts w:ascii="Times New Roman;serif" w:hAnsi="Times New Roman;serif"/>
          <w:b w:val="false"/>
          <w:sz w:val="22"/>
        </w:rPr>
        <w:t xml:space="preserve">) and the Optionee agrees that if it decides to offer, sell or otherwise transfer, pledge or hypothecate all or any part of the Securities, it will not offer, sell or otherwise transfer, pledge or hypothecate any or any part of the Securities other than pursuant to an effective registration statement under the U.S. Securities Act or pursuant to an exception to any applicable restrictions imposed thereby, directly or indirectly. Participant further, acknowledges that, if the Securities are not registered pursuant to a valid registration statement, a legend to the foregoing effect will be affixed to any certificates representing the Securities. </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pPr>
      <w:r>
        <w:rPr>
          <w:rFonts w:ascii="Times New Roman;serif" w:hAnsi="Times New Roman;serif"/>
          <w:b/>
          <w:sz w:val="22"/>
        </w:rPr>
        <w:t xml:space="preserve">Taxes. </w:t>
      </w:r>
      <w:r>
        <w:rPr>
          <w:rFonts w:ascii="Times New Roman;serif" w:hAnsi="Times New Roman;serif"/>
          <w:b w:val="false"/>
          <w:sz w:val="22"/>
        </w:rPr>
        <w:t>The Optionee hereby agrees to make adequate provision for any sums required to satisfy the applicable federal, state, local or foreign employment, social insurance, payroll, income or other tax withholding obligations (the “</w:t>
      </w:r>
      <w:r>
        <w:rPr>
          <w:rFonts w:ascii="Times New Roman;serif" w:hAnsi="Times New Roman;serif"/>
          <w:b w:val="false"/>
          <w:i/>
          <w:sz w:val="22"/>
        </w:rPr>
        <w:t>Withholding Obligations</w:t>
      </w:r>
      <w:r>
        <w:rPr/>
        <w:t>”</w:t>
      </w:r>
      <w:r>
        <w:rPr>
          <w:rFonts w:ascii="Times New Roman;serif" w:hAnsi="Times New Roman;serif"/>
          <w:b w:val="false"/>
          <w:sz w:val="22"/>
        </w:rPr>
        <w:t>) that arise in connection with this Agreement, the option, the exercise of the option or any portion thereof and the sale of any Securities acquired pursuant to the exercise of the option or any portion thereof. The Company may establish procedures to ensure satisfaction of all applicable Withholding Obligations arising in connection with this Agreement, including any means permitted in Section 8 of the Plan. Notwithstanding anything else contained herein and except as otherwise determined by the Committee, the Withholding Obligations shall be satisfied by selling on the Optionee’s behalf (using any brokerage firm determined acceptable to the Company for such purpose) a portion of the Securities issued in connection with the exercise of the option (or any portion thereof) as the Company determines to be appropriate to generate cash proceeds sufficient to satisfy the Withholding Obligations. To the extent permitted by the Committee, the Optionee hereby authorizes the Company, at its sole discretion and subject to any limitations under applicable law, to satisfy any such Tax Obligations by (1) withholding a portion of the Securities otherwise to be issued pursuant to the exercise of the option (or any portion thereof) having a value equal to the amount of Withholding Obligation in accordance with such rules as the Company may from time to time establish; or (2) withholding from the wages and other cash compensation payable to the Optionee or by causing the Optionee to tender a cash payment or other Securities to the Company. The Optionee shall be responsible for all brokerage fees and other costs of sale, and the Optionee further agrees to indemnify and hold the Company harmless from any losses, costs, damages or expenses relating to any such sale. The Company may refuse to deliver Securities if the Optionee fails to comply with the Optionee’s obligations in connection with the Withholding Obligations described in this paragraph. The Optionee agrees to pay to the Company or its applicable Affiliate, any amount of Withholding Obligations that the Company or its applicable Affiliate may be required to withhold or account for as a result of Optionee’s participation in the Plan that cannot be satisfied by the means described in this Agreement. The Company may refuse to issue or deliver the Shares, cash or the proceeds of the sale of Shares, if the Optionee fails to comply with the Optionee’s obligations in connection with the Withholding Obligations.</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2</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sz w:val="22"/>
        </w:rPr>
      </w:pPr>
      <w:r>
        <w:rPr>
          <w:rFonts w:ascii="Times New Roman" w:hAnsi="Times New Roman"/>
          <w:b/>
          <w:sz w:val="22"/>
        </w:rPr>
        <w:t>SECTION 5.</w:t>
      </w:r>
    </w:p>
    <w:p>
      <w:pPr>
        <w:pStyle w:val="TextBody"/>
        <w:spacing w:before="0" w:after="240"/>
        <w:jc w:val="left"/>
        <w:rPr>
          <w:rFonts w:ascii="Times New Roman;serif" w:hAnsi="Times New Roman;serif"/>
          <w:b/>
          <w:sz w:val="22"/>
        </w:rPr>
      </w:pPr>
      <w:r>
        <w:rPr>
          <w:rFonts w:ascii="Times New Roman;serif" w:hAnsi="Times New Roman;serif"/>
          <w:b/>
          <w:sz w:val="22"/>
        </w:rPr>
        <w:t>PAYMENT FOR STOCK.</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sz w:val="22"/>
        </w:rPr>
        <w:t>Exercise/Sale.</w:t>
      </w:r>
      <w:r>
        <w:rPr/>
        <w:t xml:space="preserve"> </w:t>
      </w:r>
      <w:r>
        <w:rPr>
          <w:rFonts w:ascii="Times New Roman;serif" w:hAnsi="Times New Roman;serif"/>
          <w:b w:val="false"/>
          <w:sz w:val="22"/>
        </w:rPr>
        <w:t xml:space="preserve">Notwithstanding anything else contained herein and except as otherwise determined by the Committee, if Shares are publicly traded, the Purchase Price shall be satisfied by selling on the Optionee’s behalf (using any brokerage firm determined acceptable to the Company for such purpose) a portion of the Securities issued in connection with the exercise of the option (or any portion thereof) as the Company determines to be appropriate to generate cash proceeds sufficient to satisfy the Purchase Price. Any other permitted method of payment of the Purchase Price shall be subject to approval by the Committee. </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sz w:val="22"/>
        </w:rPr>
        <w:t xml:space="preserve">Cash. </w:t>
      </w:r>
      <w:r>
        <w:rPr>
          <w:rFonts w:ascii="Times New Roman;serif" w:hAnsi="Times New Roman;serif"/>
          <w:b w:val="false"/>
          <w:sz w:val="22"/>
        </w:rPr>
        <w:t>The Committee may permit that all or part of the Purchase Price may be paid in cash or cash equivalents, as permitted by the Company’s share plan administration procedures.</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pPr>
      <w:r>
        <w:rPr>
          <w:rFonts w:ascii="Times New Roman;serif" w:hAnsi="Times New Roman;serif"/>
          <w:b/>
          <w:sz w:val="22"/>
        </w:rPr>
        <w:t xml:space="preserve">Surrender of Stock. </w:t>
      </w:r>
      <w:r>
        <w:rPr>
          <w:rFonts w:ascii="Times New Roman;serif" w:hAnsi="Times New Roman;serif"/>
          <w:b w:val="false"/>
          <w:sz w:val="22"/>
        </w:rPr>
        <w:t>Subject to applicable corporate and securities laws, and stock exchange requirements, the Committee may permit that all or any part of the Purchase Price may be paid by surrendering, or attesting to the ownership of, Shares that are already owned by the Optionee. Such Shares shall be surrendered to the Company in good form for cancellation and shall be valued at their Fair Market Value on the date when this option is exercised. The Optionee shall not surrender, or attest to the ownership of, Shares in payment of the Purchase Price if such action would cause the Company to recognize compensation expense (or additional compensation expense) with respect to this option for financial reporting purposes.</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pPr>
      <w:r>
        <w:rPr>
          <w:rFonts w:ascii="Times New Roman;serif" w:hAnsi="Times New Roman;serif"/>
          <w:b/>
          <w:sz w:val="22"/>
        </w:rPr>
        <w:t xml:space="preserve">Net Exercise. </w:t>
      </w:r>
      <w:r>
        <w:rPr>
          <w:rFonts w:ascii="Times New Roman;serif" w:hAnsi="Times New Roman;serif"/>
          <w:b w:val="false"/>
          <w:sz w:val="22"/>
        </w:rPr>
        <w:t>The Committee may, in its discretion, permit an Option to be exercised by delivering to the Optionee a number of Shares having an aggregate Fair Market Value (determined as of the date of exercise) equal to the excess, if positive, of the Fair Market Value of the Shares underlying the Option being exercised on the date of exercise, over the Purchase Price of the Option for such Shares.</w:t>
      </w:r>
    </w:p>
    <w:p>
      <w:pPr>
        <w:pStyle w:val="TextBody"/>
        <w:spacing w:before="0" w:after="240"/>
        <w:jc w:val="left"/>
        <w:rPr>
          <w:rFonts w:ascii="Times New Roman" w:hAnsi="Times New Roman"/>
          <w:b/>
          <w:sz w:val="22"/>
        </w:rPr>
      </w:pPr>
      <w:r>
        <w:rPr>
          <w:rFonts w:ascii="Times New Roman" w:hAnsi="Times New Roman"/>
          <w:b/>
          <w:sz w:val="22"/>
        </w:rPr>
        <w:t>SECTION 6.</w:t>
      </w:r>
    </w:p>
    <w:p>
      <w:pPr>
        <w:pStyle w:val="TextBody"/>
        <w:spacing w:before="0" w:after="240"/>
        <w:jc w:val="left"/>
        <w:rPr>
          <w:rFonts w:ascii="Times New Roman;serif" w:hAnsi="Times New Roman;serif"/>
          <w:b/>
          <w:sz w:val="22"/>
        </w:rPr>
      </w:pPr>
      <w:r>
        <w:rPr>
          <w:rFonts w:ascii="Times New Roman;serif" w:hAnsi="Times New Roman;serif"/>
          <w:b/>
          <w:sz w:val="22"/>
        </w:rPr>
        <w:t>TERM AND EXPIRATION.</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sz w:val="22"/>
        </w:rPr>
        <w:t xml:space="preserve">Basic Term. </w:t>
      </w:r>
      <w:r>
        <w:rPr>
          <w:rFonts w:ascii="Times New Roman;serif" w:hAnsi="Times New Roman;serif"/>
          <w:b w:val="false"/>
          <w:sz w:val="22"/>
        </w:rPr>
        <w:t>This option shall in any event expire on the Expiration Date set forth in the Notice of Stock Option Grant, which date shall not exceed seven years after the Date of Grant (five years after the Date of Grant if this option is designated as an ISO in the Notice of Stock Option Grant, and the Optionee is a 10% owner as described in Section 6 of the Plan).</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sz w:val="22"/>
        </w:rPr>
        <w:t>Termination of Service (Except by Death).</w:t>
      </w:r>
      <w:r>
        <w:rPr/>
        <w:t xml:space="preserve"> </w:t>
      </w:r>
      <w:r>
        <w:rPr>
          <w:rFonts w:ascii="Times New Roman;serif" w:hAnsi="Times New Roman;serif"/>
          <w:b w:val="false"/>
          <w:sz w:val="22"/>
        </w:rPr>
        <w:t>If the Optionee’s service terminates prior to the expirary date of Optionee’s service contract, if applicable, for any reason other than death, then this option shall expire on the earliest of the following occasions:</w:t>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expiration date determined pursuant to Subsection (a) above;</w:t>
      </w:r>
    </w:p>
    <w:p>
      <w:pPr>
        <w:pStyle w:val="TextBody"/>
        <w:spacing w:before="0" w:after="240"/>
        <w:jc w:val="both"/>
        <w:rPr>
          <w:rFonts w:ascii="Times New Roman" w:hAnsi="Times New Roman"/>
          <w:b w:val="false"/>
          <w:sz w:val="22"/>
        </w:rPr>
      </w:pPr>
      <w:r>
        <w:rPr>
          <w:rFonts w:ascii="Times New Roman" w:hAnsi="Times New Roman"/>
          <w:b w:val="false"/>
          <w:sz w:val="22"/>
        </w:rPr>
        <w:t>(ii)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date three months after the termination of the Optionee’s service for any reason other than Cause except as provided for in Section 2(b); or</w:t>
      </w:r>
    </w:p>
    <w:p>
      <w:pPr>
        <w:pStyle w:val="TextBody"/>
        <w:spacing w:before="0" w:after="240"/>
        <w:jc w:val="both"/>
        <w:rPr>
          <w:rFonts w:ascii="Times New Roman" w:hAnsi="Times New Roman"/>
          <w:b w:val="false"/>
          <w:sz w:val="22"/>
        </w:rPr>
      </w:pPr>
      <w:r>
        <w:rPr>
          <w:rFonts w:ascii="Times New Roman" w:hAnsi="Times New Roman"/>
          <w:b w:val="false"/>
          <w:sz w:val="22"/>
        </w:rPr>
        <w:t>(iii)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date of termination of the Optionee’s service for Cause (or the date the Company determines that Optionee could have been terminated for Cause).</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3</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Optionee may exercise all or part of this option at any time before its expiration under the preceding sentence, but only to the extent that this option is then vested and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death. For avoidance of doubt, if the Optionee is employed by an Affiliate that is sold or otherwise ceases to be an Affiliate of the Company, the Optionee shall incur a termination of service.</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pPr>
      <w:r>
        <w:rPr>
          <w:rFonts w:ascii="Times New Roman;serif" w:hAnsi="Times New Roman;serif"/>
          <w:b/>
          <w:sz w:val="22"/>
        </w:rPr>
        <w:t xml:space="preserve">Death of the Optionee. </w:t>
      </w:r>
      <w:r>
        <w:rPr>
          <w:rFonts w:ascii="Times New Roman;serif" w:hAnsi="Times New Roman;serif"/>
          <w:b w:val="false"/>
          <w:sz w:val="22"/>
        </w:rPr>
        <w:t>If the Optionee dies while in service, then any unvested portions of the option shall immediately vest and become exercisable in full upon the date of death, and this option shall expire on the earlier of the following dates:</w:t>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expiration date determined pursuant to Subsection (a) above; or</w:t>
      </w:r>
    </w:p>
    <w:p>
      <w:pPr>
        <w:pStyle w:val="TextBody"/>
        <w:spacing w:before="0" w:after="240"/>
        <w:jc w:val="both"/>
        <w:rPr>
          <w:rFonts w:ascii="Times New Roman" w:hAnsi="Times New Roman"/>
          <w:b w:val="false"/>
          <w:sz w:val="22"/>
        </w:rPr>
      </w:pPr>
      <w:r>
        <w:rPr>
          <w:rFonts w:ascii="Times New Roman" w:hAnsi="Times New Roman"/>
          <w:b w:val="false"/>
          <w:sz w:val="22"/>
        </w:rPr>
        <w:t>(ii)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date 12 months after the Optionee’s death.</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or on account of, the Optionee’s death.</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pPr>
      <w:r>
        <w:rPr>
          <w:rFonts w:ascii="Times New Roman;serif" w:hAnsi="Times New Roman;serif"/>
          <w:b/>
          <w:sz w:val="22"/>
        </w:rPr>
        <w:t xml:space="preserve">Leaves of Absence and Determination of Service Termination. </w:t>
      </w:r>
      <w:r>
        <w:rPr>
          <w:rFonts w:ascii="Times New Roman;serif" w:hAnsi="Times New Roman;serif"/>
          <w:b w:val="false"/>
          <w:sz w:val="22"/>
        </w:rPr>
        <w:t>For any purpose under this Agreement, service shall be deemed to continue while the Optionee is on a bona fide leave of absence, if such leave was approved by the Company in writing and if continued crediting of service for such purpose is expressly required by the terms of such leave or by applicable law (as determined by the Company). Any questions as to whether and when there has been a termination of service and the cause of such termination shall be determined in the sole discretion of the Committee.</w:t>
      </w:r>
    </w:p>
    <w:p>
      <w:pPr>
        <w:pStyle w:val="TextBody"/>
        <w:spacing w:before="0" w:after="240"/>
        <w:jc w:val="left"/>
        <w:rPr>
          <w:rFonts w:ascii="Times New Roman" w:hAnsi="Times New Roman"/>
          <w:b/>
          <w:sz w:val="22"/>
        </w:rPr>
      </w:pPr>
      <w:r>
        <w:rPr>
          <w:rFonts w:ascii="Times New Roman" w:hAnsi="Times New Roman"/>
          <w:b/>
          <w:sz w:val="22"/>
        </w:rPr>
        <w:t>SECTION 7.</w:t>
      </w:r>
    </w:p>
    <w:p>
      <w:pPr>
        <w:pStyle w:val="TextBody"/>
        <w:spacing w:before="0" w:after="240"/>
        <w:jc w:val="left"/>
        <w:rPr>
          <w:rFonts w:ascii="Times New Roman;serif" w:hAnsi="Times New Roman;serif"/>
          <w:b/>
          <w:sz w:val="22"/>
        </w:rPr>
      </w:pPr>
      <w:r>
        <w:rPr>
          <w:rFonts w:ascii="Times New Roman;serif" w:hAnsi="Times New Roman;serif"/>
          <w:b/>
          <w:sz w:val="22"/>
        </w:rPr>
        <w:t>ADJUSTMENT OF SHARES.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the event of any transaction described in Section 4(c) of the Plan, the terms of this option (including, without limitation, the number and kind of Shares subject to this option and the Exercise Price) shall be adjusted as set forth in Section 4(c) of the Plan. In the event that the Company is a party to any corporate transaction, this option shall be subject to amendment as provided in Section 7(b) of the Plan.</w:t>
      </w:r>
    </w:p>
    <w:p>
      <w:pPr>
        <w:pStyle w:val="TextBody"/>
        <w:spacing w:before="0" w:after="240"/>
        <w:jc w:val="left"/>
        <w:rPr>
          <w:rFonts w:ascii="Times New Roman" w:hAnsi="Times New Roman"/>
          <w:b/>
          <w:sz w:val="22"/>
        </w:rPr>
      </w:pPr>
      <w:r>
        <w:rPr>
          <w:rFonts w:ascii="Times New Roman" w:hAnsi="Times New Roman"/>
          <w:b/>
          <w:sz w:val="22"/>
        </w:rPr>
        <w:t>SECTION 8.</w:t>
      </w:r>
    </w:p>
    <w:p>
      <w:pPr>
        <w:pStyle w:val="TextBody"/>
        <w:spacing w:before="0" w:after="240"/>
        <w:jc w:val="left"/>
        <w:rPr>
          <w:rFonts w:ascii="Times New Roman;serif" w:hAnsi="Times New Roman;serif"/>
          <w:b/>
          <w:sz w:val="22"/>
        </w:rPr>
      </w:pPr>
      <w:r>
        <w:rPr>
          <w:rFonts w:ascii="Times New Roman;serif" w:hAnsi="Times New Roman;serif"/>
          <w:b/>
          <w:sz w:val="22"/>
        </w:rPr>
        <w:t>MISCELLANEOUS PROVISIONS.</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rFonts w:ascii="Times New Roman;serif" w:hAnsi="Times New Roman;serif"/>
          <w:b/>
          <w:sz w:val="22"/>
        </w:rPr>
        <w:t xml:space="preserve">Rights as a Shareholder. </w:t>
      </w:r>
      <w:r>
        <w:rPr>
          <w:rFonts w:ascii="Times New Roman;serif" w:hAnsi="Times New Roman;serif"/>
          <w:b w:val="false"/>
          <w:sz w:val="22"/>
        </w:rPr>
        <w:t>Neither the Optionee nor the Optionee’s representative shall have any rights as a shareholder with respect to any Shares subject to this option until the Optionee or the Optionee’s representative becomes entitled to receive such Shares by filing a notice of exercise and paying the Purchase Price pursuant to Sections 4 and 5 of this Agreement.</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rFonts w:ascii="Times New Roman;serif" w:hAnsi="Times New Roman;serif"/>
          <w:b/>
          <w:sz w:val="22"/>
        </w:rPr>
        <w:t xml:space="preserve">Compliance Matters. </w:t>
      </w:r>
      <w:r>
        <w:rPr>
          <w:rFonts w:ascii="Times New Roman;serif" w:hAnsi="Times New Roman;serif"/>
          <w:b w:val="false"/>
          <w:sz w:val="22"/>
        </w:rPr>
        <w:t>The Company may require from the Optionee such investment representation, undertaking or agreement, if any, as the Company may consider necessary in order to comply with applicable laws and policies of any applicable exchange. The Optionee understands and acknowledges that Shares to be issued upon exercise of this option may be issued subject to any restrictive legend or other transfer restrictions as may be required by applicable securities laws and stock exchange requirements.</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4</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pPr>
      <w:r>
        <w:rPr>
          <w:rFonts w:ascii="Times New Roman;serif" w:hAnsi="Times New Roman;serif"/>
          <w:b/>
          <w:sz w:val="22"/>
        </w:rPr>
        <w:t xml:space="preserve">No Retention Rights. </w:t>
      </w:r>
      <w:r>
        <w:rPr>
          <w:rFonts w:ascii="Times New Roman;serif" w:hAnsi="Times New Roman;serif"/>
          <w:b w:val="false"/>
          <w:sz w:val="22"/>
        </w:rPr>
        <w:t>Nothing in this option or in the Plan shall confer upon the Optionee any right to continue in service for any period of specific duration or interfere with or otherwise restrict in any way the rights of the Company (or any Affiliate employing or retaining the Optionee) or of the Optionee, which rights are hereby expressly reserved by each, to terminate his or her service at any time and for any reason, with or without Cause. Any questions as to whether and when there has been a termination of service and the cause of such termination shall be determined in the sole discretion of the Committee.</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pPr>
      <w:r>
        <w:rPr>
          <w:rFonts w:ascii="Times New Roman;serif" w:hAnsi="Times New Roman;serif"/>
          <w:b/>
          <w:sz w:val="22"/>
        </w:rPr>
        <w:t xml:space="preserve">Notice. </w:t>
      </w:r>
      <w:r>
        <w:rPr>
          <w:rFonts w:ascii="Times New Roman;serif" w:hAnsi="Times New Roman;serif"/>
          <w:b w:val="false"/>
          <w:sz w:val="22"/>
        </w:rPr>
        <w:t>Any notice required by the terms of this Agreement shall be given in writing and notice to the Company shall be deemed effective upon receipt by the Company (i) upon personal delivery, (ii) through registered or certified mail with postage and fees prepaid; or (iii) through electronic notification using a form and process approved by the Company. If mailed or delivered, notice to the Company shall be addressed to the Company at its principal executive office and notice to the Optionee shall be addressed to the address that he or she most recently provided to the Company.</w:t>
      </w:r>
    </w:p>
    <w:p>
      <w:pPr>
        <w:pStyle w:val="TextBody"/>
        <w:spacing w:before="0" w:after="240"/>
        <w:jc w:val="both"/>
        <w:rPr>
          <w:rFonts w:ascii="Times New Roman" w:hAnsi="Times New Roman"/>
          <w:b w:val="false"/>
          <w:sz w:val="22"/>
        </w:rPr>
      </w:pPr>
      <w:r>
        <w:rPr>
          <w:rFonts w:ascii="Times New Roman" w:hAnsi="Times New Roman"/>
          <w:b w:val="false"/>
          <w:sz w:val="22"/>
        </w:rPr>
        <w:t>(e)</w:t>
      </w:r>
    </w:p>
    <w:p>
      <w:pPr>
        <w:pStyle w:val="TextBody"/>
        <w:spacing w:before="0" w:after="240"/>
        <w:jc w:val="both"/>
        <w:rPr/>
      </w:pPr>
      <w:r>
        <w:rPr>
          <w:rFonts w:ascii="Times New Roman;serif" w:hAnsi="Times New Roman;serif"/>
          <w:b/>
          <w:sz w:val="22"/>
        </w:rPr>
        <w:t xml:space="preserve">Entire Agreement. </w:t>
      </w:r>
      <w:r>
        <w:rPr>
          <w:rFonts w:ascii="Times New Roman;serif" w:hAnsi="Times New Roman;serif"/>
          <w:b w:val="false"/>
          <w:sz w:val="22"/>
        </w:rPr>
        <w:t>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w:t>
      </w:r>
    </w:p>
    <w:p>
      <w:pPr>
        <w:pStyle w:val="TextBody"/>
        <w:spacing w:before="0" w:after="240"/>
        <w:jc w:val="both"/>
        <w:rPr>
          <w:rFonts w:ascii="Times New Roman" w:hAnsi="Times New Roman"/>
          <w:b w:val="false"/>
          <w:sz w:val="22"/>
        </w:rPr>
      </w:pPr>
      <w:r>
        <w:rPr>
          <w:rFonts w:ascii="Times New Roman" w:hAnsi="Times New Roman"/>
          <w:b w:val="false"/>
          <w:sz w:val="22"/>
        </w:rPr>
        <w:t>(f)</w:t>
      </w:r>
    </w:p>
    <w:p>
      <w:pPr>
        <w:pStyle w:val="TextBody"/>
        <w:spacing w:before="0" w:after="240"/>
        <w:jc w:val="both"/>
        <w:rPr/>
      </w:pPr>
      <w:r>
        <w:rPr>
          <w:rFonts w:ascii="Times New Roman;serif" w:hAnsi="Times New Roman;serif"/>
          <w:b/>
          <w:sz w:val="22"/>
        </w:rPr>
        <w:t xml:space="preserve">Choice of Law. </w:t>
      </w:r>
      <w:r>
        <w:rPr>
          <w:rFonts w:ascii="Times New Roman;serif" w:hAnsi="Times New Roman;serif"/>
          <w:b w:val="false"/>
          <w:sz w:val="22"/>
        </w:rPr>
        <w:t xml:space="preserve">This Agreement shall be governed by, and construed in accordance with, the laws of the State of Delaware, as such laws are applied to contracts entered into and performed in such State and without regard to the choice of law principles thereof. </w:t>
      </w:r>
    </w:p>
    <w:p>
      <w:pPr>
        <w:pStyle w:val="TextBody"/>
        <w:spacing w:before="0" w:after="240"/>
        <w:jc w:val="both"/>
        <w:rPr>
          <w:rFonts w:ascii="Times New Roman" w:hAnsi="Times New Roman"/>
          <w:b w:val="false"/>
          <w:sz w:val="22"/>
        </w:rPr>
      </w:pPr>
      <w:r>
        <w:rPr>
          <w:rFonts w:ascii="Times New Roman" w:hAnsi="Times New Roman"/>
          <w:b w:val="false"/>
          <w:sz w:val="22"/>
        </w:rPr>
        <w:t>(g)</w:t>
      </w:r>
    </w:p>
    <w:p>
      <w:pPr>
        <w:pStyle w:val="TextBody"/>
        <w:spacing w:before="0" w:after="240"/>
        <w:jc w:val="both"/>
        <w:rPr/>
      </w:pPr>
      <w:r>
        <w:rPr>
          <w:rFonts w:ascii="Times New Roman;serif" w:hAnsi="Times New Roman;serif"/>
          <w:b/>
          <w:sz w:val="22"/>
        </w:rPr>
        <w:t xml:space="preserve">Insider Trading / Market Abuse Laws. </w:t>
      </w:r>
      <w:r>
        <w:rPr>
          <w:rFonts w:ascii="Times New Roman;serif" w:hAnsi="Times New Roman;serif"/>
          <w:b w:val="false"/>
          <w:sz w:val="22"/>
        </w:rPr>
        <w:t>By participating in the Plan, the Optionee agrees to comply with the Company’s policy on insider trading as in effect at any given time. The Optionee further acknowledges that the Optionee may be subject to local insider trading and/or market abuse laws and regulations that are separate from and in addition to any restrictions that may be imposed under any applicable Company insider trading policy. The Optionee acknowledges that it is the Optionee’s personal responsibility to comply with any applicable restrictions, and that the Optionee should consult the Optionee’s personal advisor on this matter.</w:t>
      </w:r>
    </w:p>
    <w:p>
      <w:pPr>
        <w:pStyle w:val="TextBody"/>
        <w:spacing w:before="0" w:after="240"/>
        <w:jc w:val="both"/>
        <w:rPr>
          <w:rFonts w:ascii="Times New Roman" w:hAnsi="Times New Roman"/>
          <w:b w:val="false"/>
          <w:sz w:val="22"/>
        </w:rPr>
      </w:pPr>
      <w:r>
        <w:rPr>
          <w:rFonts w:ascii="Times New Roman" w:hAnsi="Times New Roman"/>
          <w:b w:val="false"/>
          <w:sz w:val="22"/>
        </w:rPr>
        <w:t>(h)</w:t>
      </w:r>
    </w:p>
    <w:p>
      <w:pPr>
        <w:pStyle w:val="TextBody"/>
        <w:spacing w:before="0" w:after="240"/>
        <w:jc w:val="both"/>
        <w:rPr/>
      </w:pPr>
      <w:r>
        <w:rPr>
          <w:rFonts w:ascii="Times New Roman;serif" w:hAnsi="Times New Roman;serif"/>
          <w:b/>
          <w:sz w:val="22"/>
        </w:rPr>
        <w:t xml:space="preserve">Electronic Delivery. </w:t>
      </w:r>
      <w:r>
        <w:rPr>
          <w:rFonts w:ascii="Times New Roman;serif" w:hAnsi="Times New Roman;serif"/>
          <w:b w:val="false"/>
          <w:sz w:val="22"/>
        </w:rPr>
        <w:t>The Company may, in its sole discretion, deliver by electronic means any documents related to the option or the Optionee’s future participation in the Plan. The Optionee hereby consents to receive such documents by electronic delivery and agrees to participate in the Plan through an on-line or electronic system established and maintained by the Company or a third party designated by the Company. To the extent that this Agreement is manually signed, instead of electronically accepted by the Optionee (if permitted by the Company), it may be signed in counterparts, each of which shall be deemed an original, with the same effect as if the signatures thereto and hereto were upon the same instrument.</w:t>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pPr>
      <w:r>
        <w:rPr>
          <w:rFonts w:ascii="Times New Roman;serif" w:hAnsi="Times New Roman;serif"/>
          <w:b/>
          <w:sz w:val="22"/>
        </w:rPr>
        <w:t xml:space="preserve">Legend on Certificates. </w:t>
      </w:r>
      <w:r>
        <w:rPr>
          <w:rFonts w:ascii="Times New Roman;serif" w:hAnsi="Times New Roman;serif"/>
          <w:b w:val="false"/>
          <w:sz w:val="22"/>
        </w:rPr>
        <w:t>Any Shares issued or transferred to the Optionee pursuant to this Agreement shall be subject to such stop transfer orders and other restrictions as the Board of Directors of the Company or the Compensation Committee thereof may deem advisable under the Plan or the rules, regulations, and other requirements of the U.S. Securities and Exchange Commission, the British Columbia Securities Commission, or any other applicable regulator, or any stock exchange upon which such Shares are listed, any applicable Canadian Federal or provincial, or U.S. Federal or state laws or relevant securities laws of the jurisdiction of the domicile of the Optionee or to ensure compliance with any additional transfer restrictions that may be in effect from time to time, and the Board of Directors of the Company or the Compensation Committee thereof may cause a legend or legends to be put on any certificates representing such Shares to make appropriate reference to such restrictions.</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5</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(j)</w:t>
      </w:r>
    </w:p>
    <w:p>
      <w:pPr>
        <w:pStyle w:val="TextBody"/>
        <w:spacing w:before="0" w:after="240"/>
        <w:jc w:val="both"/>
        <w:rPr/>
      </w:pPr>
      <w:r>
        <w:rPr>
          <w:rFonts w:ascii="Times New Roman;serif" w:hAnsi="Times New Roman;serif"/>
          <w:b/>
          <w:sz w:val="22"/>
        </w:rPr>
        <w:t xml:space="preserve">No Rights of a Shareholder. </w:t>
      </w:r>
      <w:r>
        <w:rPr>
          <w:rFonts w:ascii="Times New Roman;serif" w:hAnsi="Times New Roman;serif"/>
          <w:b w:val="false"/>
          <w:sz w:val="22"/>
        </w:rPr>
        <w:t>The Optionee pant shall not have any rights as a shareholder of the Company until the Shares in question have been registered in the Company’s register of shareholders.</w:t>
      </w:r>
    </w:p>
    <w:p>
      <w:pPr>
        <w:pStyle w:val="TextBody"/>
        <w:spacing w:before="0" w:after="240"/>
        <w:jc w:val="both"/>
        <w:rPr>
          <w:rFonts w:ascii="Times New Roman" w:hAnsi="Times New Roman"/>
          <w:b w:val="false"/>
          <w:sz w:val="22"/>
        </w:rPr>
      </w:pPr>
      <w:r>
        <w:rPr>
          <w:rFonts w:ascii="Times New Roman" w:hAnsi="Times New Roman"/>
          <w:b w:val="false"/>
          <w:sz w:val="22"/>
        </w:rPr>
        <w:t>(k)</w:t>
      </w:r>
    </w:p>
    <w:p>
      <w:pPr>
        <w:pStyle w:val="TextBody"/>
        <w:spacing w:before="0" w:after="240"/>
        <w:jc w:val="both"/>
        <w:rPr/>
      </w:pPr>
      <w:r>
        <w:rPr>
          <w:rFonts w:ascii="Times New Roman;serif" w:hAnsi="Times New Roman;serif"/>
          <w:b/>
          <w:sz w:val="22"/>
        </w:rPr>
        <w:t xml:space="preserve">Acknowledgement of Exchange Rate Risks. </w:t>
      </w:r>
      <w:r>
        <w:rPr>
          <w:rFonts w:ascii="Times New Roman;serif" w:hAnsi="Times New Roman;serif"/>
          <w:b w:val="false"/>
          <w:sz w:val="22"/>
        </w:rPr>
        <w:t>By accepting the award, the Optionee acknowledges that the Company has the authority to elect the U.S. Dollar or Canadian Dollar Exercise Price in its sole discretion, and that fluctuations in the exchange rate for U.S. Dollars and Canadian Dollars may impact the value of the Options pursuant to the exercise of the options or the subsequent sale of any Shares acquired in connection therewith. The Optionee accepts all foreign exchange risk and understands that the Company shall have no liability with respect to any changes in the value of the options (including if the options have no value) due to currency fluctuations, and has no obligation to elect to administer the awards in any currency or the currency most favorable to the Optionee.</w:t>
      </w:r>
    </w:p>
    <w:p>
      <w:pPr>
        <w:pStyle w:val="TextBody"/>
        <w:spacing w:before="0" w:after="240"/>
        <w:jc w:val="both"/>
        <w:rPr>
          <w:rFonts w:ascii="Times New Roman" w:hAnsi="Times New Roman"/>
          <w:b w:val="false"/>
          <w:sz w:val="22"/>
        </w:rPr>
      </w:pPr>
      <w:r>
        <w:rPr>
          <w:rFonts w:ascii="Times New Roman" w:hAnsi="Times New Roman"/>
          <w:b w:val="false"/>
          <w:sz w:val="22"/>
        </w:rPr>
        <w:t>(l)</w:t>
      </w:r>
    </w:p>
    <w:p>
      <w:pPr>
        <w:pStyle w:val="TextBody"/>
        <w:spacing w:before="0" w:after="240"/>
        <w:jc w:val="both"/>
        <w:rPr/>
      </w:pPr>
      <w:r>
        <w:rPr>
          <w:rFonts w:ascii="Times New Roman;serif" w:hAnsi="Times New Roman;serif"/>
          <w:b/>
          <w:sz w:val="22"/>
        </w:rPr>
        <w:t xml:space="preserve">Rule 16b-3. </w:t>
      </w:r>
      <w:r>
        <w:rPr>
          <w:rFonts w:ascii="Times New Roman;serif" w:hAnsi="Times New Roman;serif"/>
          <w:b w:val="false"/>
          <w:sz w:val="22"/>
        </w:rPr>
        <w:t>If the Optionee has been designated by the Company’s Board of Directors as a “Section 16 Officer” as of the Date of Grant, the grant of the option to the Optionee hereunder is intended to be exempt from the provisions of Section 16(b) of the Securities Exchange Act of 1934, as amended from time to time (the “</w:t>
      </w:r>
      <w:r>
        <w:rPr>
          <w:rFonts w:ascii="Times New Roman;serif" w:hAnsi="Times New Roman;serif"/>
          <w:b w:val="false"/>
          <w:i/>
          <w:sz w:val="22"/>
        </w:rPr>
        <w:t>Exchange Act</w:t>
      </w:r>
      <w:r>
        <w:rPr/>
        <w:t>”</w:t>
      </w:r>
      <w:r>
        <w:rPr>
          <w:rFonts w:ascii="Times New Roman;serif" w:hAnsi="Times New Roman;serif"/>
          <w:b w:val="false"/>
          <w:sz w:val="22"/>
        </w:rPr>
        <w:t>) pursuant to Rule 16b-3 promulgated under the Exchange Act.</w:t>
      </w:r>
    </w:p>
    <w:p>
      <w:pPr>
        <w:pStyle w:val="TextBody"/>
        <w:spacing w:before="0" w:after="240"/>
        <w:jc w:val="both"/>
        <w:rPr>
          <w:rFonts w:ascii="Times New Roman" w:hAnsi="Times New Roman"/>
          <w:b w:val="false"/>
          <w:sz w:val="22"/>
        </w:rPr>
      </w:pPr>
      <w:r>
        <w:rPr>
          <w:rFonts w:ascii="Times New Roman" w:hAnsi="Times New Roman"/>
          <w:b w:val="false"/>
          <w:sz w:val="22"/>
        </w:rPr>
        <w:t>(m)</w:t>
      </w:r>
    </w:p>
    <w:p>
      <w:pPr>
        <w:pStyle w:val="TextBody"/>
        <w:spacing w:before="0" w:after="240"/>
        <w:jc w:val="both"/>
        <w:rPr/>
      </w:pPr>
      <w:r>
        <w:rPr>
          <w:rFonts w:ascii="Times New Roman;serif" w:hAnsi="Times New Roman;serif"/>
          <w:b/>
          <w:sz w:val="22"/>
        </w:rPr>
        <w:t>Compliance with Laws</w:t>
      </w:r>
      <w:r>
        <w:rPr>
          <w:rFonts w:ascii="Times New Roman;serif" w:hAnsi="Times New Roman;serif"/>
          <w:b w:val="false"/>
          <w:sz w:val="22"/>
        </w:rPr>
        <w:t>. The issuance of the option (and the Shares upon exercise of the option) pursuant to this Agreement shall be subject to, and shall comply with, any applicable requirements of any Canadian Federal or provincial, or U.S. Federal or state securities laws, rules and regulations (including, without limitation, the provisions of the CSE, the Securities Act, the Exchange Act and in each case any respective rules and regulations promulgated thereunder) and any other law or regulation applicable thereto. The Company shall not be obligated to issue the option or any of the Shares pursuant to this Agreement if any such issuance would violate any such requirements.</w:t>
      </w:r>
    </w:p>
    <w:p>
      <w:pPr>
        <w:pStyle w:val="TextBody"/>
        <w:spacing w:before="0" w:after="240"/>
        <w:jc w:val="left"/>
        <w:rPr>
          <w:rFonts w:ascii="Times New Roman" w:hAnsi="Times New Roman"/>
          <w:b/>
          <w:sz w:val="22"/>
        </w:rPr>
      </w:pPr>
      <w:r>
        <w:rPr>
          <w:rFonts w:ascii="Times New Roman" w:hAnsi="Times New Roman"/>
          <w:b/>
          <w:sz w:val="22"/>
        </w:rPr>
        <w:t>SECTION 9.</w:t>
      </w:r>
    </w:p>
    <w:p>
      <w:pPr>
        <w:pStyle w:val="TextBody"/>
        <w:spacing w:before="0" w:after="240"/>
        <w:jc w:val="left"/>
        <w:rPr>
          <w:rFonts w:ascii="Times New Roman;serif" w:hAnsi="Times New Roman;serif"/>
          <w:b/>
          <w:sz w:val="22"/>
        </w:rPr>
      </w:pPr>
      <w:r>
        <w:rPr>
          <w:rFonts w:ascii="Times New Roman;serif" w:hAnsi="Times New Roman;serif"/>
          <w:b/>
          <w:sz w:val="22"/>
        </w:rPr>
        <w:t>DEFINITIONS.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addition to the definitions set forth in the Plan, the following terms shall have the meanings ascribed herein (in the event a conflict exists, the meaning set forth in this Agreement shall prevail):</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pPr>
      <w:r>
        <w:rPr/>
        <w:t>“</w:t>
      </w:r>
      <w:r>
        <w:rPr>
          <w:rFonts w:ascii="Times New Roman;serif" w:hAnsi="Times New Roman;serif"/>
          <w:b/>
          <w:i/>
          <w:sz w:val="22"/>
        </w:rPr>
        <w:t>Agreement</w:t>
      </w:r>
      <w:r>
        <w:rPr/>
        <w:t xml:space="preserve">” </w:t>
      </w:r>
      <w:r>
        <w:rPr>
          <w:rFonts w:ascii="Times New Roman;serif" w:hAnsi="Times New Roman;serif"/>
          <w:b w:val="false"/>
          <w:sz w:val="22"/>
        </w:rPr>
        <w:t>shall mean this Stock Option Agreement.</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pPr>
      <w:r>
        <w:rPr/>
        <w:t>“</w:t>
      </w:r>
      <w:r>
        <w:rPr>
          <w:rFonts w:ascii="Times New Roman;serif" w:hAnsi="Times New Roman;serif"/>
          <w:b/>
          <w:i/>
          <w:sz w:val="22"/>
        </w:rPr>
        <w:t>Cause</w:t>
      </w:r>
      <w:r>
        <w:rPr/>
        <w:t xml:space="preserve">” </w:t>
      </w:r>
      <w:r>
        <w:rPr>
          <w:rFonts w:ascii="Times New Roman;serif" w:hAnsi="Times New Roman;serif"/>
          <w:b w:val="false"/>
          <w:sz w:val="22"/>
        </w:rPr>
        <w:t xml:space="preserve">shall mean a (i) willful and repeated failure to perform duties or contravention in any material respect of specific written lawful directions related to a material duty or responsibility which is directed to be undertaken by the Board (other than due to physical or mental illness); (ii) conviction of guilty or </w:t>
      </w:r>
      <w:r>
        <w:rPr>
          <w:rFonts w:ascii="Times New Roman;serif" w:hAnsi="Times New Roman;serif"/>
          <w:b w:val="false"/>
          <w:i/>
          <w:sz w:val="22"/>
        </w:rPr>
        <w:t>nolo contendere plea</w:t>
      </w:r>
      <w:r>
        <w:rPr/>
        <w:t xml:space="preserve"> </w:t>
      </w:r>
      <w:r>
        <w:rPr>
          <w:rFonts w:ascii="Times New Roman;serif" w:hAnsi="Times New Roman;serif"/>
          <w:b w:val="false"/>
          <w:sz w:val="22"/>
        </w:rPr>
        <w:t>to, a misdemeanor which is materially and demonstrably injurious to the Company or any of its subsidiaries or any felony; (iii) commission of an act, or a failure to act, that constitutes fraud, gross negligence or willful misconduct (including without limitation, embezzlement, misappropriation or breach of fiduciary duty resulting or intending to result in personal gain at the expense of the Company or any of its subsidiaries); and (iv) violation of any applicable laws, rules or regulations or failure to comply with applicable confidentiality, non-solicitation and non-competition obligations to the Company or any of its subsidiaries, corporate code of business conduct or other material policies of the Company or any of its subsidiaries in connection with or during performance of the Optionee’s duties to the Company or any of its subsidiaries that could, in the Board’s opinion, cause material injury to the Company or any of its subsidiaries; and (v) failure to maintain applicable professional licenses or certifications. In the case of a violation or failure under (iv) or (v), if such violation or failure is curable, such violation or failure shall only constitute “Cause” if it is not cured within thirty (30) days after notice thereof to the Optionee.</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6</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pPr>
      <w:r>
        <w:rPr/>
        <w:t>“</w:t>
      </w:r>
      <w:r>
        <w:rPr>
          <w:rFonts w:ascii="Times New Roman;serif" w:hAnsi="Times New Roman;serif"/>
          <w:b/>
          <w:i/>
          <w:sz w:val="22"/>
        </w:rPr>
        <w:t>Change in Control</w:t>
      </w:r>
      <w:r>
        <w:rPr/>
        <w:t xml:space="preserve">” </w:t>
      </w:r>
      <w:r>
        <w:rPr>
          <w:rFonts w:ascii="Times New Roman;serif" w:hAnsi="Times New Roman;serif"/>
          <w:b w:val="false"/>
          <w:sz w:val="22"/>
        </w:rPr>
        <w:t>shall mean:</w:t>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pPr>
      <w:r>
        <w:rPr>
          <w:rFonts w:ascii="Times New Roman;serif" w:hAnsi="Times New Roman;serif"/>
          <w:b w:val="false"/>
          <w:sz w:val="22"/>
        </w:rPr>
        <w:t>the occurrence of any of the following events (each, a “Business Combination”): (a) the sale of securities of the Company representing 50% or more of the combined economic interests of the Company’s then outstanding equity securities on a combined, fully diluted basis in a single transaction or in a series of transactions occurring during a period of not more than twelve months to any “person” or group (within the meaning of Section 13(d)(3) or Section 14(d)(2) of the Exchange Act, or any successor provision), including any group acting for the purpose of acquiring, holding or disposing of securities (within the meaning of Rule 13d-5(b)(1) under the Exchange Act) (a “</w:t>
      </w:r>
      <w:r>
        <w:rPr>
          <w:rFonts w:ascii="Times New Roman;serif" w:hAnsi="Times New Roman;serif"/>
          <w:b/>
          <w:sz w:val="22"/>
        </w:rPr>
        <w:t>Person</w:t>
      </w:r>
      <w:r>
        <w:rPr/>
        <w:t>”</w:t>
      </w:r>
      <w:r>
        <w:rPr>
          <w:rFonts w:ascii="Times New Roman;serif" w:hAnsi="Times New Roman;serif"/>
          <w:b w:val="false"/>
          <w:sz w:val="22"/>
        </w:rPr>
        <w:t>) other than to a Qualified Affiliate or a Permitted Holder; (b) a Person becomes the beneficial owner, as defined in Rule 13d-3 under the Exchange Act, directly or indirectly, of securities representing 50% or more of the combined economic interests of the Company’s then outstanding equity securities, other than an acquisition by (1) one or more Qualified Affiliates or (2) a Permitted Holder; (c) the Company is merged, amalgamated or consolidated with another corporation; or (d) a sale of substantially all of the assets of the Company to another entity, unless, following any of the foregoing Business Combinations in (a) through (d) above, all or substantially all of the individuals and entities that were the beneficial owners of the Company’s outstanding voting securities immediately prior to such Business Combination beneficially own immediately after the transaction or transactions, directly or indirectly, securities representing 50% or more of the combined economic interests of the then outstanding voting equity securities (or comparable interests) of the entity resulting from such Business Combination (including an entity that, as a result of such transaction, owns the Company or all or substantially all of the Company’s assets either directly or through one or more Affiliates) in substantially the same proportions as their ownership of the Company’s voting equity securities immediately prior to such Business Combination; or</w:t>
      </w:r>
    </w:p>
    <w:p>
      <w:pPr>
        <w:pStyle w:val="TextBody"/>
        <w:spacing w:before="0" w:after="240"/>
        <w:jc w:val="both"/>
        <w:rPr>
          <w:rFonts w:ascii="Times New Roman" w:hAnsi="Times New Roman"/>
          <w:b w:val="false"/>
          <w:sz w:val="22"/>
        </w:rPr>
      </w:pPr>
      <w:r>
        <w:rPr>
          <w:rFonts w:ascii="Times New Roman" w:hAnsi="Times New Roman"/>
          <w:b w:val="false"/>
          <w:sz w:val="22"/>
        </w:rPr>
        <w:t>(ii)</w:t>
      </w:r>
    </w:p>
    <w:p>
      <w:pPr>
        <w:pStyle w:val="TextBody"/>
        <w:spacing w:before="0" w:after="240"/>
        <w:jc w:val="both"/>
        <w:rPr/>
      </w:pPr>
      <w:r>
        <w:rPr>
          <w:rFonts w:ascii="Times New Roman;serif" w:hAnsi="Times New Roman;serif"/>
          <w:b w:val="false"/>
          <w:sz w:val="22"/>
        </w:rPr>
        <w:t>in any twelve (12) month period, the individuals who, as of the beginning of the 12-month period, constitute the Board of Directors (the “</w:t>
      </w:r>
      <w:r>
        <w:rPr>
          <w:rFonts w:ascii="Times New Roman;serif" w:hAnsi="Times New Roman;serif"/>
          <w:b/>
          <w:i/>
          <w:sz w:val="22"/>
        </w:rPr>
        <w:t>Incumbent Board</w:t>
      </w:r>
      <w:r>
        <w:rPr/>
        <w:t>”</w:t>
      </w:r>
      <w:r>
        <w:rPr>
          <w:rFonts w:ascii="Times New Roman;serif" w:hAnsi="Times New Roman;serif"/>
          <w:b w:val="false"/>
          <w:sz w:val="22"/>
        </w:rPr>
        <w:t>) cease for any reason to constitute at least a majority of the Board of Directors; provided, however, that any individual becoming a director subsequent to the Effective Date whose election or appointment, or nomination for election by Company’s shareholders,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Notwithstanding the foregoing,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the ownership of a substantial portion of the assets” of the Company within the meaning of Section 409A of the Code.</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pPr>
      <w:r>
        <w:rPr/>
        <w:t>“</w:t>
      </w:r>
      <w:r>
        <w:rPr>
          <w:rFonts w:ascii="Times New Roman;serif" w:hAnsi="Times New Roman;serif"/>
          <w:b/>
          <w:i/>
          <w:sz w:val="22"/>
        </w:rPr>
        <w:t>Date of Grant</w:t>
      </w:r>
      <w:r>
        <w:rPr/>
        <w:t xml:space="preserve">” </w:t>
      </w:r>
      <w:r>
        <w:rPr>
          <w:rFonts w:ascii="Times New Roman;serif" w:hAnsi="Times New Roman;serif"/>
          <w:b w:val="false"/>
          <w:sz w:val="22"/>
        </w:rPr>
        <w:t>shall mean the date specified in the Notice of Stock Option Grant.</w:t>
      </w:r>
    </w:p>
    <w:p>
      <w:pPr>
        <w:pStyle w:val="TextBody"/>
        <w:spacing w:before="0" w:after="240"/>
        <w:jc w:val="both"/>
        <w:rPr>
          <w:rFonts w:ascii="Times New Roman" w:hAnsi="Times New Roman"/>
          <w:b w:val="false"/>
          <w:sz w:val="22"/>
        </w:rPr>
      </w:pPr>
      <w:r>
        <w:rPr>
          <w:rFonts w:ascii="Times New Roman" w:hAnsi="Times New Roman"/>
          <w:b w:val="false"/>
          <w:sz w:val="22"/>
        </w:rPr>
        <w:t>(e)</w:t>
      </w:r>
    </w:p>
    <w:p>
      <w:pPr>
        <w:pStyle w:val="TextBody"/>
        <w:spacing w:before="0" w:after="240"/>
        <w:jc w:val="both"/>
        <w:rPr/>
      </w:pPr>
      <w:r>
        <w:rPr/>
        <w:t>“</w:t>
      </w:r>
      <w:r>
        <w:rPr>
          <w:rFonts w:ascii="Times New Roman;serif" w:hAnsi="Times New Roman;serif"/>
          <w:b/>
          <w:i/>
          <w:sz w:val="22"/>
        </w:rPr>
        <w:t>Exercise Price</w:t>
      </w:r>
      <w:r>
        <w:rPr/>
        <w:t xml:space="preserve">” </w:t>
      </w:r>
      <w:r>
        <w:rPr>
          <w:rFonts w:ascii="Times New Roman;serif" w:hAnsi="Times New Roman;serif"/>
          <w:b w:val="false"/>
          <w:sz w:val="22"/>
        </w:rPr>
        <w:t>shall mean the amount for which one Share may be purchased upon exercise of this option, as specified in the Notice of Stock Option Grant.</w:t>
      </w:r>
    </w:p>
    <w:p>
      <w:pPr>
        <w:pStyle w:val="TextBody"/>
        <w:spacing w:before="0" w:after="240"/>
        <w:jc w:val="both"/>
        <w:rPr>
          <w:rFonts w:ascii="Times New Roman" w:hAnsi="Times New Roman"/>
          <w:b w:val="false"/>
          <w:sz w:val="22"/>
        </w:rPr>
      </w:pPr>
      <w:r>
        <w:rPr>
          <w:rFonts w:ascii="Times New Roman" w:hAnsi="Times New Roman"/>
          <w:b w:val="false"/>
          <w:sz w:val="22"/>
        </w:rPr>
        <w:t>(f)</w:t>
      </w:r>
    </w:p>
    <w:p>
      <w:pPr>
        <w:pStyle w:val="TextBody"/>
        <w:spacing w:before="0" w:after="240"/>
        <w:jc w:val="both"/>
        <w:rPr/>
      </w:pPr>
      <w:r>
        <w:rPr/>
        <w:t>“</w:t>
      </w:r>
      <w:r>
        <w:rPr>
          <w:rFonts w:ascii="Times New Roman;serif" w:hAnsi="Times New Roman;serif"/>
          <w:b/>
          <w:i/>
          <w:sz w:val="22"/>
        </w:rPr>
        <w:t>Notice of Stock Option Grant</w:t>
      </w:r>
      <w:r>
        <w:rPr/>
        <w:t xml:space="preserve">” </w:t>
      </w:r>
      <w:r>
        <w:rPr>
          <w:rFonts w:ascii="Times New Roman;serif" w:hAnsi="Times New Roman;serif"/>
          <w:b w:val="false"/>
          <w:sz w:val="22"/>
        </w:rPr>
        <w:t>shall mean the document so entitled to which this Agreement.</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7</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(g)</w:t>
      </w:r>
    </w:p>
    <w:p>
      <w:pPr>
        <w:pStyle w:val="TextBody"/>
        <w:spacing w:before="0" w:after="240"/>
        <w:jc w:val="both"/>
        <w:rPr/>
      </w:pPr>
      <w:r>
        <w:rPr/>
        <w:t>“</w:t>
      </w:r>
      <w:r>
        <w:rPr>
          <w:rFonts w:ascii="Times New Roman;serif" w:hAnsi="Times New Roman;serif"/>
          <w:b/>
          <w:i/>
          <w:sz w:val="22"/>
        </w:rPr>
        <w:t>Optionee</w:t>
      </w:r>
      <w:r>
        <w:rPr/>
        <w:t xml:space="preserve">” </w:t>
      </w:r>
      <w:r>
        <w:rPr>
          <w:rFonts w:ascii="Times New Roman;serif" w:hAnsi="Times New Roman;serif"/>
          <w:b w:val="false"/>
          <w:sz w:val="22"/>
        </w:rPr>
        <w:t>shall mean the individual named in the Notice of Stock Option Grant.</w:t>
      </w:r>
    </w:p>
    <w:p>
      <w:pPr>
        <w:pStyle w:val="TextBody"/>
        <w:spacing w:before="0" w:after="240"/>
        <w:jc w:val="both"/>
        <w:rPr>
          <w:rFonts w:ascii="Times New Roman" w:hAnsi="Times New Roman"/>
          <w:b w:val="false"/>
          <w:sz w:val="22"/>
        </w:rPr>
      </w:pPr>
      <w:r>
        <w:rPr>
          <w:rFonts w:ascii="Times New Roman" w:hAnsi="Times New Roman"/>
          <w:b w:val="false"/>
          <w:sz w:val="22"/>
        </w:rPr>
        <w:t>(h)</w:t>
      </w:r>
    </w:p>
    <w:p>
      <w:pPr>
        <w:pStyle w:val="TextBody"/>
        <w:spacing w:before="0" w:after="240"/>
        <w:jc w:val="both"/>
        <w:rPr/>
      </w:pPr>
      <w:r>
        <w:rPr/>
        <w:t>“</w:t>
      </w:r>
      <w:r>
        <w:rPr>
          <w:rFonts w:ascii="Times New Roman;serif" w:hAnsi="Times New Roman;serif"/>
          <w:b/>
          <w:i/>
          <w:sz w:val="22"/>
        </w:rPr>
        <w:t>Permitted Holder</w:t>
      </w:r>
      <w:r>
        <w:rPr/>
        <w:t xml:space="preserve">” </w:t>
      </w:r>
      <w:r>
        <w:rPr>
          <w:rFonts w:ascii="Times New Roman;serif" w:hAnsi="Times New Roman;serif"/>
          <w:b w:val="false"/>
          <w:sz w:val="22"/>
        </w:rPr>
        <w:t>shall mean any Person that includes Ben Kovler.</w:t>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pPr>
      <w:r>
        <w:rPr/>
        <w:t>“</w:t>
      </w:r>
      <w:r>
        <w:rPr>
          <w:rFonts w:ascii="Times New Roman;serif" w:hAnsi="Times New Roman;serif"/>
          <w:b/>
          <w:i/>
          <w:sz w:val="22"/>
        </w:rPr>
        <w:t>Purchase Price</w:t>
      </w:r>
      <w:r>
        <w:rPr/>
        <w:t xml:space="preserve">” </w:t>
      </w:r>
      <w:r>
        <w:rPr>
          <w:rFonts w:ascii="Times New Roman;serif" w:hAnsi="Times New Roman;serif"/>
          <w:b w:val="false"/>
          <w:sz w:val="22"/>
        </w:rPr>
        <w:t>shall mean the Exercise Price multiplied by the number of Shares with respect to which this option is being exercised.</w:t>
      </w:r>
    </w:p>
    <w:p>
      <w:pPr>
        <w:pStyle w:val="TextBody"/>
        <w:spacing w:before="0" w:after="240"/>
        <w:jc w:val="both"/>
        <w:rPr>
          <w:rFonts w:ascii="Times New Roman" w:hAnsi="Times New Roman"/>
          <w:b w:val="false"/>
          <w:sz w:val="22"/>
        </w:rPr>
      </w:pPr>
      <w:r>
        <w:rPr>
          <w:rFonts w:ascii="Times New Roman" w:hAnsi="Times New Roman"/>
          <w:b w:val="false"/>
          <w:sz w:val="22"/>
        </w:rPr>
        <w:t>(j)</w:t>
      </w:r>
    </w:p>
    <w:p>
      <w:pPr>
        <w:pStyle w:val="TextBody"/>
        <w:spacing w:before="0" w:after="240"/>
        <w:jc w:val="both"/>
        <w:rPr/>
      </w:pPr>
      <w:r>
        <w:rPr/>
        <w:t>“</w:t>
      </w:r>
      <w:r>
        <w:rPr>
          <w:rFonts w:ascii="Times New Roman;serif" w:hAnsi="Times New Roman;serif"/>
          <w:b/>
          <w:i/>
          <w:sz w:val="22"/>
        </w:rPr>
        <w:t>Qualified Affiliate</w:t>
      </w:r>
      <w:r>
        <w:rPr/>
        <w:t xml:space="preserve">” </w:t>
      </w:r>
      <w:r>
        <w:rPr>
          <w:rFonts w:ascii="Times New Roman;serif" w:hAnsi="Times New Roman;serif"/>
          <w:b w:val="false"/>
          <w:sz w:val="22"/>
        </w:rPr>
        <w:t xml:space="preserve">shall mean (i) any Person that is part of a controlled group or under common control with the Company; or (ii) any employee benefit plan (or related trust) sponsored or maintained by the Company or by any entity controlled by the Company.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8</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Updated April 2023</w:t>
      </w:r>
    </w:p>
    <w:p>
      <w:pPr>
        <w:pStyle w:val="HorizontalLine"/>
        <w:rPr/>
      </w:pPr>
      <w:r>
        <w:rPr/>
      </w:r>
      <w:r>
        <w:br w:type="page"/>
      </w:r>
    </w:p>
    <w:p>
      <w:pPr>
        <w:pStyle w:val="TextBody"/>
        <w:spacing w:before="0" w:after="0"/>
        <w:jc w:val="right"/>
        <w:rPr>
          <w:rFonts w:ascii="Times New Roman" w:hAnsi="Times New Roman"/>
          <w:sz w:val="20"/>
        </w:rPr>
      </w:pPr>
      <w:bookmarkStart w:id="28" w:name="gtbif-ex31_1.htm"/>
      <w:bookmarkStart w:id="29" w:name="ksgtbifex31_1"/>
      <w:bookmarkEnd w:id="28"/>
      <w:bookmarkEnd w:id="29"/>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CERTIFICATE OF CHIEF EXECUTIVE OFFICER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Benjamin Kovler,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Green Thumb Industries Inc.;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/s/Benjamin Kovler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Benjamin Kovler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bl>
    <w:p>
      <w:pPr>
        <w:pStyle w:val="TextBody"/>
        <w:spacing w:before="240" w:after="0"/>
        <w:jc w:val="left"/>
        <w:rPr>
          <w:rFonts w:ascii="Times New Roman" w:hAnsi="Times New Roman"/>
          <w:sz w:val="20"/>
        </w:rPr>
      </w:pPr>
      <w:r>
        <w:rPr>
          <w:rFonts w:ascii="Times New Roman;serif" w:hAnsi="Times New Roman;serif"/>
          <w:b w:val="false"/>
          <w:sz w:val="20"/>
        </w:rPr>
        <w:t>Date: May 4, 2023</w:t>
      </w:r>
      <w:r>
        <w:rPr>
          <w:rFonts w:ascii="Times New Roman" w:hAnsi="Times New Roman"/>
          <w:sz w:val="20"/>
        </w:rPr>
        <w:t xml:space="preserve"> </w:t>
      </w:r>
    </w:p>
    <w:p>
      <w:pPr>
        <w:pStyle w:val="HorizontalLine"/>
        <w:rPr/>
      </w:pPr>
      <w:r>
        <w:rPr/>
      </w:r>
      <w:r>
        <w:br w:type="page"/>
      </w:r>
    </w:p>
    <w:p>
      <w:pPr>
        <w:pStyle w:val="TextBody"/>
        <w:spacing w:before="0" w:after="0"/>
        <w:jc w:val="right"/>
        <w:rPr>
          <w:rFonts w:ascii="Times New Roman" w:hAnsi="Times New Roman"/>
          <w:sz w:val="20"/>
        </w:rPr>
      </w:pPr>
      <w:bookmarkStart w:id="30" w:name="gtbif-ex31_2.htm"/>
      <w:bookmarkStart w:id="31" w:name="ksgtbifex31_2"/>
      <w:bookmarkEnd w:id="30"/>
      <w:bookmarkEnd w:id="31"/>
      <w:r>
        <w:rPr>
          <w:rFonts w:ascii="Times New Roman;serif" w:hAnsi="Times New Roman;serif"/>
          <w:b/>
          <w:sz w:val="20"/>
        </w:rPr>
        <w:t>Exhibit 31.2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CERTIFICATE OF CHIEF FINANCIAL OFFICER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Mathew Faulkner,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Green Thumb Industries Inc.;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/s/Mathew Faulkner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Mathew Faulkner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4, 2023</w:t>
      </w:r>
    </w:p>
    <w:p>
      <w:pPr>
        <w:pStyle w:val="HorizontalLine"/>
        <w:rPr/>
      </w:pPr>
      <w:r>
        <w:rPr/>
      </w:r>
      <w:r>
        <w:br w:type="page"/>
      </w:r>
    </w:p>
    <w:p>
      <w:pPr>
        <w:pStyle w:val="TextBody"/>
        <w:spacing w:before="180" w:after="0"/>
        <w:jc w:val="left"/>
        <w:rPr/>
      </w:pPr>
      <w:bookmarkStart w:id="32" w:name="gtbif-ex32_1.htm"/>
      <w:bookmarkStart w:id="33" w:name="ksgtbifex32_1"/>
      <w:bookmarkEnd w:id="32"/>
      <w:bookmarkEnd w:id="33"/>
      <w:r>
        <w:rPr/>
        <w:t> </w:t>
      </w:r>
    </w:p>
    <w:p>
      <w:pPr>
        <w:pStyle w:val="TextBody"/>
        <w:spacing w:before="0" w:after="0"/>
        <w:jc w:val="right"/>
        <w:rPr>
          <w:rFonts w:ascii="Times New Roman" w:hAnsi="Times New Roman"/>
          <w:sz w:val="20"/>
        </w:rPr>
      </w:pPr>
      <w:r>
        <w:rPr>
          <w:rFonts w:ascii="Times New Roman;serif" w:hAnsi="Times New Roman;serif"/>
          <w:b/>
          <w:sz w:val="20"/>
        </w:rPr>
        <w:t>Exhibit 32.1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PURSUANT TO 18 U.S.C. SECTION 1350, 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of Green Thumb Industries Inc. (the “Company”) on Form 10-Q for the three months ended March 31, 2023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r>
        <w:rPr>
          <w:rFonts w:ascii="Times New Roman" w:hAnsi="Times New Roman"/>
          <w:sz w:val="20"/>
        </w:rPr>
        <w:t xml:space="preserve">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/s/Benjamin Kovler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Benjamin Kovler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4, 2023</w:t>
      </w:r>
    </w:p>
    <w:p>
      <w:pPr>
        <w:pStyle w:val="HorizontalLine"/>
        <w:rPr/>
      </w:pPr>
      <w:r>
        <w:rPr/>
      </w:r>
      <w:r>
        <w:br w:type="page"/>
      </w:r>
    </w:p>
    <w:p>
      <w:pPr>
        <w:pStyle w:val="TextBody"/>
        <w:spacing w:before="180" w:after="0"/>
        <w:jc w:val="left"/>
        <w:rPr/>
      </w:pPr>
      <w:bookmarkStart w:id="34" w:name="gtbif-ex32_2.htm"/>
      <w:bookmarkStart w:id="35" w:name="ksgtbifex32_2"/>
      <w:bookmarkEnd w:id="34"/>
      <w:bookmarkEnd w:id="35"/>
      <w:r>
        <w:rPr/>
        <w:t> </w:t>
      </w:r>
    </w:p>
    <w:p>
      <w:pPr>
        <w:pStyle w:val="TextBody"/>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PURSUANT TO 18 U.S.C. SECTION 1350, 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of Green Thumb Industries Inc. (the “Company”) on Form 10-Q for the three months ended March 31, 2023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r>
        <w:rPr>
          <w:rFonts w:ascii="Times New Roman" w:hAnsi="Times New Roman"/>
          <w:sz w:val="20"/>
        </w:rPr>
        <w:t xml:space="preserve">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/s/Mathew Faulkner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Mathew Faulkner</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bl>
    <w:p>
      <w:pPr>
        <w:pStyle w:val="TextBody"/>
        <w:spacing w:before="240" w:after="0"/>
        <w:jc w:val="left"/>
        <w:rPr>
          <w:rFonts w:ascii="Times New Roman" w:hAnsi="Times New Roman"/>
          <w:sz w:val="20"/>
        </w:rPr>
      </w:pPr>
      <w:r>
        <w:rPr>
          <w:rFonts w:ascii="Times New Roman;serif" w:hAnsi="Times New Roman;serif"/>
          <w:b w:val="false"/>
          <w:sz w:val="20"/>
        </w:rPr>
        <w:t>Date: May 4, 2023</w:t>
      </w:r>
      <w:r>
        <w:rPr>
          <w:rFonts w:ascii="Times New Roman" w:hAnsi="Times New Roman"/>
          <w:sz w:val="20"/>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23658</Words>
  <CharactersWithSpaces>153948</CharactersWithSpaces>
  <Paragraphs>4386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