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100" w:lineRule="exact"/>
        <w:rPr>
          <w:sz w:val="24"/>
          <w:szCs w:val="24"/>
          <w:color w:val="auto"/>
        </w:rPr>
      </w:pPr>
    </w:p>
    <w:p>
      <w:pPr>
        <w:ind w:left="520" w:right="140" w:hanging="512"/>
        <w:spacing w:after="0" w:line="297" w:lineRule="auto"/>
        <w:tabs>
          <w:tab w:leader="none" w:pos="44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29210</wp:posOffset>
            </wp:positionV>
            <wp:extent cx="408876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876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000-56132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GREEN THUMB INDUSTRIES INC.</w:t>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73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4"/>
              </w:rPr>
              <w:t>British Columbia</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98-1437430</w:t>
            </w:r>
          </w:p>
        </w:tc>
      </w:tr>
      <w:tr>
        <w:trPr>
          <w:trHeight w:val="147"/>
        </w:trPr>
        <w:tc>
          <w:tcPr>
            <w:tcW w:w="7340" w:type="dxa"/>
            <w:vAlign w:val="bottom"/>
            <w:gridSpan w:val="3"/>
          </w:tcPr>
          <w:p>
            <w:pPr>
              <w:jc w:val="center"/>
              <w:ind w:right="1700"/>
              <w:spacing w:after="0"/>
              <w:rPr>
                <w:sz w:val="20"/>
                <w:szCs w:val="20"/>
                <w:color w:val="auto"/>
              </w:rPr>
            </w:pPr>
            <w:r>
              <w:rPr>
                <w:rFonts w:ascii="Arial" w:cs="Arial" w:eastAsia="Arial" w:hAnsi="Arial"/>
                <w:sz w:val="11"/>
                <w:szCs w:val="11"/>
                <w:b w:val="1"/>
                <w:bCs w:val="1"/>
                <w:color w:val="auto"/>
                <w:w w:val="90"/>
              </w:rPr>
              <w:t>(State or other jurisdiction of</w:t>
            </w:r>
          </w:p>
        </w:tc>
        <w:tc>
          <w:tcPr>
            <w:tcW w:w="1500" w:type="dxa"/>
            <w:vAlign w:val="bottom"/>
          </w:tcPr>
          <w:p>
            <w:pPr>
              <w:jc w:val="center"/>
              <w:ind w:left="616"/>
              <w:spacing w:after="0"/>
              <w:rPr>
                <w:sz w:val="20"/>
                <w:szCs w:val="20"/>
                <w:color w:val="auto"/>
              </w:rPr>
            </w:pPr>
            <w:r>
              <w:rPr>
                <w:rFonts w:ascii="Arial" w:cs="Arial" w:eastAsia="Arial" w:hAnsi="Arial"/>
                <w:sz w:val="11"/>
                <w:szCs w:val="11"/>
                <w:b w:val="1"/>
                <w:bCs w:val="1"/>
                <w:color w:val="auto"/>
                <w:w w:val="88"/>
              </w:rPr>
              <w:t>(I.R.S. employer</w:t>
            </w:r>
          </w:p>
        </w:tc>
      </w:tr>
      <w:tr>
        <w:trPr>
          <w:trHeight w:val="140"/>
        </w:trPr>
        <w:tc>
          <w:tcPr>
            <w:tcW w:w="7340" w:type="dxa"/>
            <w:vAlign w:val="bottom"/>
            <w:gridSpan w:val="3"/>
          </w:tcPr>
          <w:p>
            <w:pPr>
              <w:jc w:val="center"/>
              <w:ind w:right="1700"/>
              <w:spacing w:after="0"/>
              <w:rPr>
                <w:sz w:val="20"/>
                <w:szCs w:val="20"/>
                <w:color w:val="auto"/>
              </w:rPr>
            </w:pPr>
            <w:r>
              <w:rPr>
                <w:rFonts w:ascii="Arial" w:cs="Arial" w:eastAsia="Arial" w:hAnsi="Arial"/>
                <w:sz w:val="11"/>
                <w:szCs w:val="11"/>
                <w:b w:val="1"/>
                <w:bCs w:val="1"/>
                <w:color w:val="auto"/>
                <w:w w:val="89"/>
              </w:rPr>
              <w:t>incorporation or organization)</w:t>
            </w:r>
          </w:p>
        </w:tc>
        <w:tc>
          <w:tcPr>
            <w:tcW w:w="1500" w:type="dxa"/>
            <w:vAlign w:val="bottom"/>
          </w:tcPr>
          <w:p>
            <w:pPr>
              <w:jc w:val="center"/>
              <w:ind w:left="616"/>
              <w:spacing w:after="0"/>
              <w:rPr>
                <w:sz w:val="20"/>
                <w:szCs w:val="20"/>
                <w:color w:val="auto"/>
              </w:rPr>
            </w:pPr>
            <w:r>
              <w:rPr>
                <w:rFonts w:ascii="Arial" w:cs="Arial" w:eastAsia="Arial" w:hAnsi="Arial"/>
                <w:sz w:val="11"/>
                <w:szCs w:val="11"/>
                <w:b w:val="1"/>
                <w:bCs w:val="1"/>
                <w:color w:val="auto"/>
                <w:w w:val="89"/>
              </w:rPr>
              <w:t>identification no.)</w:t>
            </w:r>
          </w:p>
        </w:tc>
      </w:tr>
      <w:tr>
        <w:trPr>
          <w:trHeight w:val="350"/>
        </w:trPr>
        <w:tc>
          <w:tcPr>
            <w:tcW w:w="7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3"/>
              </w:rPr>
              <w:t>325 West Huron Street,</w:t>
            </w:r>
          </w:p>
        </w:tc>
        <w:tc>
          <w:tcPr>
            <w:tcW w:w="1500" w:type="dxa"/>
            <w:vAlign w:val="bottom"/>
          </w:tcPr>
          <w:p>
            <w:pPr>
              <w:spacing w:after="0"/>
              <w:rPr>
                <w:sz w:val="24"/>
                <w:szCs w:val="24"/>
                <w:color w:val="auto"/>
              </w:rPr>
            </w:pPr>
          </w:p>
        </w:tc>
      </w:tr>
      <w:tr>
        <w:trPr>
          <w:trHeight w:val="200"/>
        </w:trPr>
        <w:tc>
          <w:tcPr>
            <w:tcW w:w="73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Suite 700 Chicago, Illinois</w:t>
            </w:r>
          </w:p>
        </w:tc>
        <w:tc>
          <w:tcPr>
            <w:tcW w:w="1500" w:type="dxa"/>
            <w:vAlign w:val="bottom"/>
          </w:tcPr>
          <w:p>
            <w:pPr>
              <w:jc w:val="right"/>
              <w:ind w:right="156"/>
              <w:spacing w:after="0"/>
              <w:rPr>
                <w:sz w:val="20"/>
                <w:szCs w:val="20"/>
                <w:color w:val="auto"/>
              </w:rPr>
            </w:pPr>
            <w:r>
              <w:rPr>
                <w:rFonts w:ascii="Arial" w:cs="Arial" w:eastAsia="Arial" w:hAnsi="Arial"/>
                <w:sz w:val="14"/>
                <w:szCs w:val="14"/>
                <w:b w:val="1"/>
                <w:bCs w:val="1"/>
                <w:color w:val="auto"/>
              </w:rPr>
              <w:t>60654</w:t>
            </w:r>
          </w:p>
        </w:tc>
      </w:tr>
      <w:tr>
        <w:trPr>
          <w:trHeight w:val="152"/>
        </w:trPr>
        <w:tc>
          <w:tcPr>
            <w:tcW w:w="7340" w:type="dxa"/>
            <w:vAlign w:val="bottom"/>
            <w:gridSpan w:val="3"/>
          </w:tcPr>
          <w:p>
            <w:pPr>
              <w:jc w:val="center"/>
              <w:ind w:right="1720"/>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1500" w:type="dxa"/>
            <w:vAlign w:val="bottom"/>
          </w:tcPr>
          <w:p>
            <w:pPr>
              <w:jc w:val="center"/>
              <w:ind w:left="616"/>
              <w:spacing w:after="0"/>
              <w:rPr>
                <w:sz w:val="20"/>
                <w:szCs w:val="20"/>
                <w:color w:val="auto"/>
              </w:rPr>
            </w:pPr>
            <w:r>
              <w:rPr>
                <w:rFonts w:ascii="Arial" w:cs="Arial" w:eastAsia="Arial" w:hAnsi="Arial"/>
                <w:sz w:val="11"/>
                <w:szCs w:val="11"/>
                <w:b w:val="1"/>
                <w:bCs w:val="1"/>
                <w:color w:val="auto"/>
                <w:w w:val="89"/>
              </w:rPr>
              <w:t>(zip code)</w:t>
            </w:r>
          </w:p>
        </w:tc>
      </w:tr>
      <w:tr>
        <w:trPr>
          <w:trHeight w:val="280"/>
        </w:trPr>
        <w:tc>
          <w:tcPr>
            <w:tcW w:w="8840" w:type="dxa"/>
            <w:vAlign w:val="bottom"/>
            <w:gridSpan w:val="4"/>
          </w:tcPr>
          <w:p>
            <w:pPr>
              <w:jc w:val="center"/>
              <w:ind w:left="2333"/>
              <w:spacing w:after="0"/>
              <w:rPr>
                <w:sz w:val="20"/>
                <w:szCs w:val="20"/>
                <w:color w:val="auto"/>
              </w:rPr>
            </w:pPr>
            <w:r>
              <w:rPr>
                <w:rFonts w:ascii="Arial" w:cs="Arial" w:eastAsia="Arial" w:hAnsi="Arial"/>
                <w:sz w:val="14"/>
                <w:szCs w:val="14"/>
                <w:b w:val="1"/>
                <w:bCs w:val="1"/>
                <w:color w:val="auto"/>
                <w:w w:val="91"/>
              </w:rPr>
              <w:t>Registrant’s telephone number, including area code - (312) 471-6720</w:t>
            </w:r>
          </w:p>
        </w:tc>
      </w:tr>
      <w:tr>
        <w:trPr>
          <w:trHeight w:val="147"/>
        </w:trPr>
        <w:tc>
          <w:tcPr>
            <w:tcW w:w="450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100" w:type="dxa"/>
            <w:vAlign w:val="bottom"/>
            <w:gridSpan w:val="2"/>
          </w:tcPr>
          <w:p>
            <w:pPr>
              <w:spacing w:after="0"/>
              <w:rPr>
                <w:sz w:val="12"/>
                <w:szCs w:val="12"/>
                <w:color w:val="auto"/>
              </w:rPr>
            </w:pPr>
          </w:p>
        </w:tc>
      </w:tr>
      <w:tr>
        <w:trPr>
          <w:trHeight w:val="254"/>
        </w:trPr>
        <w:tc>
          <w:tcPr>
            <w:tcW w:w="8840" w:type="dxa"/>
            <w:vAlign w:val="bottom"/>
            <w:gridSpan w:val="4"/>
          </w:tcPr>
          <w:p>
            <w:pPr>
              <w:jc w:val="center"/>
              <w:ind w:left="2333"/>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r>
      <w:tr>
        <w:trPr>
          <w:trHeight w:val="175"/>
        </w:trPr>
        <w:tc>
          <w:tcPr>
            <w:tcW w:w="4500" w:type="dxa"/>
            <w:vAlign w:val="bottom"/>
          </w:tcPr>
          <w:p>
            <w:pPr>
              <w:spacing w:after="0"/>
              <w:rPr>
                <w:sz w:val="15"/>
                <w:szCs w:val="15"/>
                <w:color w:val="auto"/>
              </w:rPr>
            </w:pPr>
          </w:p>
        </w:tc>
        <w:tc>
          <w:tcPr>
            <w:tcW w:w="2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Subordinate Voting Shares</w:t>
            </w:r>
          </w:p>
        </w:tc>
        <w:tc>
          <w:tcPr>
            <w:tcW w:w="1500" w:type="dxa"/>
            <w:vAlign w:val="bottom"/>
          </w:tcPr>
          <w:p>
            <w:pPr>
              <w:spacing w:after="0"/>
              <w:rPr>
                <w:sz w:val="15"/>
                <w:szCs w:val="15"/>
                <w:color w:val="auto"/>
              </w:rPr>
            </w:pPr>
          </w:p>
        </w:tc>
      </w:tr>
      <w:tr>
        <w:trPr>
          <w:trHeight w:val="175"/>
        </w:trPr>
        <w:tc>
          <w:tcPr>
            <w:tcW w:w="4500" w:type="dxa"/>
            <w:vAlign w:val="bottom"/>
          </w:tcPr>
          <w:p>
            <w:pPr>
              <w:spacing w:after="0"/>
              <w:rPr>
                <w:sz w:val="15"/>
                <w:szCs w:val="15"/>
                <w:color w:val="auto"/>
              </w:rPr>
            </w:pPr>
          </w:p>
        </w:tc>
        <w:tc>
          <w:tcPr>
            <w:tcW w:w="2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Multiple Voting Shares</w:t>
            </w:r>
          </w:p>
        </w:tc>
        <w:tc>
          <w:tcPr>
            <w:tcW w:w="1500" w:type="dxa"/>
            <w:vAlign w:val="bottom"/>
          </w:tcPr>
          <w:p>
            <w:pPr>
              <w:spacing w:after="0"/>
              <w:rPr>
                <w:sz w:val="15"/>
                <w:szCs w:val="15"/>
                <w:color w:val="auto"/>
              </w:rPr>
            </w:pPr>
          </w:p>
        </w:tc>
      </w:tr>
      <w:tr>
        <w:trPr>
          <w:trHeight w:val="171"/>
        </w:trPr>
        <w:tc>
          <w:tcPr>
            <w:tcW w:w="4500" w:type="dxa"/>
            <w:vAlign w:val="bottom"/>
          </w:tcPr>
          <w:p>
            <w:pPr>
              <w:spacing w:after="0"/>
              <w:rPr>
                <w:sz w:val="14"/>
                <w:szCs w:val="14"/>
                <w:color w:val="auto"/>
              </w:rPr>
            </w:pPr>
          </w:p>
        </w:tc>
        <w:tc>
          <w:tcPr>
            <w:tcW w:w="2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Super Voting Shares</w:t>
            </w:r>
          </w:p>
        </w:tc>
        <w:tc>
          <w:tcPr>
            <w:tcW w:w="1500" w:type="dxa"/>
            <w:vAlign w:val="bottom"/>
          </w:tcPr>
          <w:p>
            <w:pPr>
              <w:spacing w:after="0"/>
              <w:rPr>
                <w:sz w:val="14"/>
                <w:szCs w:val="14"/>
                <w:color w:val="auto"/>
              </w:rPr>
            </w:pPr>
          </w:p>
        </w:tc>
      </w:tr>
      <w:tr>
        <w:trPr>
          <w:trHeight w:val="140"/>
        </w:trPr>
        <w:tc>
          <w:tcPr>
            <w:tcW w:w="4500" w:type="dxa"/>
            <w:vAlign w:val="bottom"/>
          </w:tcPr>
          <w:p>
            <w:pPr>
              <w:spacing w:after="0"/>
              <w:rPr>
                <w:sz w:val="12"/>
                <w:szCs w:val="12"/>
                <w:color w:val="auto"/>
              </w:rPr>
            </w:pPr>
          </w:p>
        </w:tc>
        <w:tc>
          <w:tcPr>
            <w:tcW w:w="284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88"/>
              </w:rPr>
              <w:t>(Title of each Class)</w:t>
            </w:r>
          </w:p>
        </w:tc>
        <w:tc>
          <w:tcPr>
            <w:tcW w:w="1500" w:type="dxa"/>
            <w:vAlign w:val="bottom"/>
          </w:tcPr>
          <w:p>
            <w:pPr>
              <w:spacing w:after="0"/>
              <w:rPr>
                <w:sz w:val="12"/>
                <w:szCs w:val="12"/>
                <w:color w:val="auto"/>
              </w:rPr>
            </w:pPr>
          </w:p>
        </w:tc>
      </w:tr>
      <w:tr>
        <w:trPr>
          <w:trHeight w:val="296"/>
        </w:trPr>
        <w:tc>
          <w:tcPr>
            <w:tcW w:w="7340" w:type="dxa"/>
            <w:vAlign w:val="bottom"/>
            <w:gridSpan w:val="3"/>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15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56"/>
        </w:trPr>
        <w:tc>
          <w:tcPr>
            <w:tcW w:w="7340" w:type="dxa"/>
            <w:vAlign w:val="bottom"/>
            <w:gridSpan w:val="3"/>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15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72"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3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85" w:lineRule="exact"/>
        <w:rPr>
          <w:sz w:val="24"/>
          <w:szCs w:val="24"/>
          <w:color w:val="auto"/>
        </w:rPr>
      </w:pPr>
    </w:p>
    <w:p>
      <w:pPr>
        <w:ind w:right="4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tabs>
          <w:tab w:leader="none" w:pos="65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As of August 1, 2021, there were 190,949,708 shares of the registrant’s Subordinate Voting Shares, 3,965,400 shares of the registrant’s Multiple Voting Shares (on an as converted basis) and 29,503,100 shares of the registrant’s Super Voting Shares (on an as converted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20" w:right="4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color w:val="auto"/>
        </w:rPr>
        <w:t>FINANCIAL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GREEN THUMB INDUSTRIES INC.</w:t>
      </w:r>
    </w:p>
    <w:p>
      <w:pPr>
        <w:spacing w:after="0" w:line="239" w:lineRule="exact"/>
        <w:rPr>
          <w:sz w:val="20"/>
          <w:szCs w:val="20"/>
          <w:color w:val="auto"/>
        </w:rPr>
      </w:pPr>
    </w:p>
    <w:p>
      <w:pPr>
        <w:jc w:val="center"/>
        <w:ind w:right="1820"/>
        <w:spacing w:after="0"/>
        <w:rPr>
          <w:sz w:val="20"/>
          <w:szCs w:val="20"/>
          <w:color w:val="auto"/>
        </w:rPr>
      </w:pPr>
      <w:r>
        <w:rPr>
          <w:rFonts w:ascii="Arial" w:cs="Arial" w:eastAsia="Arial" w:hAnsi="Arial"/>
          <w:sz w:val="18"/>
          <w:szCs w:val="18"/>
          <w:b w:val="1"/>
          <w:bCs w:val="1"/>
          <w:color w:val="auto"/>
        </w:rPr>
        <w:t>QUARTERLY REPORT ON FORM 10-Q</w:t>
      </w:r>
    </w:p>
    <w:p>
      <w:pPr>
        <w:spacing w:after="0" w:line="239" w:lineRule="exact"/>
        <w:rPr>
          <w:sz w:val="20"/>
          <w:szCs w:val="20"/>
          <w:color w:val="auto"/>
        </w:rPr>
      </w:pPr>
    </w:p>
    <w:p>
      <w:pPr>
        <w:jc w:val="center"/>
        <w:ind w:right="182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5"/>
        </w:trPr>
        <w:tc>
          <w:tcPr>
            <w:tcW w:w="8840" w:type="dxa"/>
            <w:vAlign w:val="bottom"/>
          </w:tcPr>
          <w:p>
            <w:pPr>
              <w:ind w:left="4180"/>
              <w:spacing w:after="0"/>
              <w:rPr>
                <w:sz w:val="20"/>
                <w:szCs w:val="20"/>
                <w:color w:val="auto"/>
              </w:rPr>
            </w:pPr>
            <w:r>
              <w:rPr>
                <w:rFonts w:ascii="Arial" w:cs="Arial" w:eastAsia="Arial" w:hAnsi="Arial"/>
                <w:sz w:val="18"/>
                <w:szCs w:val="18"/>
                <w:b w:val="1"/>
                <w:bCs w:val="1"/>
                <w:color w:val="auto"/>
              </w:rPr>
              <w:t>Part I</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Unaudited Interim Condensed Consolidated Balance Sheets as of June 30, 2021 and December 31, 2020</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8840" w:type="dxa"/>
            <w:vAlign w:val="bottom"/>
          </w:tcPr>
          <w:p>
            <w:pPr>
              <w:spacing w:after="0"/>
              <w:rPr>
                <w:sz w:val="20"/>
                <w:szCs w:val="20"/>
                <w:color w:val="auto"/>
              </w:rPr>
            </w:pPr>
            <w:r>
              <w:rPr>
                <w:rFonts w:ascii="Arial" w:cs="Arial" w:eastAsia="Arial" w:hAnsi="Arial"/>
                <w:sz w:val="18"/>
                <w:szCs w:val="18"/>
                <w:color w:val="auto"/>
                <w:w w:val="91"/>
              </w:rPr>
              <w:t>Unaudited Interim Condensed Consolidated Statements of Operations for the three and six months ended June 30, 2021</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and 2020</w:t>
            </w: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840" w:type="dxa"/>
            <w:vAlign w:val="bottom"/>
          </w:tcPr>
          <w:p>
            <w:pPr>
              <w:spacing w:after="0"/>
              <w:rPr>
                <w:sz w:val="20"/>
                <w:szCs w:val="20"/>
                <w:color w:val="auto"/>
              </w:rPr>
            </w:pPr>
            <w:r>
              <w:rPr>
                <w:rFonts w:ascii="Arial" w:cs="Arial" w:eastAsia="Arial" w:hAnsi="Arial"/>
                <w:sz w:val="18"/>
                <w:szCs w:val="18"/>
                <w:color w:val="auto"/>
                <w:w w:val="91"/>
              </w:rPr>
              <w:t>Unaudited Interim Condensed Consolidated Statements of Changes in Shareholders’ Equity for the three and six months</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ended June 30, 2021 and 2020</w:t>
            </w: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w w:val="91"/>
              </w:rPr>
              <w:t>Unaudited Interim Condensed Consolidated Statements of Cash Flows for the six months ended June 30, 2021 and 2020</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Notes to Unaudited Interim Condensed Consolidated Financial Statements</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Quantitative and Qualitative Disclosure About Market Risk</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6"/>
        </w:trPr>
        <w:tc>
          <w:tcPr>
            <w:tcW w:w="8840" w:type="dxa"/>
            <w:vAlign w:val="bottom"/>
          </w:tcPr>
          <w:p>
            <w:pPr>
              <w:ind w:left="4140"/>
              <w:spacing w:after="0"/>
              <w:rPr>
                <w:sz w:val="20"/>
                <w:szCs w:val="20"/>
                <w:color w:val="auto"/>
              </w:rPr>
            </w:pPr>
            <w:r>
              <w:rPr>
                <w:rFonts w:ascii="Arial" w:cs="Arial" w:eastAsia="Arial" w:hAnsi="Arial"/>
                <w:sz w:val="18"/>
                <w:szCs w:val="18"/>
                <w:b w:val="1"/>
                <w:bCs w:val="1"/>
                <w:color w:val="auto"/>
              </w:rPr>
              <w:t>Part II</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0"/>
        </w:trPr>
        <w:tc>
          <w:tcPr>
            <w:tcW w:w="8840" w:type="dxa"/>
            <w:vAlign w:val="bottom"/>
          </w:tcPr>
          <w:p>
            <w:pPr>
              <w:spacing w:after="0"/>
              <w:rPr>
                <w:sz w:val="20"/>
                <w:szCs w:val="20"/>
                <w:color w:val="auto"/>
              </w:rPr>
            </w:pPr>
            <w:r>
              <w:rPr>
                <w:rFonts w:ascii="Arial" w:cs="Arial" w:eastAsia="Arial" w:hAnsi="Arial"/>
                <w:sz w:val="18"/>
                <w:szCs w:val="18"/>
                <w:color w:val="auto"/>
              </w:rPr>
              <w:t>Legal Proceedings</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Risk Factors</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Sale of Unregistered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Defaults Upon Senior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Mine Safety Disclosure</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Exhibits</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6"/>
        </w:trPr>
        <w:tc>
          <w:tcPr>
            <w:tcW w:w="88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364490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500"/>
            <w:col w:w="9380"/>
          </w:cols>
          <w:pgMar w:left="340" w:top="36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Use of Names</w:t>
      </w:r>
    </w:p>
    <w:p>
      <w:pPr>
        <w:spacing w:after="0" w:line="135"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35" w:lineRule="exact"/>
        <w:rPr>
          <w:sz w:val="20"/>
          <w:szCs w:val="20"/>
          <w:color w:val="auto"/>
        </w:rPr>
      </w:pPr>
    </w:p>
    <w:p>
      <w:pPr>
        <w:ind w:right="640" w:firstLine="509"/>
        <w:spacing w:after="0" w:line="293"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35"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applicable regulatory requirements in all jurisdictions where we carry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 is dependent on the popularity of consumer acceptance of the Company’s brand portfolio; the Company’s business is subject to the risks inherent in agricultural operations; the Company may be adversely impacted by rising or volatile energy costs;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issuances of substantial amounts of Super Voting Shares, Multiple Voting Shares or Subordinate Voting Shares may result in dilution; and the Company is governed by corporate laws in British Columbia, Canada which in some cases have a different effect on shareholders than the corporate laws in Delaware, United States. Further information on these and other potential factors that could affect the Company’s business and financial condition and the results of operations are included in the “Risk Factors” section of the Company’s Annual Report on Form 10-K for the year ended December 31, 2020, and elsewhere in the Company’s filings with the SEC, which are available on the SEC’s website or at </w:t>
      </w:r>
      <w:r>
        <w:rPr>
          <w:rFonts w:ascii="Arial" w:cs="Arial" w:eastAsia="Arial" w:hAnsi="Arial"/>
          <w:sz w:val="16"/>
          <w:szCs w:val="16"/>
          <w:i w:val="1"/>
          <w:iCs w:val="1"/>
          <w:u w:val="single" w:color="auto"/>
          <w:color w:val="auto"/>
        </w:rPr>
        <w:t>https://investors.gtigrows.com</w:t>
      </w:r>
      <w:r>
        <w:rPr>
          <w:rFonts w:ascii="Arial" w:cs="Arial" w:eastAsia="Arial" w:hAnsi="Arial"/>
          <w:sz w:val="16"/>
          <w:szCs w:val="16"/>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2021 and December 31,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249"/>
        </w:trPr>
        <w:tc>
          <w:tcPr>
            <w:tcW w:w="8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21"/>
                <w:szCs w:val="21"/>
                <w:color w:val="auto"/>
              </w:rPr>
            </w:pPr>
          </w:p>
        </w:tc>
      </w:tr>
      <w:tr>
        <w:trPr>
          <w:trHeight w:val="196"/>
        </w:trPr>
        <w:tc>
          <w:tcPr>
            <w:tcW w:w="8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(Audited)</w:t>
            </w:r>
          </w:p>
        </w:tc>
      </w:tr>
      <w:tr>
        <w:trPr>
          <w:trHeight w:val="209"/>
        </w:trPr>
        <w:tc>
          <w:tcPr>
            <w:tcW w:w="8200" w:type="dxa"/>
            <w:vAlign w:val="bottom"/>
            <w:shd w:val="clear" w:color="auto" w:fill="CFF0FC"/>
          </w:tcPr>
          <w:p>
            <w:pPr>
              <w:ind w:left="37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82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359,188,735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83,757,785</w:t>
            </w:r>
          </w:p>
        </w:tc>
        <w:tc>
          <w:tcPr>
            <w:tcW w:w="100" w:type="dxa"/>
            <w:vAlign w:val="bottom"/>
            <w:shd w:val="clear" w:color="auto" w:fill="CFF0FC"/>
          </w:tcPr>
          <w:p>
            <w:pPr>
              <w:spacing w:after="0"/>
              <w:rPr>
                <w:sz w:val="18"/>
                <w:szCs w:val="18"/>
                <w:color w:val="auto"/>
              </w:rPr>
            </w:pPr>
          </w:p>
        </w:tc>
      </w:tr>
      <w:tr>
        <w:trPr>
          <w:trHeight w:val="196"/>
        </w:trPr>
        <w:tc>
          <w:tcPr>
            <w:tcW w:w="820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24,705,148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21,414,987</w:t>
            </w:r>
          </w:p>
        </w:tc>
        <w:tc>
          <w:tcPr>
            <w:tcW w:w="100" w:type="dxa"/>
            <w:vAlign w:val="bottom"/>
          </w:tcPr>
          <w:p>
            <w:pPr>
              <w:spacing w:after="0"/>
              <w:rPr>
                <w:sz w:val="17"/>
                <w:szCs w:val="17"/>
                <w:color w:val="auto"/>
              </w:rPr>
            </w:pPr>
          </w:p>
        </w:tc>
      </w:tr>
      <w:tr>
        <w:trPr>
          <w:trHeight w:val="209"/>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81,726,227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69,542,953</w:t>
            </w:r>
          </w:p>
        </w:tc>
        <w:tc>
          <w:tcPr>
            <w:tcW w:w="100" w:type="dxa"/>
            <w:vAlign w:val="bottom"/>
            <w:shd w:val="clear" w:color="auto" w:fill="CFF0FC"/>
          </w:tcPr>
          <w:p>
            <w:pPr>
              <w:spacing w:after="0"/>
              <w:rPr>
                <w:sz w:val="18"/>
                <w:szCs w:val="18"/>
                <w:color w:val="auto"/>
              </w:rPr>
            </w:pPr>
          </w:p>
        </w:tc>
      </w:tr>
      <w:tr>
        <w:trPr>
          <w:trHeight w:val="196"/>
        </w:trPr>
        <w:tc>
          <w:tcPr>
            <w:tcW w:w="8200" w:type="dxa"/>
            <w:vAlign w:val="bottom"/>
          </w:tcPr>
          <w:p>
            <w:pPr>
              <w:ind w:left="20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9,055,368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6,445,393</w:t>
            </w:r>
          </w:p>
        </w:tc>
        <w:tc>
          <w:tcPr>
            <w:tcW w:w="100" w:type="dxa"/>
            <w:vAlign w:val="bottom"/>
          </w:tcPr>
          <w:p>
            <w:pPr>
              <w:spacing w:after="0"/>
              <w:rPr>
                <w:sz w:val="17"/>
                <w:szCs w:val="17"/>
                <w:color w:val="auto"/>
              </w:rPr>
            </w:pPr>
          </w:p>
        </w:tc>
      </w:tr>
      <w:tr>
        <w:trPr>
          <w:trHeight w:val="208"/>
        </w:trPr>
        <w:tc>
          <w:tcPr>
            <w:tcW w:w="8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6,944,070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2,782,887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0"/>
        </w:trPr>
        <w:tc>
          <w:tcPr>
            <w:tcW w:w="8200" w:type="dxa"/>
            <w:vAlign w:val="bottom"/>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481,619,548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183,944,005</w:t>
            </w:r>
          </w:p>
        </w:tc>
        <w:tc>
          <w:tcPr>
            <w:tcW w:w="100" w:type="dxa"/>
            <w:vAlign w:val="bottom"/>
          </w:tcPr>
          <w:p>
            <w:pPr>
              <w:spacing w:after="0"/>
              <w:rPr>
                <w:sz w:val="16"/>
                <w:szCs w:val="16"/>
                <w:color w:val="auto"/>
              </w:rPr>
            </w:pPr>
          </w:p>
        </w:tc>
      </w:tr>
      <w:tr>
        <w:trPr>
          <w:trHeight w:val="208"/>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241,460,209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189,925,877</w:t>
            </w:r>
          </w:p>
        </w:tc>
        <w:tc>
          <w:tcPr>
            <w:tcW w:w="100" w:type="dxa"/>
            <w:vAlign w:val="bottom"/>
            <w:shd w:val="clear" w:color="auto" w:fill="CFF0FC"/>
          </w:tcPr>
          <w:p>
            <w:pPr>
              <w:spacing w:after="0"/>
              <w:rPr>
                <w:sz w:val="18"/>
                <w:szCs w:val="18"/>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color w:val="auto"/>
              </w:rPr>
              <w:t>Right of Use Assets, Net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158,652,337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140,382,781</w:t>
            </w:r>
          </w:p>
        </w:tc>
        <w:tc>
          <w:tcPr>
            <w:tcW w:w="100" w:type="dxa"/>
            <w:vAlign w:val="bottom"/>
          </w:tcPr>
          <w:p>
            <w:pPr>
              <w:spacing w:after="0"/>
              <w:rPr>
                <w:sz w:val="17"/>
                <w:szCs w:val="17"/>
                <w:color w:val="auto"/>
              </w:rPr>
            </w:pPr>
          </w:p>
        </w:tc>
      </w:tr>
      <w:tr>
        <w:trPr>
          <w:trHeight w:val="208"/>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41,725,403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40,794,806</w:t>
            </w:r>
          </w:p>
        </w:tc>
        <w:tc>
          <w:tcPr>
            <w:tcW w:w="100" w:type="dxa"/>
            <w:vAlign w:val="bottom"/>
            <w:shd w:val="clear" w:color="auto" w:fill="CFF0FC"/>
          </w:tcPr>
          <w:p>
            <w:pPr>
              <w:spacing w:after="0"/>
              <w:rPr>
                <w:sz w:val="18"/>
                <w:szCs w:val="18"/>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color w:val="auto"/>
              </w:rPr>
              <w:t>Investment in Associate</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31,508,586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12,669,963</w:t>
            </w:r>
          </w:p>
        </w:tc>
        <w:tc>
          <w:tcPr>
            <w:tcW w:w="100" w:type="dxa"/>
            <w:vAlign w:val="bottom"/>
          </w:tcPr>
          <w:p>
            <w:pPr>
              <w:spacing w:after="0"/>
              <w:rPr>
                <w:sz w:val="17"/>
                <w:szCs w:val="17"/>
                <w:color w:val="auto"/>
              </w:rPr>
            </w:pPr>
          </w:p>
        </w:tc>
      </w:tr>
      <w:tr>
        <w:trPr>
          <w:trHeight w:val="208"/>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411,538,100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406,242,034</w:t>
            </w:r>
          </w:p>
        </w:tc>
        <w:tc>
          <w:tcPr>
            <w:tcW w:w="100" w:type="dxa"/>
            <w:vAlign w:val="bottom"/>
            <w:shd w:val="clear" w:color="auto" w:fill="CFF0FC"/>
          </w:tcPr>
          <w:p>
            <w:pPr>
              <w:spacing w:after="0"/>
              <w:rPr>
                <w:sz w:val="18"/>
                <w:szCs w:val="18"/>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422,840,467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382,697,467</w:t>
            </w:r>
          </w:p>
        </w:tc>
        <w:tc>
          <w:tcPr>
            <w:tcW w:w="100" w:type="dxa"/>
            <w:vAlign w:val="bottom"/>
          </w:tcPr>
          <w:p>
            <w:pPr>
              <w:spacing w:after="0"/>
              <w:rPr>
                <w:sz w:val="17"/>
                <w:szCs w:val="17"/>
                <w:color w:val="auto"/>
              </w:rPr>
            </w:pPr>
          </w:p>
        </w:tc>
      </w:tr>
      <w:tr>
        <w:trPr>
          <w:trHeight w:val="208"/>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Deposits and 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3,289,765</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1,892,229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1,792,634,415</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1,358,549,162</w:t>
            </w:r>
          </w:p>
        </w:tc>
        <w:tc>
          <w:tcPr>
            <w:tcW w:w="10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200" w:type="dxa"/>
            <w:vAlign w:val="bottom"/>
            <w:shd w:val="clear" w:color="auto" w:fill="CFF0FC"/>
          </w:tcPr>
          <w:p>
            <w:pPr>
              <w:ind w:left="2460"/>
              <w:spacing w:after="0"/>
              <w:rPr>
                <w:sz w:val="20"/>
                <w:szCs w:val="20"/>
                <w:color w:val="auto"/>
              </w:rPr>
            </w:pPr>
            <w:r>
              <w:rPr>
                <w:rFonts w:ascii="Arial" w:cs="Arial" w:eastAsia="Arial" w:hAnsi="Arial"/>
                <w:sz w:val="14"/>
                <w:szCs w:val="14"/>
                <w:b w:val="1"/>
                <w:bCs w:val="1"/>
                <w:color w:val="auto"/>
              </w:rPr>
              <w:t>LIABILITIES AND SHAREHOLDERS' EQUITY</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82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14,976,618</w:t>
            </w:r>
          </w:p>
        </w:tc>
        <w:tc>
          <w:tcPr>
            <w:tcW w:w="26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20,503,572</w:t>
            </w:r>
          </w:p>
        </w:tc>
        <w:tc>
          <w:tcPr>
            <w:tcW w:w="100" w:type="dxa"/>
            <w:vAlign w:val="bottom"/>
          </w:tcPr>
          <w:p>
            <w:pPr>
              <w:spacing w:after="0"/>
              <w:rPr>
                <w:sz w:val="17"/>
                <w:szCs w:val="17"/>
                <w:color w:val="auto"/>
              </w:rPr>
            </w:pPr>
          </w:p>
        </w:tc>
      </w:tr>
      <w:tr>
        <w:trPr>
          <w:trHeight w:val="208"/>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72,889,621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56,288,729</w:t>
            </w:r>
          </w:p>
        </w:tc>
        <w:tc>
          <w:tcPr>
            <w:tcW w:w="100" w:type="dxa"/>
            <w:vAlign w:val="bottom"/>
            <w:shd w:val="clear" w:color="auto" w:fill="CFF0FC"/>
          </w:tcPr>
          <w:p>
            <w:pPr>
              <w:spacing w:after="0"/>
              <w:rPr>
                <w:sz w:val="18"/>
                <w:szCs w:val="18"/>
                <w:color w:val="auto"/>
              </w:rPr>
            </w:pPr>
          </w:p>
        </w:tc>
      </w:tr>
      <w:tr>
        <w:trPr>
          <w:trHeight w:val="197"/>
        </w:trPr>
        <w:tc>
          <w:tcPr>
            <w:tcW w:w="8200" w:type="dxa"/>
            <w:vAlign w:val="bottom"/>
          </w:tcPr>
          <w:p>
            <w:pPr>
              <w:ind w:left="200"/>
              <w:spacing w:after="0"/>
              <w:rPr>
                <w:sz w:val="20"/>
                <w:szCs w:val="20"/>
                <w:color w:val="auto"/>
              </w:rPr>
            </w:pPr>
            <w:r>
              <w:rPr>
                <w:rFonts w:ascii="Arial" w:cs="Arial" w:eastAsia="Arial" w:hAnsi="Arial"/>
                <w:sz w:val="14"/>
                <w:szCs w:val="14"/>
                <w:color w:val="auto"/>
              </w:rPr>
              <w:t>Current Portion of Notes Payable</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581,436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341,983</w:t>
            </w:r>
          </w:p>
        </w:tc>
        <w:tc>
          <w:tcPr>
            <w:tcW w:w="100" w:type="dxa"/>
            <w:vAlign w:val="bottom"/>
          </w:tcPr>
          <w:p>
            <w:pPr>
              <w:spacing w:after="0"/>
              <w:rPr>
                <w:sz w:val="17"/>
                <w:szCs w:val="17"/>
                <w:color w:val="auto"/>
              </w:rPr>
            </w:pPr>
          </w:p>
        </w:tc>
      </w:tr>
      <w:tr>
        <w:trPr>
          <w:trHeight w:val="208"/>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Lease Liabilities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6,485,628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3,862,110</w:t>
            </w:r>
          </w:p>
        </w:tc>
        <w:tc>
          <w:tcPr>
            <w:tcW w:w="100" w:type="dxa"/>
            <w:vAlign w:val="bottom"/>
            <w:shd w:val="clear" w:color="auto" w:fill="CFF0FC"/>
          </w:tcPr>
          <w:p>
            <w:pPr>
              <w:spacing w:after="0"/>
              <w:rPr>
                <w:sz w:val="18"/>
                <w:szCs w:val="18"/>
                <w:color w:val="auto"/>
              </w:rPr>
            </w:pPr>
          </w:p>
        </w:tc>
      </w:tr>
      <w:tr>
        <w:trPr>
          <w:trHeight w:val="197"/>
        </w:trPr>
        <w:tc>
          <w:tcPr>
            <w:tcW w:w="8200" w:type="dxa"/>
            <w:vAlign w:val="bottom"/>
          </w:tcPr>
          <w:p>
            <w:pPr>
              <w:ind w:left="200"/>
              <w:spacing w:after="0"/>
              <w:rPr>
                <w:sz w:val="20"/>
                <w:szCs w:val="20"/>
                <w:color w:val="auto"/>
              </w:rPr>
            </w:pPr>
            <w:r>
              <w:rPr>
                <w:rFonts w:ascii="Arial" w:cs="Arial" w:eastAsia="Arial" w:hAnsi="Arial"/>
                <w:sz w:val="14"/>
                <w:szCs w:val="14"/>
                <w:color w:val="auto"/>
              </w:rPr>
              <w:t>Contingent Consideration Payable</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9,900,000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22,150,000</w:t>
            </w:r>
          </w:p>
        </w:tc>
        <w:tc>
          <w:tcPr>
            <w:tcW w:w="100" w:type="dxa"/>
            <w:vAlign w:val="bottom"/>
          </w:tcPr>
          <w:p>
            <w:pPr>
              <w:spacing w:after="0"/>
              <w:rPr>
                <w:sz w:val="17"/>
                <w:szCs w:val="17"/>
                <w:color w:val="auto"/>
              </w:rPr>
            </w:pPr>
          </w:p>
        </w:tc>
      </w:tr>
      <w:tr>
        <w:trPr>
          <w:trHeight w:val="208"/>
        </w:trPr>
        <w:tc>
          <w:tcPr>
            <w:tcW w:w="8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 Payable</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528,161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16,142,041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0"/>
        </w:trPr>
        <w:tc>
          <w:tcPr>
            <w:tcW w:w="8200" w:type="dxa"/>
            <w:vAlign w:val="bottom"/>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105,361,464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119,288,435</w:t>
            </w:r>
          </w:p>
        </w:tc>
        <w:tc>
          <w:tcPr>
            <w:tcW w:w="100" w:type="dxa"/>
            <w:vAlign w:val="bottom"/>
          </w:tcPr>
          <w:p>
            <w:pPr>
              <w:spacing w:after="0"/>
              <w:rPr>
                <w:sz w:val="16"/>
                <w:szCs w:val="16"/>
                <w:color w:val="auto"/>
              </w:rPr>
            </w:pPr>
          </w:p>
        </w:tc>
      </w:tr>
      <w:tr>
        <w:trPr>
          <w:trHeight w:val="209"/>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Long-Term Liabilities: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8200" w:type="dxa"/>
            <w:vAlign w:val="bottom"/>
          </w:tcPr>
          <w:p>
            <w:pPr>
              <w:ind w:left="200"/>
              <w:spacing w:after="0"/>
              <w:rPr>
                <w:sz w:val="20"/>
                <w:szCs w:val="20"/>
                <w:color w:val="auto"/>
              </w:rPr>
            </w:pPr>
            <w:r>
              <w:rPr>
                <w:rFonts w:ascii="Arial" w:cs="Arial" w:eastAsia="Arial" w:hAnsi="Arial"/>
                <w:sz w:val="14"/>
                <w:szCs w:val="14"/>
                <w:color w:val="auto"/>
              </w:rPr>
              <w:t>Lease Liabilities, Net of Current Portion</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165,514,117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146,426,760</w:t>
            </w:r>
          </w:p>
        </w:tc>
        <w:tc>
          <w:tcPr>
            <w:tcW w:w="100" w:type="dxa"/>
            <w:vAlign w:val="bottom"/>
          </w:tcPr>
          <w:p>
            <w:pPr>
              <w:spacing w:after="0"/>
              <w:rPr>
                <w:sz w:val="17"/>
                <w:szCs w:val="17"/>
                <w:color w:val="auto"/>
              </w:rPr>
            </w:pPr>
          </w:p>
        </w:tc>
      </w:tr>
      <w:tr>
        <w:trPr>
          <w:trHeight w:val="209"/>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Notes Payable, Net of Current Portion and Debt Discount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197,036,410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98,712,996</w:t>
            </w:r>
          </w:p>
        </w:tc>
        <w:tc>
          <w:tcPr>
            <w:tcW w:w="100" w:type="dxa"/>
            <w:vAlign w:val="bottom"/>
            <w:shd w:val="clear" w:color="auto" w:fill="CFF0FC"/>
          </w:tcPr>
          <w:p>
            <w:pPr>
              <w:spacing w:after="0"/>
              <w:rPr>
                <w:sz w:val="18"/>
                <w:szCs w:val="18"/>
                <w:color w:val="auto"/>
              </w:rPr>
            </w:pPr>
          </w:p>
        </w:tc>
      </w:tr>
      <w:tr>
        <w:trPr>
          <w:trHeight w:val="196"/>
        </w:trPr>
        <w:tc>
          <w:tcPr>
            <w:tcW w:w="8200" w:type="dxa"/>
            <w:vAlign w:val="bottom"/>
          </w:tcPr>
          <w:p>
            <w:pPr>
              <w:ind w:left="200"/>
              <w:spacing w:after="0"/>
              <w:rPr>
                <w:sz w:val="20"/>
                <w:szCs w:val="20"/>
                <w:color w:val="auto"/>
              </w:rPr>
            </w:pPr>
            <w:r>
              <w:rPr>
                <w:rFonts w:ascii="Arial" w:cs="Arial" w:eastAsia="Arial" w:hAnsi="Arial"/>
                <w:sz w:val="14"/>
                <w:szCs w:val="14"/>
                <w:color w:val="auto"/>
              </w:rPr>
              <w:t>Contingent Consideration Payable</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4,950,000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4,950,000</w:t>
            </w:r>
          </w:p>
        </w:tc>
        <w:tc>
          <w:tcPr>
            <w:tcW w:w="100" w:type="dxa"/>
            <w:vAlign w:val="bottom"/>
          </w:tcPr>
          <w:p>
            <w:pPr>
              <w:spacing w:after="0"/>
              <w:rPr>
                <w:sz w:val="17"/>
                <w:szCs w:val="17"/>
                <w:color w:val="auto"/>
              </w:rPr>
            </w:pPr>
          </w:p>
        </w:tc>
      </w:tr>
      <w:tr>
        <w:trPr>
          <w:trHeight w:val="208"/>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Warrant Liability</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47,464,750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39,454,000</w:t>
            </w:r>
          </w:p>
        </w:tc>
        <w:tc>
          <w:tcPr>
            <w:tcW w:w="100" w:type="dxa"/>
            <w:vAlign w:val="bottom"/>
            <w:shd w:val="clear" w:color="auto" w:fill="CFF0FC"/>
          </w:tcPr>
          <w:p>
            <w:pPr>
              <w:spacing w:after="0"/>
              <w:rPr>
                <w:sz w:val="18"/>
                <w:szCs w:val="18"/>
                <w:color w:val="auto"/>
              </w:rPr>
            </w:pPr>
          </w:p>
        </w:tc>
      </w:tr>
      <w:tr>
        <w:trPr>
          <w:trHeight w:val="203"/>
        </w:trPr>
        <w:tc>
          <w:tcPr>
            <w:tcW w:w="820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43,149,727</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35,557,630</w:t>
            </w:r>
          </w:p>
        </w:tc>
        <w:tc>
          <w:tcPr>
            <w:tcW w:w="100" w:type="dxa"/>
            <w:vAlign w:val="bottom"/>
          </w:tcPr>
          <w:p>
            <w:pPr>
              <w:spacing w:after="0"/>
              <w:rPr>
                <w:sz w:val="17"/>
                <w:szCs w:val="17"/>
                <w:color w:val="auto"/>
              </w:rPr>
            </w:pPr>
          </w:p>
        </w:tc>
      </w:tr>
      <w:tr>
        <w:trPr>
          <w:trHeight w:val="196"/>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563,476,468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444,389,821</w:t>
            </w:r>
          </w:p>
        </w:tc>
        <w:tc>
          <w:tcPr>
            <w:tcW w:w="100" w:type="dxa"/>
            <w:vAlign w:val="bottom"/>
            <w:shd w:val="clear" w:color="auto" w:fill="CFF0FC"/>
          </w:tcPr>
          <w:p>
            <w:pPr>
              <w:spacing w:after="0"/>
              <w:rPr>
                <w:sz w:val="17"/>
                <w:szCs w:val="17"/>
                <w:color w:val="auto"/>
              </w:rPr>
            </w:pPr>
          </w:p>
        </w:tc>
      </w:tr>
      <w:tr>
        <w:trPr>
          <w:trHeight w:val="196"/>
        </w:trPr>
        <w:tc>
          <w:tcPr>
            <w:tcW w:w="82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 HOLDERS' EQUITY</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4"/>
        </w:trPr>
        <w:tc>
          <w:tcPr>
            <w:tcW w:w="8200" w:type="dxa"/>
            <w:vAlign w:val="bottom"/>
          </w:tcPr>
          <w:p>
            <w:pPr>
              <w:ind w:left="20"/>
              <w:spacing w:after="0"/>
              <w:rPr>
                <w:sz w:val="20"/>
                <w:szCs w:val="20"/>
                <w:color w:val="auto"/>
              </w:rPr>
            </w:pPr>
            <w:r>
              <w:rPr>
                <w:rFonts w:ascii="Arial" w:cs="Arial" w:eastAsia="Arial" w:hAnsi="Arial"/>
                <w:sz w:val="14"/>
                <w:szCs w:val="14"/>
                <w:color w:val="auto"/>
              </w:rPr>
              <w:t>Subordinate Voting Shares (Shares Authorized, Issued and Outstanding at June 30, 2021:</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00" w:type="dxa"/>
            <w:vAlign w:val="bottom"/>
          </w:tcPr>
          <w:p>
            <w:pPr>
              <w:ind w:left="120"/>
              <w:spacing w:after="0"/>
              <w:rPr>
                <w:sz w:val="20"/>
                <w:szCs w:val="20"/>
                <w:color w:val="auto"/>
              </w:rPr>
            </w:pPr>
            <w:r>
              <w:rPr>
                <w:rFonts w:ascii="Arial" w:cs="Arial" w:eastAsia="Arial" w:hAnsi="Arial"/>
                <w:sz w:val="14"/>
                <w:szCs w:val="14"/>
                <w:color w:val="auto"/>
              </w:rPr>
              <w:t>Unlimited, 187,786,682, and 187,786,682, respectively, at December 31, 2020: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8200" w:type="dxa"/>
            <w:vAlign w:val="bottom"/>
          </w:tcPr>
          <w:p>
            <w:pPr>
              <w:ind w:left="120"/>
              <w:spacing w:after="0"/>
              <w:rPr>
                <w:sz w:val="20"/>
                <w:szCs w:val="20"/>
                <w:color w:val="auto"/>
              </w:rPr>
            </w:pPr>
            <w:r>
              <w:rPr>
                <w:rFonts w:ascii="Arial" w:cs="Arial" w:eastAsia="Arial" w:hAnsi="Arial"/>
                <w:sz w:val="14"/>
                <w:szCs w:val="14"/>
                <w:color w:val="auto"/>
              </w:rPr>
              <w:t>Unlimited, 178,113,221, and 178,113,221, respectively)</w:t>
            </w:r>
          </w:p>
        </w:tc>
        <w:tc>
          <w:tcPr>
            <w:tcW w:w="26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0"/>
        </w:trPr>
        <w:tc>
          <w:tcPr>
            <w:tcW w:w="8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Multiple Voting Shares (Shares Authorized, Issued and Outstanding at June 30, 2021:</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8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Unlimited, 39,654 and 39,654, respectively, at December 31, 2020:</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4"/>
        </w:trPr>
        <w:tc>
          <w:tcPr>
            <w:tcW w:w="8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Unlimited, 40,289 and 40,289, respectively)</w:t>
            </w:r>
          </w:p>
        </w:tc>
        <w:tc>
          <w:tcPr>
            <w:tcW w:w="2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4"/>
        </w:trPr>
        <w:tc>
          <w:tcPr>
            <w:tcW w:w="8200" w:type="dxa"/>
            <w:vAlign w:val="bottom"/>
          </w:tcPr>
          <w:p>
            <w:pPr>
              <w:ind w:left="20"/>
              <w:spacing w:after="0"/>
              <w:rPr>
                <w:sz w:val="20"/>
                <w:szCs w:val="20"/>
                <w:color w:val="auto"/>
              </w:rPr>
            </w:pPr>
            <w:r>
              <w:rPr>
                <w:rFonts w:ascii="Arial" w:cs="Arial" w:eastAsia="Arial" w:hAnsi="Arial"/>
                <w:sz w:val="14"/>
                <w:szCs w:val="14"/>
                <w:color w:val="auto"/>
              </w:rPr>
              <w:t>Super Voting Shares (Shares Authorized, Issued and Outstanding at June 30, 2021:</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200" w:type="dxa"/>
            <w:vAlign w:val="bottom"/>
          </w:tcPr>
          <w:p>
            <w:pPr>
              <w:ind w:left="120"/>
              <w:spacing w:after="0"/>
              <w:rPr>
                <w:sz w:val="20"/>
                <w:szCs w:val="20"/>
                <w:color w:val="auto"/>
              </w:rPr>
            </w:pPr>
            <w:r>
              <w:rPr>
                <w:rFonts w:ascii="Arial" w:cs="Arial" w:eastAsia="Arial" w:hAnsi="Arial"/>
                <w:sz w:val="14"/>
                <w:szCs w:val="14"/>
                <w:color w:val="auto"/>
              </w:rPr>
              <w:t>Unlimited, 301,031 and 301,031, respectively, at December 31, 2020: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8200" w:type="dxa"/>
            <w:vAlign w:val="bottom"/>
          </w:tcPr>
          <w:p>
            <w:pPr>
              <w:ind w:left="120"/>
              <w:spacing w:after="0"/>
              <w:rPr>
                <w:sz w:val="20"/>
                <w:szCs w:val="20"/>
                <w:color w:val="auto"/>
              </w:rPr>
            </w:pPr>
            <w:r>
              <w:rPr>
                <w:rFonts w:ascii="Arial" w:cs="Arial" w:eastAsia="Arial" w:hAnsi="Arial"/>
                <w:sz w:val="14"/>
                <w:szCs w:val="14"/>
                <w:color w:val="auto"/>
              </w:rPr>
              <w:t>Unlimited, 312,031 and 312,031, respectively)</w:t>
            </w:r>
          </w:p>
        </w:tc>
        <w:tc>
          <w:tcPr>
            <w:tcW w:w="26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8"/>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 Capital</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1,316,465,184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1,048,640,398</w:t>
            </w:r>
          </w:p>
        </w:tc>
        <w:tc>
          <w:tcPr>
            <w:tcW w:w="100" w:type="dxa"/>
            <w:vAlign w:val="bottom"/>
            <w:shd w:val="clear" w:color="auto" w:fill="CFF0FC"/>
          </w:tcPr>
          <w:p>
            <w:pPr>
              <w:spacing w:after="0"/>
              <w:rPr>
                <w:sz w:val="18"/>
                <w:szCs w:val="18"/>
                <w:color w:val="auto"/>
              </w:rPr>
            </w:pPr>
          </w:p>
        </w:tc>
      </w:tr>
      <w:tr>
        <w:trPr>
          <w:trHeight w:val="197"/>
        </w:trPr>
        <w:tc>
          <w:tcPr>
            <w:tcW w:w="8200" w:type="dxa"/>
            <w:vAlign w:val="bottom"/>
          </w:tcPr>
          <w:p>
            <w:pPr>
              <w:ind w:left="200"/>
              <w:spacing w:after="0"/>
              <w:rPr>
                <w:sz w:val="20"/>
                <w:szCs w:val="20"/>
                <w:color w:val="auto"/>
              </w:rPr>
            </w:pPr>
            <w:r>
              <w:rPr>
                <w:rFonts w:ascii="Arial" w:cs="Arial" w:eastAsia="Arial" w:hAnsi="Arial"/>
                <w:sz w:val="14"/>
                <w:szCs w:val="14"/>
                <w:color w:val="auto"/>
              </w:rPr>
              <w:t>Contributed Surplus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13,159,133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4,893,153</w:t>
            </w:r>
          </w:p>
        </w:tc>
        <w:tc>
          <w:tcPr>
            <w:tcW w:w="100" w:type="dxa"/>
            <w:vAlign w:val="bottom"/>
          </w:tcPr>
          <w:p>
            <w:pPr>
              <w:spacing w:after="0"/>
              <w:rPr>
                <w:sz w:val="17"/>
                <w:szCs w:val="17"/>
                <w:color w:val="auto"/>
              </w:rPr>
            </w:pPr>
          </w:p>
        </w:tc>
      </w:tr>
      <w:tr>
        <w:trPr>
          <w:trHeight w:val="208"/>
        </w:trPr>
        <w:tc>
          <w:tcPr>
            <w:tcW w:w="8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Share Issuances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8,565,707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2,587,317</w:t>
            </w:r>
          </w:p>
        </w:tc>
        <w:tc>
          <w:tcPr>
            <w:tcW w:w="100" w:type="dxa"/>
            <w:vAlign w:val="bottom"/>
            <w:shd w:val="clear" w:color="auto" w:fill="CFF0FC"/>
          </w:tcPr>
          <w:p>
            <w:pPr>
              <w:spacing w:after="0"/>
              <w:rPr>
                <w:sz w:val="18"/>
                <w:szCs w:val="18"/>
                <w:color w:val="auto"/>
              </w:rPr>
            </w:pPr>
          </w:p>
        </w:tc>
      </w:tr>
      <w:tr>
        <w:trPr>
          <w:trHeight w:val="203"/>
        </w:trPr>
        <w:tc>
          <w:tcPr>
            <w:tcW w:w="820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(113,077,966 )</w:t>
            </w:r>
          </w:p>
        </w:tc>
        <w:tc>
          <w:tcPr>
            <w:tcW w:w="1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(145,498,623 )</w:t>
            </w:r>
          </w:p>
        </w:tc>
      </w:tr>
      <w:tr>
        <w:trPr>
          <w:trHeight w:val="196"/>
        </w:trPr>
        <w:tc>
          <w:tcPr>
            <w:tcW w:w="82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Equity of Green Thumb Industries Inc.</w:t>
            </w: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1,225,112,058</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910,622,245</w:t>
            </w:r>
          </w:p>
        </w:tc>
        <w:tc>
          <w:tcPr>
            <w:tcW w:w="100" w:type="dxa"/>
            <w:vAlign w:val="bottom"/>
            <w:shd w:val="clear" w:color="auto" w:fill="CFF0FC"/>
          </w:tcPr>
          <w:p>
            <w:pPr>
              <w:spacing w:after="0"/>
              <w:rPr>
                <w:sz w:val="17"/>
                <w:szCs w:val="17"/>
                <w:color w:val="auto"/>
              </w:rPr>
            </w:pPr>
          </w:p>
        </w:tc>
      </w:tr>
      <w:tr>
        <w:trPr>
          <w:trHeight w:val="203"/>
        </w:trPr>
        <w:tc>
          <w:tcPr>
            <w:tcW w:w="8200" w:type="dxa"/>
            <w:vAlign w:val="bottom"/>
          </w:tcPr>
          <w:p>
            <w:pPr>
              <w:ind w:left="38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4,045,889</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3,537,096</w:t>
            </w:r>
          </w:p>
        </w:tc>
        <w:tc>
          <w:tcPr>
            <w:tcW w:w="100" w:type="dxa"/>
            <w:vAlign w:val="bottom"/>
          </w:tcPr>
          <w:p>
            <w:pPr>
              <w:spacing w:after="0"/>
              <w:rPr>
                <w:sz w:val="17"/>
                <w:szCs w:val="17"/>
                <w:color w:val="auto"/>
              </w:rPr>
            </w:pPr>
          </w:p>
        </w:tc>
      </w:tr>
      <w:tr>
        <w:trPr>
          <w:trHeight w:val="196"/>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1,229,157,947</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914,159,341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1,792,634,415</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1,358,549,162</w:t>
            </w:r>
          </w:p>
        </w:tc>
        <w:tc>
          <w:tcPr>
            <w:tcW w:w="10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-5791200</wp:posOffset>
            </wp:positionV>
            <wp:extent cx="1714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-5791200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-4754245</wp:posOffset>
            </wp:positionV>
            <wp:extent cx="1714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-4754245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-3434080</wp:posOffset>
            </wp:positionV>
            <wp:extent cx="1714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-3434080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1714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 of discounts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221,871,812</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119,639,924</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416,302,396</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222,242,526</w:t>
            </w:r>
          </w:p>
        </w:tc>
        <w:tc>
          <w:tcPr>
            <w:tcW w:w="0" w:type="dxa"/>
            <w:vAlign w:val="bottom"/>
          </w:tcPr>
          <w:p>
            <w:pPr>
              <w:spacing w:after="0"/>
              <w:rPr>
                <w:sz w:val="1"/>
                <w:szCs w:val="1"/>
                <w:color w:val="auto"/>
              </w:rPr>
            </w:pP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Cost of Goods Sold, net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(98,960,988 )</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(55,946,010 )</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(182,526,072 )</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(105,561,198 )</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122,910,824</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63,693,914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233,776,324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116,681,328</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72,055,473</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49,643,211</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131,386,724</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95,077,968</w:t>
            </w:r>
          </w:p>
        </w:tc>
        <w:tc>
          <w:tcPr>
            <w:tcW w:w="0" w:type="dxa"/>
            <w:vAlign w:val="bottom"/>
          </w:tcPr>
          <w:p>
            <w:pPr>
              <w:spacing w:after="0"/>
              <w:rPr>
                <w:sz w:val="1"/>
                <w:szCs w:val="1"/>
                <w:color w:val="auto"/>
              </w:rPr>
            </w:pPr>
          </w:p>
        </w:tc>
      </w:tr>
      <w:tr>
        <w:trPr>
          <w:trHeight w:val="250"/>
        </w:trPr>
        <w:tc>
          <w:tcPr>
            <w:tcW w:w="4800" w:type="dxa"/>
            <w:vAlign w:val="bottom"/>
          </w:tcPr>
          <w:p>
            <w:pPr>
              <w:ind w:left="520"/>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72,055,473</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49,643,211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131,386,724</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95,077,968</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50,855,351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14,050,703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102,389,600</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21,603,360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6,830,277</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(5,717,427 )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1,680,460</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1,068,683</w:t>
            </w:r>
          </w:p>
        </w:tc>
        <w:tc>
          <w:tcPr>
            <w:tcW w:w="0" w:type="dxa"/>
            <w:vAlign w:val="bottom"/>
          </w:tcPr>
          <w:p>
            <w:pPr>
              <w:spacing w:after="0"/>
              <w:rPr>
                <w:sz w:val="1"/>
                <w:szCs w:val="1"/>
                <w:color w:val="auto"/>
              </w:rPr>
            </w:pPr>
          </w:p>
        </w:tc>
      </w:tr>
      <w:tr>
        <w:trPr>
          <w:trHeight w:val="250"/>
        </w:trPr>
        <w:tc>
          <w:tcPr>
            <w:tcW w:w="480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295,690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16,410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345,580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104,525</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(4,679,795 )</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(4,734,908 )</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(8,802,971 )</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(9,776,350 )</w:t>
            </w:r>
          </w:p>
        </w:tc>
        <w:tc>
          <w:tcPr>
            <w:tcW w:w="0" w:type="dxa"/>
            <w:vAlign w:val="bottom"/>
          </w:tcPr>
          <w:p>
            <w:pPr>
              <w:spacing w:after="0"/>
              <w:rPr>
                <w:sz w:val="1"/>
                <w:szCs w:val="1"/>
                <w:color w:val="auto"/>
              </w:rPr>
            </w:pPr>
          </w:p>
        </w:tc>
      </w:tr>
      <w:tr>
        <w:trPr>
          <w:trHeight w:val="250"/>
        </w:trPr>
        <w:tc>
          <w:tcPr>
            <w:tcW w:w="4800" w:type="dxa"/>
            <w:vAlign w:val="bottom"/>
          </w:tcPr>
          <w:p>
            <w:pPr>
              <w:ind w:left="520"/>
              <w:spacing w:after="0"/>
              <w:rPr>
                <w:sz w:val="20"/>
                <w:szCs w:val="20"/>
                <w:color w:val="auto"/>
              </w:rPr>
            </w:pPr>
            <w:r>
              <w:rPr>
                <w:rFonts w:ascii="Arial" w:cs="Arial" w:eastAsia="Arial" w:hAnsi="Arial"/>
                <w:sz w:val="18"/>
                <w:szCs w:val="18"/>
                <w:b w:val="1"/>
                <w:bCs w:val="1"/>
                <w:color w:val="auto"/>
              </w:rPr>
              <w:t>Total Other Income (Expense)</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2,446,172</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(10,435,925 )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(6,776,931 )</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(8,603,142 )</w:t>
            </w:r>
          </w:p>
        </w:tc>
        <w:tc>
          <w:tcPr>
            <w:tcW w:w="0" w:type="dxa"/>
            <w:vAlign w:val="bottom"/>
          </w:tcPr>
          <w:p>
            <w:pPr>
              <w:spacing w:after="0"/>
              <w:rPr>
                <w:sz w:val="1"/>
                <w:szCs w:val="1"/>
                <w:color w:val="auto"/>
              </w:rPr>
            </w:pPr>
          </w:p>
        </w:tc>
      </w:tr>
      <w:tr>
        <w:trPr>
          <w:trHeight w:val="232"/>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Provision for Income Taxes And Non-</w:t>
            </w:r>
          </w:p>
        </w:tc>
        <w:tc>
          <w:tcPr>
            <w:tcW w:w="300" w:type="dxa"/>
            <w:vAlign w:val="bottom"/>
            <w:shd w:val="clear" w:color="auto" w:fill="CFF0FC"/>
          </w:tcPr>
          <w:p>
            <w:pPr>
              <w:spacing w:after="0"/>
              <w:rPr>
                <w:sz w:val="20"/>
                <w:szCs w:val="20"/>
                <w:color w:val="auto"/>
              </w:rPr>
            </w:pPr>
          </w:p>
        </w:tc>
        <w:tc>
          <w:tcPr>
            <w:tcW w:w="12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53,301,523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3,614,778</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95,612,669</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13,000,218</w:t>
            </w:r>
          </w:p>
        </w:tc>
        <w:tc>
          <w:tcPr>
            <w:tcW w:w="0" w:type="dxa"/>
            <w:vAlign w:val="bottom"/>
          </w:tcPr>
          <w:p>
            <w:pPr>
              <w:spacing w:after="0"/>
              <w:rPr>
                <w:sz w:val="1"/>
                <w:szCs w:val="1"/>
                <w:color w:val="auto"/>
              </w:rPr>
            </w:pPr>
          </w:p>
        </w:tc>
      </w:tr>
      <w:tr>
        <w:trPr>
          <w:trHeight w:val="234"/>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Controlling Interest</w:t>
            </w:r>
          </w:p>
        </w:tc>
        <w:tc>
          <w:tcPr>
            <w:tcW w:w="3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30,026,732</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15,378,715</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60,882,910</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28,527,715</w:t>
            </w:r>
          </w:p>
        </w:tc>
        <w:tc>
          <w:tcPr>
            <w:tcW w:w="0" w:type="dxa"/>
            <w:vAlign w:val="bottom"/>
          </w:tcPr>
          <w:p>
            <w:pPr>
              <w:spacing w:after="0"/>
              <w:rPr>
                <w:sz w:val="1"/>
                <w:szCs w:val="1"/>
                <w:color w:val="auto"/>
              </w:rPr>
            </w:pPr>
          </w:p>
        </w:tc>
      </w:tr>
      <w:tr>
        <w:trPr>
          <w:trHeight w:val="250"/>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23,274,791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(11,763,937 )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34,729,759</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(15,527,497 )</w:t>
            </w:r>
          </w:p>
        </w:tc>
        <w:tc>
          <w:tcPr>
            <w:tcW w:w="0" w:type="dxa"/>
            <w:vAlign w:val="bottom"/>
          </w:tcPr>
          <w:p>
            <w:pPr>
              <w:spacing w:after="0"/>
              <w:rPr>
                <w:sz w:val="1"/>
                <w:szCs w:val="1"/>
                <w:color w:val="auto"/>
              </w:rPr>
            </w:pPr>
          </w:p>
        </w:tc>
      </w:tr>
      <w:tr>
        <w:trPr>
          <w:trHeight w:val="25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1,222,800</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1,145,568</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2,309,102</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1,588,272</w:t>
            </w:r>
          </w:p>
        </w:tc>
        <w:tc>
          <w:tcPr>
            <w:tcW w:w="0" w:type="dxa"/>
            <w:vAlign w:val="bottom"/>
          </w:tcPr>
          <w:p>
            <w:pPr>
              <w:spacing w:after="0"/>
              <w:rPr>
                <w:sz w:val="1"/>
                <w:szCs w:val="1"/>
                <w:color w:val="auto"/>
              </w:rPr>
            </w:pPr>
          </w:p>
        </w:tc>
      </w:tr>
      <w:tr>
        <w:trPr>
          <w:trHeight w:val="232"/>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4"/>
              </w:rPr>
              <w:t>Net Income (Loss) Attributable To Green Thumb Industries</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22,051,991</w:t>
            </w:r>
          </w:p>
        </w:tc>
        <w:tc>
          <w:tcPr>
            <w:tcW w:w="160" w:type="dxa"/>
            <w:vAlign w:val="bottom"/>
            <w:vMerge w:val="restart"/>
            <w:shd w:val="clear" w:color="auto" w:fill="CFF0FC"/>
          </w:tcPr>
          <w:p>
            <w:pPr>
              <w:spacing w:after="0"/>
              <w:rPr>
                <w:sz w:val="20"/>
                <w:szCs w:val="20"/>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(12,909,505 )</w:t>
            </w:r>
          </w:p>
        </w:tc>
        <w:tc>
          <w:tcPr>
            <w:tcW w:w="140" w:type="dxa"/>
            <w:vAlign w:val="bottom"/>
            <w:vMerge w:val="restart"/>
            <w:shd w:val="clear" w:color="auto" w:fill="CFF0FC"/>
          </w:tcPr>
          <w:p>
            <w:pPr>
              <w:spacing w:after="0"/>
              <w:rPr>
                <w:sz w:val="20"/>
                <w:szCs w:val="20"/>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32,420,657</w:t>
            </w:r>
          </w:p>
        </w:tc>
        <w:tc>
          <w:tcPr>
            <w:tcW w:w="160" w:type="dxa"/>
            <w:vAlign w:val="bottom"/>
            <w:vMerge w:val="restart"/>
            <w:shd w:val="clear" w:color="auto" w:fill="CFF0FC"/>
          </w:tcPr>
          <w:p>
            <w:pPr>
              <w:spacing w:after="0"/>
              <w:rPr>
                <w:sz w:val="20"/>
                <w:szCs w:val="20"/>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(17,115,769 )</w:t>
            </w:r>
          </w:p>
        </w:tc>
        <w:tc>
          <w:tcPr>
            <w:tcW w:w="0" w:type="dxa"/>
            <w:vAlign w:val="bottom"/>
          </w:tcPr>
          <w:p>
            <w:pPr>
              <w:spacing w:after="0"/>
              <w:rPr>
                <w:sz w:val="1"/>
                <w:szCs w:val="1"/>
                <w:color w:val="auto"/>
              </w:rPr>
            </w:pPr>
          </w:p>
        </w:tc>
      </w:tr>
      <w:tr>
        <w:trPr>
          <w:trHeight w:val="247"/>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Inc.</w:t>
            </w: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 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(0.06 )</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per share - 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0.10</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37"/>
        </w:trPr>
        <w:tc>
          <w:tcPr>
            <w:tcW w:w="48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w w:val="99"/>
              </w:rPr>
              <w:t>Weighted average number of shares outstanding - basic</w:t>
            </w: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220,323,622</w:t>
            </w: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209,902,732</w:t>
            </w: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218,276,376</w:t>
            </w: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209,185,544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6"/>
              </w:rPr>
              <w:t>Weighted average number of shares outstanding - diluted</w:t>
            </w:r>
          </w:p>
        </w:tc>
        <w:tc>
          <w:tcPr>
            <w:tcW w:w="30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224,843,155</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209,902,732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222,927,120</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209,185,544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-3554095</wp:posOffset>
            </wp:positionV>
            <wp:extent cx="1028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-3554095</wp:posOffset>
            </wp:positionV>
            <wp:extent cx="939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-3554095</wp:posOffset>
            </wp:positionV>
            <wp:extent cx="939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-3219450</wp:posOffset>
            </wp:positionV>
            <wp:extent cx="10287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-3219450</wp:posOffset>
            </wp:positionV>
            <wp:extent cx="939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-3219450</wp:posOffset>
            </wp:positionV>
            <wp:extent cx="939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-2876550</wp:posOffset>
            </wp:positionV>
            <wp:extent cx="1028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-2876550</wp:posOffset>
            </wp:positionV>
            <wp:extent cx="939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-2876550</wp:posOffset>
            </wp:positionV>
            <wp:extent cx="939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-2216785</wp:posOffset>
            </wp:positionV>
            <wp:extent cx="10287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-2216785</wp:posOffset>
            </wp:positionV>
            <wp:extent cx="939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-2216785</wp:posOffset>
            </wp:positionV>
            <wp:extent cx="939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-1736725</wp:posOffset>
            </wp:positionV>
            <wp:extent cx="10287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-1736725</wp:posOffset>
            </wp:positionV>
            <wp:extent cx="939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-1736725</wp:posOffset>
            </wp:positionV>
            <wp:extent cx="939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-779780</wp:posOffset>
            </wp:positionV>
            <wp:extent cx="102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-762635</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-779780</wp:posOffset>
            </wp:positionV>
            <wp:extent cx="93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-762635</wp:posOffset>
            </wp:positionV>
            <wp:extent cx="93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-779780</wp:posOffset>
            </wp:positionV>
            <wp:extent cx="93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-762635</wp:posOffset>
            </wp:positionV>
            <wp:extent cx="93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-402590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-385445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-402590</wp:posOffset>
            </wp:positionV>
            <wp:extent cx="939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-385445</wp:posOffset>
            </wp:positionV>
            <wp:extent cx="93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-402590</wp:posOffset>
            </wp:positionV>
            <wp:extent cx="939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-385445</wp:posOffset>
            </wp:positionV>
            <wp:extent cx="93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102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102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93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93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93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93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Contributed</w:t>
            </w: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Deferred Share</w:t>
            </w: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Controlling</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Surplus (Deficit)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Issuance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5"/>
              </w:rPr>
              <w:t>(Deficit)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42"/>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April 1, 2020</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(164,697,85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20" w:type="dxa"/>
            <w:vAlign w:val="bottom"/>
            <w:gridSpan w:val="2"/>
            <w:shd w:val="clear" w:color="auto" w:fill="CFF0FC"/>
          </w:tcPr>
          <w:p>
            <w:pPr>
              <w:ind w:left="37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990,290,509</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8,302,730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16,587,798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2,322,334</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$ 852,805,517</w:t>
            </w:r>
          </w:p>
        </w:tc>
        <w:tc>
          <w:tcPr>
            <w:tcW w:w="100" w:type="dxa"/>
            <w:vAlign w:val="bottom"/>
            <w:shd w:val="clear" w:color="auto" w:fill="CFF0FC"/>
          </w:tcPr>
          <w:p>
            <w:pPr>
              <w:spacing w:after="0"/>
              <w:rPr>
                <w:sz w:val="21"/>
                <w:szCs w:val="21"/>
                <w:color w:val="auto"/>
              </w:rPr>
            </w:pPr>
          </w:p>
        </w:tc>
      </w:tr>
      <w:tr>
        <w:trPr>
          <w:trHeight w:val="242"/>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 adjustment for change</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 ownership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(5,700,000 )</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(5,700,000 )</w:t>
            </w:r>
          </w:p>
        </w:tc>
      </w:tr>
      <w:tr>
        <w:trPr>
          <w:trHeight w:val="249"/>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shares under business</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combinations and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1,840,009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(2,000,000 )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(159,991 )</w:t>
            </w: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Distribution of Contingent Consideration</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11,227,642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11,227,642</w:t>
            </w:r>
          </w:p>
        </w:tc>
        <w:tc>
          <w:tcPr>
            <w:tcW w:w="100" w:type="dxa"/>
            <w:vAlign w:val="bottom"/>
          </w:tcPr>
          <w:p>
            <w:pPr>
              <w:spacing w:after="0"/>
              <w:rPr>
                <w:sz w:val="21"/>
                <w:szCs w:val="21"/>
                <w:color w:val="auto"/>
              </w:rPr>
            </w:pPr>
          </w:p>
        </w:tc>
      </w:tr>
      <w:tr>
        <w:trPr>
          <w:trHeight w:val="263"/>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Distribution of deferred shares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1,307,798</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6"/>
              </w:rPr>
              <w:t>(1,307,798 )</w:t>
            </w: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Issuance of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181,272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181,272</w:t>
            </w:r>
          </w:p>
        </w:tc>
        <w:tc>
          <w:tcPr>
            <w:tcW w:w="100" w:type="dxa"/>
            <w:vAlign w:val="bottom"/>
          </w:tcPr>
          <w:p>
            <w:pPr>
              <w:spacing w:after="0"/>
              <w:rPr>
                <w:sz w:val="21"/>
                <w:szCs w:val="21"/>
                <w:color w:val="auto"/>
              </w:rPr>
            </w:pPr>
          </w:p>
        </w:tc>
      </w:tr>
      <w:tr>
        <w:trPr>
          <w:trHeight w:val="263"/>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Exercise of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146,104</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61,568</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207,672</w:t>
            </w:r>
          </w:p>
        </w:tc>
        <w:tc>
          <w:tcPr>
            <w:tcW w:w="100" w:type="dxa"/>
            <w:vAlign w:val="bottom"/>
            <w:shd w:val="clear" w:color="auto" w:fill="CFF0FC"/>
          </w:tcPr>
          <w:p>
            <w:pPr>
              <w:spacing w:after="0"/>
              <w:rPr>
                <w:sz w:val="22"/>
                <w:szCs w:val="22"/>
                <w:color w:val="auto"/>
              </w:rPr>
            </w:pP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5,700,142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5,700,142</w:t>
            </w:r>
          </w:p>
        </w:tc>
        <w:tc>
          <w:tcPr>
            <w:tcW w:w="100" w:type="dxa"/>
            <w:vAlign w:val="bottom"/>
          </w:tcPr>
          <w:p>
            <w:pPr>
              <w:spacing w:after="0"/>
              <w:rPr>
                <w:sz w:val="21"/>
                <w:szCs w:val="21"/>
                <w:color w:val="auto"/>
              </w:rPr>
            </w:pPr>
          </w:p>
        </w:tc>
      </w:tr>
      <w:tr>
        <w:trPr>
          <w:trHeight w:val="249"/>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Distributions to third party and limited liability</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company unit holders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8"/>
              </w:rPr>
              <w:t>(1,099,998 )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(1,099,998 )</w:t>
            </w: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(12,909,505 )</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1,145,568</w:t>
            </w:r>
          </w:p>
        </w:tc>
        <w:tc>
          <w:tcPr>
            <w:tcW w:w="2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(11,763,937 )</w:t>
            </w:r>
          </w:p>
        </w:tc>
      </w:tr>
      <w:tr>
        <w:trPr>
          <w:trHeight w:val="242"/>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12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1,004,812,0</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(177,607,35</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77"/>
        </w:trPr>
        <w:tc>
          <w:tcPr>
            <w:tcW w:w="37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6,545,712</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15,280,000</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2,367,904</w:t>
            </w:r>
          </w:p>
        </w:tc>
        <w:tc>
          <w:tcPr>
            <w:tcW w:w="2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$ 851,398,319</w:t>
            </w:r>
          </w:p>
        </w:tc>
        <w:tc>
          <w:tcPr>
            <w:tcW w:w="100" w:type="dxa"/>
            <w:vAlign w:val="bottom"/>
            <w:shd w:val="clear" w:color="auto" w:fill="CFF0FC"/>
          </w:tcPr>
          <w:p>
            <w:pPr>
              <w:spacing w:after="0"/>
              <w:rPr>
                <w:sz w:val="24"/>
                <w:szCs w:val="24"/>
                <w:color w:val="auto"/>
              </w:rPr>
            </w:pPr>
          </w:p>
        </w:tc>
      </w:tr>
      <w:tr>
        <w:trPr>
          <w:trHeight w:val="229"/>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January 1, 2020</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(160,491,59</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7"/>
        </w:trPr>
        <w:tc>
          <w:tcPr>
            <w:tcW w:w="3820" w:type="dxa"/>
            <w:vAlign w:val="bottom"/>
            <w:gridSpan w:val="2"/>
          </w:tcPr>
          <w:p>
            <w:pPr>
              <w:ind w:left="37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980,638,701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3,960,854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16,587,798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2,512,913</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6"/>
              </w:rPr>
              <w:t>$ 843,208,676</w:t>
            </w:r>
          </w:p>
        </w:tc>
        <w:tc>
          <w:tcPr>
            <w:tcW w:w="100" w:type="dxa"/>
            <w:vAlign w:val="bottom"/>
          </w:tcPr>
          <w:p>
            <w:pPr>
              <w:spacing w:after="0"/>
              <w:rPr>
                <w:sz w:val="20"/>
                <w:szCs w:val="20"/>
                <w:color w:val="auto"/>
              </w:rPr>
            </w:pPr>
          </w:p>
        </w:tc>
      </w:tr>
      <w:tr>
        <w:trPr>
          <w:trHeight w:val="249"/>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Noncontrolling interests adjustment for change</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 ownership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(5,700,000 )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(5,700,000 )</w:t>
            </w:r>
          </w:p>
        </w:tc>
      </w:tr>
      <w:tr>
        <w:trPr>
          <w:trHeight w:val="242"/>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Contributions from limited liability company</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20" w:type="dxa"/>
            <w:vAlign w:val="bottom"/>
            <w:gridSpan w:val="2"/>
          </w:tcPr>
          <w:p>
            <w:pPr>
              <w:ind w:left="160"/>
              <w:spacing w:after="0"/>
              <w:rPr>
                <w:sz w:val="20"/>
                <w:szCs w:val="20"/>
                <w:color w:val="auto"/>
              </w:rPr>
            </w:pPr>
            <w:r>
              <w:rPr>
                <w:rFonts w:ascii="Arial" w:cs="Arial" w:eastAsia="Arial" w:hAnsi="Arial"/>
                <w:sz w:val="18"/>
                <w:szCs w:val="18"/>
                <w:color w:val="auto"/>
              </w:rPr>
              <w:t>unit holders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r>
      <w:tr>
        <w:trPr>
          <w:trHeight w:val="249"/>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shares under business</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combinations and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2,524,560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(2,678,489 )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(153,929 )</w:t>
            </w: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Distribution of Contingent Consideration</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20,194,899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20,194,899</w:t>
            </w:r>
          </w:p>
        </w:tc>
        <w:tc>
          <w:tcPr>
            <w:tcW w:w="100" w:type="dxa"/>
            <w:vAlign w:val="bottom"/>
          </w:tcPr>
          <w:p>
            <w:pPr>
              <w:spacing w:after="0"/>
              <w:rPr>
                <w:sz w:val="21"/>
                <w:szCs w:val="21"/>
                <w:color w:val="auto"/>
              </w:rPr>
            </w:pPr>
          </w:p>
        </w:tc>
      </w:tr>
      <w:tr>
        <w:trPr>
          <w:trHeight w:val="263"/>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Distribution of deferred shares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1,307,798</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6"/>
              </w:rPr>
              <w:t>(1,307,798 )</w:t>
            </w: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Issuance of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181,272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181,272</w:t>
            </w:r>
          </w:p>
        </w:tc>
        <w:tc>
          <w:tcPr>
            <w:tcW w:w="100" w:type="dxa"/>
            <w:vAlign w:val="bottom"/>
          </w:tcPr>
          <w:p>
            <w:pPr>
              <w:spacing w:after="0"/>
              <w:rPr>
                <w:sz w:val="21"/>
                <w:szCs w:val="21"/>
                <w:color w:val="auto"/>
              </w:rPr>
            </w:pPr>
          </w:p>
        </w:tc>
      </w:tr>
      <w:tr>
        <w:trPr>
          <w:trHeight w:val="263"/>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Exercise of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146,104</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61,568</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207,672</w:t>
            </w:r>
          </w:p>
        </w:tc>
        <w:tc>
          <w:tcPr>
            <w:tcW w:w="100" w:type="dxa"/>
            <w:vAlign w:val="bottom"/>
            <w:shd w:val="clear" w:color="auto" w:fill="CFF0FC"/>
          </w:tcPr>
          <w:p>
            <w:pPr>
              <w:spacing w:after="0"/>
              <w:rPr>
                <w:sz w:val="22"/>
                <w:szCs w:val="22"/>
                <w:color w:val="auto"/>
              </w:rPr>
            </w:pP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10,773,884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10,773,884</w:t>
            </w:r>
          </w:p>
        </w:tc>
        <w:tc>
          <w:tcPr>
            <w:tcW w:w="100" w:type="dxa"/>
            <w:vAlign w:val="bottom"/>
          </w:tcPr>
          <w:p>
            <w:pPr>
              <w:spacing w:after="0"/>
              <w:rPr>
                <w:sz w:val="21"/>
                <w:szCs w:val="21"/>
                <w:color w:val="auto"/>
              </w:rPr>
            </w:pPr>
          </w:p>
        </w:tc>
      </w:tr>
      <w:tr>
        <w:trPr>
          <w:trHeight w:val="249"/>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Distributions to third party and limited liability</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company unit holders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(53,377 )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8"/>
              </w:rPr>
              <w:t>(1,783,281 )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(1,836,658 )</w:t>
            </w: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(17,115,769 )</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1,588,272</w:t>
            </w:r>
          </w:p>
        </w:tc>
        <w:tc>
          <w:tcPr>
            <w:tcW w:w="2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(15,527,497 )</w:t>
            </w:r>
          </w:p>
        </w:tc>
      </w:tr>
      <w:tr>
        <w:trPr>
          <w:trHeight w:val="242"/>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12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1,004,812,0</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(177,607,35</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7"/>
        </w:trPr>
        <w:tc>
          <w:tcPr>
            <w:tcW w:w="3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6,545,712</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15,280,000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2,367,904</w:t>
            </w: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$ 851,398,319</w:t>
            </w:r>
          </w:p>
        </w:tc>
        <w:tc>
          <w:tcPr>
            <w:tcW w:w="100" w:type="dxa"/>
            <w:vAlign w:val="bottom"/>
            <w:shd w:val="clear" w:color="auto" w:fill="CFF0FC"/>
          </w:tcPr>
          <w:p>
            <w:pPr>
              <w:spacing w:after="0"/>
              <w:rPr>
                <w:sz w:val="22"/>
                <w:szCs w:val="22"/>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-2888615</wp:posOffset>
            </wp:positionV>
            <wp:extent cx="163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-2870835</wp:posOffset>
            </wp:positionV>
            <wp:extent cx="1631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-2888615</wp:posOffset>
            </wp:positionV>
            <wp:extent cx="1454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-2870835</wp:posOffset>
            </wp:positionV>
            <wp:extent cx="1454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-2888615</wp:posOffset>
            </wp:positionV>
            <wp:extent cx="146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-2870835</wp:posOffset>
            </wp:positionV>
            <wp:extent cx="1460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-2888615</wp:posOffset>
            </wp:positionV>
            <wp:extent cx="146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-2870835</wp:posOffset>
            </wp:positionV>
            <wp:extent cx="1460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-2888615</wp:posOffset>
            </wp:positionV>
            <wp:extent cx="1460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-2870835</wp:posOffset>
            </wp:positionV>
            <wp:extent cx="146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-2888615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-25400</wp:posOffset>
            </wp:positionV>
            <wp:extent cx="163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-8255</wp:posOffset>
            </wp:positionV>
            <wp:extent cx="1631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1454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1454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460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460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1460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1460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1460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1460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Contributed</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Deferred Share</w:t>
            </w: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Surplus (Deficit)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Issuance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5"/>
              </w:rPr>
              <w:t>(Deficit)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42"/>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April 1, 2021</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1,236,987,6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(135,129,95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4"/>
              </w:rPr>
              <w:t>1,102,769,8</w:t>
            </w:r>
          </w:p>
        </w:tc>
        <w:tc>
          <w:tcPr>
            <w:tcW w:w="100" w:type="dxa"/>
            <w:vAlign w:val="bottom"/>
          </w:tcPr>
          <w:p>
            <w:pPr>
              <w:spacing w:after="0"/>
              <w:rPr>
                <w:sz w:val="21"/>
                <w:szCs w:val="21"/>
                <w:color w:val="auto"/>
              </w:rPr>
            </w:pPr>
          </w:p>
        </w:tc>
      </w:tr>
      <w:tr>
        <w:trPr>
          <w:trHeight w:val="237"/>
        </w:trPr>
        <w:tc>
          <w:tcPr>
            <w:tcW w:w="3840" w:type="dxa"/>
            <w:vAlign w:val="bottom"/>
            <w:gridSpan w:val="2"/>
          </w:tcPr>
          <w:p>
            <w:pPr>
              <w:ind w:left="37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(2,788,150 )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751,988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2,948,398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r>
      <w:tr>
        <w:trPr>
          <w:trHeight w:val="249"/>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shares under business</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combinations and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56,754,956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56,754,956</w:t>
            </w:r>
          </w:p>
        </w:tc>
        <w:tc>
          <w:tcPr>
            <w:tcW w:w="100" w:type="dxa"/>
            <w:vAlign w:val="bottom"/>
            <w:shd w:val="clear" w:color="auto" w:fill="CFF0FC"/>
          </w:tcPr>
          <w:p>
            <w:pPr>
              <w:spacing w:after="0"/>
              <w:rPr>
                <w:sz w:val="21"/>
                <w:szCs w:val="21"/>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Issuance of deferred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7,813,719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7,813,719</w:t>
            </w:r>
          </w:p>
        </w:tc>
        <w:tc>
          <w:tcPr>
            <w:tcW w:w="100" w:type="dxa"/>
            <w:vAlign w:val="bottom"/>
          </w:tcPr>
          <w:p>
            <w:pPr>
              <w:spacing w:after="0"/>
              <w:rPr>
                <w:sz w:val="21"/>
                <w:szCs w:val="21"/>
                <w:color w:val="auto"/>
              </w:rPr>
            </w:pPr>
          </w:p>
        </w:tc>
      </w:tr>
      <w:tr>
        <w:trPr>
          <w:trHeight w:val="263"/>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Exercise of options, RSUs and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15,316,754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(11,984,008 )</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3,332,746</w:t>
            </w:r>
          </w:p>
        </w:tc>
        <w:tc>
          <w:tcPr>
            <w:tcW w:w="100" w:type="dxa"/>
            <w:vAlign w:val="bottom"/>
            <w:shd w:val="clear" w:color="auto" w:fill="CFF0FC"/>
          </w:tcPr>
          <w:p>
            <w:pPr>
              <w:spacing w:after="0"/>
              <w:rPr>
                <w:sz w:val="22"/>
                <w:szCs w:val="22"/>
                <w:color w:val="auto"/>
              </w:rPr>
            </w:pPr>
          </w:p>
        </w:tc>
      </w:tr>
      <w:tr>
        <w:trPr>
          <w:trHeight w:val="242"/>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Warrants and shares issued in association with</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notes payable</w:t>
            </w:r>
          </w:p>
        </w:tc>
        <w:tc>
          <w:tcPr>
            <w:tcW w:w="940" w:type="dxa"/>
            <w:vAlign w:val="bottom"/>
          </w:tcPr>
          <w:p>
            <w:pPr>
              <w:jc w:val="right"/>
              <w:spacing w:after="0"/>
              <w:rPr>
                <w:sz w:val="20"/>
                <w:szCs w:val="20"/>
                <w:color w:val="auto"/>
              </w:rPr>
            </w:pPr>
            <w:r>
              <w:rPr>
                <w:rFonts w:ascii="Arial" w:cs="Arial" w:eastAsia="Arial" w:hAnsi="Arial"/>
                <w:sz w:val="18"/>
                <w:szCs w:val="18"/>
                <w:color w:val="auto"/>
              </w:rPr>
              <w:t>270,660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22,258,608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22,529,268</w:t>
            </w:r>
          </w:p>
        </w:tc>
        <w:tc>
          <w:tcPr>
            <w:tcW w:w="100" w:type="dxa"/>
            <w:vAlign w:val="bottom"/>
          </w:tcPr>
          <w:p>
            <w:pPr>
              <w:spacing w:after="0"/>
              <w:rPr>
                <w:sz w:val="20"/>
                <w:szCs w:val="20"/>
                <w:color w:val="auto"/>
              </w:rPr>
            </w:pPr>
          </w:p>
        </w:tc>
      </w:tr>
      <w:tr>
        <w:trPr>
          <w:trHeight w:val="263"/>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8"/>
              </w:rPr>
              <w:t>Shares issued for settlement of business dispute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7,135,200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7,135,200</w:t>
            </w:r>
          </w:p>
        </w:tc>
        <w:tc>
          <w:tcPr>
            <w:tcW w:w="100" w:type="dxa"/>
            <w:vAlign w:val="bottom"/>
            <w:shd w:val="clear" w:color="auto" w:fill="CFF0FC"/>
          </w:tcPr>
          <w:p>
            <w:pPr>
              <w:spacing w:after="0"/>
              <w:rPr>
                <w:sz w:val="22"/>
                <w:szCs w:val="22"/>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5,672,683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5,672,683</w:t>
            </w:r>
          </w:p>
        </w:tc>
        <w:tc>
          <w:tcPr>
            <w:tcW w:w="100" w:type="dxa"/>
            <w:vAlign w:val="bottom"/>
          </w:tcPr>
          <w:p>
            <w:pPr>
              <w:spacing w:after="0"/>
              <w:rPr>
                <w:sz w:val="21"/>
                <w:szCs w:val="21"/>
                <w:color w:val="auto"/>
              </w:rPr>
            </w:pPr>
          </w:p>
        </w:tc>
      </w:tr>
      <w:tr>
        <w:trPr>
          <w:trHeight w:val="249"/>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Distributions to limited liability company unit</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holders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(125,309 )</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(125,309 )</w:t>
            </w: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22,051,991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1,222,800</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23,274,791</w:t>
            </w:r>
          </w:p>
        </w:tc>
        <w:tc>
          <w:tcPr>
            <w:tcW w:w="100" w:type="dxa"/>
            <w:vAlign w:val="bottom"/>
          </w:tcPr>
          <w:p>
            <w:pPr>
              <w:spacing w:after="0"/>
              <w:rPr>
                <w:sz w:val="21"/>
                <w:szCs w:val="21"/>
                <w:color w:val="auto"/>
              </w:rPr>
            </w:pPr>
          </w:p>
        </w:tc>
      </w:tr>
      <w:tr>
        <w:trPr>
          <w:trHeight w:val="242"/>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1,316,465,1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(113,077,96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1,229,157,9</w:t>
            </w:r>
          </w:p>
        </w:tc>
        <w:tc>
          <w:tcPr>
            <w:tcW w:w="100" w:type="dxa"/>
            <w:vAlign w:val="bottom"/>
            <w:shd w:val="clear" w:color="auto" w:fill="CFF0FC"/>
          </w:tcPr>
          <w:p>
            <w:pPr>
              <w:spacing w:after="0"/>
              <w:rPr>
                <w:sz w:val="21"/>
                <w:szCs w:val="21"/>
                <w:color w:val="auto"/>
              </w:rPr>
            </w:pPr>
          </w:p>
        </w:tc>
      </w:tr>
      <w:tr>
        <w:trPr>
          <w:trHeight w:val="277"/>
        </w:trPr>
        <w:tc>
          <w:tcPr>
            <w:tcW w:w="37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13,159,133</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8,565,707</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4,045,889</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4"/>
                <w:szCs w:val="24"/>
                <w:color w:val="auto"/>
              </w:rPr>
            </w:pPr>
          </w:p>
        </w:tc>
      </w:tr>
      <w:tr>
        <w:trPr>
          <w:trHeight w:val="229"/>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January 1, 2021</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1,048,640,3</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(145,498,62</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7"/>
        </w:trPr>
        <w:tc>
          <w:tcPr>
            <w:tcW w:w="3840" w:type="dxa"/>
            <w:vAlign w:val="bottom"/>
            <w:gridSpan w:val="2"/>
          </w:tcPr>
          <w:p>
            <w:pPr>
              <w:ind w:left="37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4,893,153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2,587,317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3,537,096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914,159,341</w:t>
            </w:r>
          </w:p>
        </w:tc>
        <w:tc>
          <w:tcPr>
            <w:tcW w:w="100" w:type="dxa"/>
            <w:vAlign w:val="bottom"/>
          </w:tcPr>
          <w:p>
            <w:pPr>
              <w:spacing w:after="0"/>
              <w:rPr>
                <w:sz w:val="20"/>
                <w:szCs w:val="20"/>
                <w:color w:val="auto"/>
              </w:rPr>
            </w:pPr>
          </w:p>
        </w:tc>
      </w:tr>
      <w:tr>
        <w:trPr>
          <w:trHeight w:val="249"/>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shares under business</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combinations and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57,793,263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(38,307 )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57,754,956</w:t>
            </w:r>
          </w:p>
        </w:tc>
        <w:tc>
          <w:tcPr>
            <w:tcW w:w="100" w:type="dxa"/>
            <w:vAlign w:val="bottom"/>
            <w:shd w:val="clear" w:color="auto" w:fill="CFF0FC"/>
          </w:tcPr>
          <w:p>
            <w:pPr>
              <w:spacing w:after="0"/>
              <w:rPr>
                <w:sz w:val="21"/>
                <w:szCs w:val="21"/>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Shares issued as contingent consideration</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12,672,681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12,672,681</w:t>
            </w:r>
          </w:p>
        </w:tc>
        <w:tc>
          <w:tcPr>
            <w:tcW w:w="100" w:type="dxa"/>
            <w:vAlign w:val="bottom"/>
          </w:tcPr>
          <w:p>
            <w:pPr>
              <w:spacing w:after="0"/>
              <w:rPr>
                <w:sz w:val="21"/>
                <w:szCs w:val="21"/>
                <w:color w:val="auto"/>
              </w:rPr>
            </w:pPr>
          </w:p>
        </w:tc>
      </w:tr>
      <w:tr>
        <w:trPr>
          <w:trHeight w:val="263"/>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deferred shares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7,813,719</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7,813,719</w:t>
            </w:r>
          </w:p>
        </w:tc>
        <w:tc>
          <w:tcPr>
            <w:tcW w:w="100" w:type="dxa"/>
            <w:vAlign w:val="bottom"/>
            <w:shd w:val="clear" w:color="auto" w:fill="CFF0FC"/>
          </w:tcPr>
          <w:p>
            <w:pPr>
              <w:spacing w:after="0"/>
              <w:rPr>
                <w:sz w:val="22"/>
                <w:szCs w:val="22"/>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Distribution of deferred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1,825,597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(1,835,329 )</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(9,732 )</w:t>
            </w:r>
          </w:p>
        </w:tc>
      </w:tr>
      <w:tr>
        <w:trPr>
          <w:trHeight w:val="249"/>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registered shares pursuant to</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Form S-1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155,803,084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(304,944 )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155,498,140</w:t>
            </w:r>
          </w:p>
        </w:tc>
        <w:tc>
          <w:tcPr>
            <w:tcW w:w="100" w:type="dxa"/>
            <w:vAlign w:val="bottom"/>
            <w:shd w:val="clear" w:color="auto" w:fill="CFF0FC"/>
          </w:tcPr>
          <w:p>
            <w:pPr>
              <w:spacing w:after="0"/>
              <w:rPr>
                <w:sz w:val="21"/>
                <w:szCs w:val="21"/>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Exercise of options, RSUs and warrants</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32,324,301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(23,352,715 )</w:t>
            </w:r>
          </w:p>
        </w:tc>
        <w:tc>
          <w:tcPr>
            <w:tcW w:w="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8,971,586</w:t>
            </w:r>
          </w:p>
        </w:tc>
        <w:tc>
          <w:tcPr>
            <w:tcW w:w="100" w:type="dxa"/>
            <w:vAlign w:val="bottom"/>
          </w:tcPr>
          <w:p>
            <w:pPr>
              <w:spacing w:after="0"/>
              <w:rPr>
                <w:sz w:val="21"/>
                <w:szCs w:val="21"/>
                <w:color w:val="auto"/>
              </w:rPr>
            </w:pPr>
          </w:p>
        </w:tc>
      </w:tr>
      <w:tr>
        <w:trPr>
          <w:trHeight w:val="249"/>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Warrants and shares issued in association with</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notes payable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270,660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22,258,608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22,529,268</w:t>
            </w:r>
          </w:p>
        </w:tc>
        <w:tc>
          <w:tcPr>
            <w:tcW w:w="100" w:type="dxa"/>
            <w:vAlign w:val="bottom"/>
            <w:shd w:val="clear" w:color="auto" w:fill="CFF0FC"/>
          </w:tcPr>
          <w:p>
            <w:pPr>
              <w:spacing w:after="0"/>
              <w:rPr>
                <w:sz w:val="21"/>
                <w:szCs w:val="21"/>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w w:val="98"/>
              </w:rPr>
              <w:t>Shares issued for settlement of business dispute</w:t>
            </w:r>
          </w:p>
        </w:tc>
        <w:tc>
          <w:tcPr>
            <w:tcW w:w="940" w:type="dxa"/>
            <w:vAlign w:val="bottom"/>
          </w:tcPr>
          <w:p>
            <w:pPr>
              <w:jc w:val="right"/>
              <w:spacing w:after="0"/>
              <w:rPr>
                <w:sz w:val="20"/>
                <w:szCs w:val="20"/>
                <w:color w:val="auto"/>
              </w:rPr>
            </w:pPr>
            <w:r>
              <w:rPr>
                <w:rFonts w:ascii="Arial" w:cs="Arial" w:eastAsia="Arial" w:hAnsi="Arial"/>
                <w:sz w:val="18"/>
                <w:szCs w:val="18"/>
                <w:color w:val="auto"/>
              </w:rPr>
              <w:t>7,135,200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7,135,200</w:t>
            </w:r>
          </w:p>
        </w:tc>
        <w:tc>
          <w:tcPr>
            <w:tcW w:w="100" w:type="dxa"/>
            <w:vAlign w:val="bottom"/>
          </w:tcPr>
          <w:p>
            <w:pPr>
              <w:spacing w:after="0"/>
              <w:rPr>
                <w:sz w:val="21"/>
                <w:szCs w:val="21"/>
                <w:color w:val="auto"/>
              </w:rPr>
            </w:pPr>
          </w:p>
        </w:tc>
      </w:tr>
      <w:tr>
        <w:trPr>
          <w:trHeight w:val="263"/>
        </w:trPr>
        <w:tc>
          <w:tcPr>
            <w:tcW w:w="3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9,703,338</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9,703,338</w:t>
            </w:r>
          </w:p>
        </w:tc>
        <w:tc>
          <w:tcPr>
            <w:tcW w:w="100" w:type="dxa"/>
            <w:vAlign w:val="bottom"/>
            <w:shd w:val="clear" w:color="auto" w:fill="CFF0FC"/>
          </w:tcPr>
          <w:p>
            <w:pPr>
              <w:spacing w:after="0"/>
              <w:rPr>
                <w:sz w:val="22"/>
                <w:szCs w:val="22"/>
                <w:color w:val="auto"/>
              </w:rPr>
            </w:pPr>
          </w:p>
        </w:tc>
      </w:tr>
      <w:tr>
        <w:trPr>
          <w:trHeight w:val="242"/>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Distributions to limited liability company unit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holders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(1,800,309 )</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(1,800,309 )</w:t>
            </w:r>
          </w:p>
        </w:tc>
      </w:tr>
      <w:tr>
        <w:trPr>
          <w:trHeight w:val="257"/>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32,420,657</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2,309,102</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34,729,759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2"/>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940" w:type="dxa"/>
            <w:vAlign w:val="bottom"/>
          </w:tcPr>
          <w:p>
            <w:pPr>
              <w:jc w:val="right"/>
              <w:spacing w:after="0"/>
              <w:rPr>
                <w:sz w:val="20"/>
                <w:szCs w:val="20"/>
                <w:color w:val="auto"/>
              </w:rPr>
            </w:pPr>
            <w:r>
              <w:rPr>
                <w:rFonts w:ascii="Arial" w:cs="Arial" w:eastAsia="Arial" w:hAnsi="Arial"/>
                <w:sz w:val="18"/>
                <w:szCs w:val="18"/>
                <w:color w:val="auto"/>
                <w:w w:val="94"/>
              </w:rPr>
              <w:t>1,316,465,1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(113,077,96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4"/>
              </w:rPr>
              <w:t>1,229,157,9</w:t>
            </w:r>
          </w:p>
        </w:tc>
        <w:tc>
          <w:tcPr>
            <w:tcW w:w="100" w:type="dxa"/>
            <w:vAlign w:val="bottom"/>
          </w:tcPr>
          <w:p>
            <w:pPr>
              <w:spacing w:after="0"/>
              <w:rPr>
                <w:sz w:val="21"/>
                <w:szCs w:val="21"/>
                <w:color w:val="auto"/>
              </w:rPr>
            </w:pPr>
          </w:p>
        </w:tc>
      </w:tr>
      <w:tr>
        <w:trPr>
          <w:trHeight w:val="237"/>
        </w:trPr>
        <w:tc>
          <w:tcPr>
            <w:tcW w:w="3840" w:type="dxa"/>
            <w:vAlign w:val="bottom"/>
            <w:gridSpan w:val="2"/>
          </w:tcPr>
          <w:p>
            <w:pPr>
              <w:ind w:left="37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13,159,133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8,565,707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4,045,889</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2"/>
        </w:trPr>
        <w:tc>
          <w:tcPr>
            <w:tcW w:w="3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-3119755</wp:posOffset>
            </wp:positionV>
            <wp:extent cx="1625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-3102610</wp:posOffset>
            </wp:positionV>
            <wp:extent cx="1625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-3119755</wp:posOffset>
            </wp:positionV>
            <wp:extent cx="1460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-3102610</wp:posOffset>
            </wp:positionV>
            <wp:extent cx="146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-3119755</wp:posOffset>
            </wp:positionV>
            <wp:extent cx="1460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-3102610</wp:posOffset>
            </wp:positionV>
            <wp:extent cx="1460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-3119755</wp:posOffset>
            </wp:positionV>
            <wp:extent cx="1460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-3102610</wp:posOffset>
            </wp:positionV>
            <wp:extent cx="1460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-3119755</wp:posOffset>
            </wp:positionV>
            <wp:extent cx="1460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-3102610</wp:posOffset>
            </wp:positionV>
            <wp:extent cx="1460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-407670</wp:posOffset>
            </wp:positionV>
            <wp:extent cx="1625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-407670</wp:posOffset>
            </wp:positionV>
            <wp:extent cx="14605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-407670</wp:posOffset>
            </wp:positionV>
            <wp:extent cx="14605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-407670</wp:posOffset>
            </wp:positionV>
            <wp:extent cx="14605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-407670</wp:posOffset>
            </wp:positionV>
            <wp:extent cx="1460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-407670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5580" w:right="2860" w:hanging="5570"/>
        <w:spacing w:after="0" w:line="605" w:lineRule="auto"/>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76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80"/>
              <w:spacing w:after="0"/>
              <w:rPr>
                <w:sz w:val="20"/>
                <w:szCs w:val="20"/>
                <w:color w:val="auto"/>
              </w:rPr>
            </w:pPr>
            <w:r>
              <w:rPr>
                <w:rFonts w:ascii="Arial" w:cs="Arial" w:eastAsia="Arial" w:hAnsi="Arial"/>
                <w:sz w:val="16"/>
                <w:szCs w:val="16"/>
                <w:color w:val="auto"/>
              </w:rPr>
              <w:t>Net income (loss) attributable to Green Thumb Industries Inc.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32,420,657</w:t>
            </w:r>
          </w:p>
        </w:tc>
        <w:tc>
          <w:tcPr>
            <w:tcW w:w="3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(17,115,769 )</w:t>
            </w:r>
          </w:p>
        </w:tc>
      </w:tr>
      <w:tr>
        <w:trPr>
          <w:trHeight w:val="239"/>
        </w:trPr>
        <w:tc>
          <w:tcPr>
            <w:tcW w:w="76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Net income attributable to non-controlling interest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2,309,102</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1,588,272</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30,066,413</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26,945,085</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Amortization of operating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16,027,698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12,430,640</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9,881,847</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Loss on disposal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64,340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4,155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Earnings from equity method investments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(1,646,373 )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(550,000 )</w:t>
            </w: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Bad debt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318,896</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1,042,097</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(593,000 )</w:t>
            </w: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9,703,338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10,773,886</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(Increase) decrease in fair value of investments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(18,754,321 )</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17,035</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Interest on contingent consideration payable and acquisition liabilities</w:t>
            </w:r>
          </w:p>
        </w:tc>
        <w:tc>
          <w:tcPr>
            <w:tcW w:w="3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769,217</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Increase in fair value of contingent consideration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412,949</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17,565</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Increase (decrease) in fair value of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8,010,750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(1,120,343 )</w:t>
            </w: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Shares issued for settlement of business dispute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7,135,200</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Decrease in fair value of note receivable</w:t>
            </w:r>
          </w:p>
        </w:tc>
        <w:tc>
          <w:tcPr>
            <w:tcW w:w="3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815,937</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Amortization of debt discount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2,763,857</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2,959,016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(2,793,377 )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(2,535,533 )</w:t>
            </w: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(10,373,446 )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(7,950,215 )</w:t>
            </w: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(6,303,131 )</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2,858,221</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Deposits and other assets</w:t>
            </w:r>
          </w:p>
        </w:tc>
        <w:tc>
          <w:tcPr>
            <w:tcW w:w="3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(1,397,536 )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977,444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(6,074,449 )</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3,174,865</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3,995,523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5,820,802</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(12,586,379 )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(7,928,586 )</w:t>
            </w:r>
          </w:p>
        </w:tc>
      </w:tr>
      <w:tr>
        <w:trPr>
          <w:trHeight w:val="223"/>
        </w:trPr>
        <w:tc>
          <w:tcPr>
            <w:tcW w:w="7680" w:type="dxa"/>
            <w:vAlign w:val="bottom"/>
          </w:tcPr>
          <w:p>
            <w:pPr>
              <w:ind w:left="520"/>
              <w:spacing w:after="0"/>
              <w:rPr>
                <w:sz w:val="20"/>
                <w:szCs w:val="20"/>
                <w:color w:val="auto"/>
              </w:rPr>
            </w:pPr>
            <w:r>
              <w:rPr>
                <w:rFonts w:ascii="Arial" w:cs="Arial" w:eastAsia="Arial" w:hAnsi="Arial"/>
                <w:sz w:val="16"/>
                <w:szCs w:val="16"/>
                <w:color w:val="auto"/>
              </w:rPr>
              <w:t>Income tax payable</w:t>
            </w:r>
          </w:p>
        </w:tc>
        <w:tc>
          <w:tcPr>
            <w:tcW w:w="3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(15,613,880 )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28,572,736</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b w:val="1"/>
                <w:bCs w:val="1"/>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48,296,862</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60,250,326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(44,157,853 )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(34,033,957 )</w:t>
            </w:r>
          </w:p>
        </w:tc>
      </w:tr>
      <w:tr>
        <w:trPr>
          <w:trHeight w:val="220"/>
        </w:trPr>
        <w:tc>
          <w:tcPr>
            <w:tcW w:w="7680" w:type="dxa"/>
            <w:vAlign w:val="bottom"/>
          </w:tcPr>
          <w:p>
            <w:pPr>
              <w:ind w:left="280"/>
              <w:spacing w:after="0"/>
              <w:rPr>
                <w:sz w:val="20"/>
                <w:szCs w:val="20"/>
                <w:color w:val="auto"/>
              </w:rPr>
            </w:pPr>
            <w:r>
              <w:rPr>
                <w:rFonts w:ascii="Arial" w:cs="Arial" w:eastAsia="Arial" w:hAnsi="Arial"/>
                <w:sz w:val="16"/>
                <w:szCs w:val="16"/>
                <w:color w:val="auto"/>
              </w:rPr>
              <w:t>Proceeds from disposal of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11,799,025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Investments in securities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(18,135,615 )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80"/>
              <w:spacing w:after="0"/>
              <w:rPr>
                <w:sz w:val="20"/>
                <w:szCs w:val="20"/>
                <w:color w:val="auto"/>
              </w:rPr>
            </w:pPr>
            <w:r>
              <w:rPr>
                <w:rFonts w:ascii="Arial" w:cs="Arial" w:eastAsia="Arial" w:hAnsi="Arial"/>
                <w:sz w:val="16"/>
                <w:szCs w:val="16"/>
                <w:color w:val="auto"/>
              </w:rPr>
              <w:t>Proceeds from sale of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18,417,089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3"/>
        </w:trPr>
        <w:tc>
          <w:tcPr>
            <w:tcW w:w="7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Purchase of businesses, net of cash acquired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233,227</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520"/>
              <w:spacing w:after="0"/>
              <w:rPr>
                <w:sz w:val="20"/>
                <w:szCs w:val="20"/>
                <w:color w:val="auto"/>
              </w:rPr>
            </w:pPr>
            <w:r>
              <w:rPr>
                <w:rFonts w:ascii="Arial" w:cs="Arial" w:eastAsia="Arial" w:hAnsi="Arial"/>
                <w:sz w:val="16"/>
                <w:szCs w:val="16"/>
                <w:b w:val="1"/>
                <w:bCs w:val="1"/>
                <w:color w:val="auto"/>
              </w:rPr>
              <w:t>NET CASH USED IN INVESTING ACTIVITIES</w:t>
            </w:r>
          </w:p>
        </w:tc>
        <w:tc>
          <w:tcPr>
            <w:tcW w:w="3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(43,583,152 )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(22,234,932 )</w:t>
            </w: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80"/>
              <w:spacing w:after="0"/>
              <w:rPr>
                <w:sz w:val="20"/>
                <w:szCs w:val="20"/>
                <w:color w:val="auto"/>
              </w:rPr>
            </w:pPr>
            <w:r>
              <w:rPr>
                <w:rFonts w:ascii="Arial" w:cs="Arial" w:eastAsia="Arial" w:hAnsi="Arial"/>
                <w:sz w:val="16"/>
                <w:szCs w:val="16"/>
                <w:color w:val="auto"/>
              </w:rPr>
              <w:t>Contributions from limited liability company unit holders</w:t>
            </w:r>
          </w:p>
        </w:tc>
        <w:tc>
          <w:tcPr>
            <w:tcW w:w="3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Distributions to third parties and limited liability company unit holders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(1,800,309 )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(1,836,658 )</w:t>
            </w:r>
          </w:p>
        </w:tc>
      </w:tr>
      <w:tr>
        <w:trPr>
          <w:trHeight w:val="220"/>
        </w:trPr>
        <w:tc>
          <w:tcPr>
            <w:tcW w:w="7680" w:type="dxa"/>
            <w:vAlign w:val="bottom"/>
          </w:tcPr>
          <w:p>
            <w:pPr>
              <w:ind w:left="280"/>
              <w:spacing w:after="0"/>
              <w:rPr>
                <w:sz w:val="20"/>
                <w:szCs w:val="20"/>
                <w:color w:val="auto"/>
              </w:rPr>
            </w:pPr>
            <w:r>
              <w:rPr>
                <w:rFonts w:ascii="Arial" w:cs="Arial" w:eastAsia="Arial" w:hAnsi="Arial"/>
                <w:sz w:val="16"/>
                <w:szCs w:val="16"/>
                <w:color w:val="auto"/>
              </w:rPr>
              <w:t>Distributions from unconsolidated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Net proceeds from issuance of registered shares pursuant to Form S-1</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155,498,140</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80"/>
              <w:spacing w:after="0"/>
              <w:rPr>
                <w:sz w:val="20"/>
                <w:szCs w:val="20"/>
                <w:color w:val="auto"/>
              </w:rPr>
            </w:pPr>
            <w:r>
              <w:rPr>
                <w:rFonts w:ascii="Arial" w:cs="Arial" w:eastAsia="Arial" w:hAnsi="Arial"/>
                <w:sz w:val="16"/>
                <w:szCs w:val="16"/>
                <w:color w:val="auto"/>
              </w:rPr>
              <w:t>Proceeds from exercise of options and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8,971,586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207,672</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Proceeds from issuance of notes payable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175,500,047</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80"/>
              <w:spacing w:after="0"/>
              <w:rPr>
                <w:sz w:val="20"/>
                <w:szCs w:val="20"/>
                <w:color w:val="auto"/>
              </w:rPr>
            </w:pPr>
            <w:r>
              <w:rPr>
                <w:rFonts w:ascii="Arial" w:cs="Arial" w:eastAsia="Arial" w:hAnsi="Arial"/>
                <w:sz w:val="16"/>
                <w:szCs w:val="16"/>
                <w:color w:val="auto"/>
              </w:rPr>
              <w:t>Principal repayment of notes payable</w:t>
            </w:r>
          </w:p>
        </w:tc>
        <w:tc>
          <w:tcPr>
            <w:tcW w:w="3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(64,602,310 )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(161,070 )</w:t>
            </w:r>
          </w:p>
        </w:tc>
      </w:tr>
      <w:tr>
        <w:trPr>
          <w:trHeight w:val="230"/>
        </w:trPr>
        <w:tc>
          <w:tcPr>
            <w:tcW w:w="76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Prepayment penalty and other costs associated with refinancing</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(3,199,914 )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76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680" w:type="dxa"/>
            <w:vAlign w:val="bottom"/>
          </w:tcPr>
          <w:p>
            <w:pPr>
              <w:ind w:left="5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270,717,240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(1,740,056 )</w:t>
            </w: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520"/>
              <w:spacing w:after="0"/>
              <w:rPr>
                <w:sz w:val="20"/>
                <w:szCs w:val="20"/>
                <w:color w:val="auto"/>
              </w:rPr>
            </w:pPr>
            <w:r>
              <w:rPr>
                <w:rFonts w:ascii="Arial" w:cs="Arial" w:eastAsia="Arial" w:hAnsi="Arial"/>
                <w:sz w:val="16"/>
                <w:szCs w:val="16"/>
                <w:b w:val="1"/>
                <w:bCs w:val="1"/>
                <w:color w:val="auto"/>
              </w:rPr>
              <w:t>NET INCREASE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275,430,950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36,275,338</w:t>
            </w:r>
          </w:p>
        </w:tc>
        <w:tc>
          <w:tcPr>
            <w:tcW w:w="10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b w:val="1"/>
                <w:bCs w:val="1"/>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83,757,785</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46,667,334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5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359,188,735</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82,942,672</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-3133725</wp:posOffset>
            </wp:positionV>
            <wp:extent cx="2057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-3133725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-2251075</wp:posOffset>
            </wp:positionV>
            <wp:extent cx="2057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-776605</wp:posOffset>
            </wp:positionV>
            <wp:extent cx="2057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-176530</wp:posOffset>
            </wp:positionV>
            <wp:extent cx="2057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91"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77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6,825,020</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6,048,116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6"/>
                <w:szCs w:val="16"/>
                <w:color w:val="auto"/>
              </w:rPr>
              <w:t>Accrued capital expenditures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13,808,012</w:t>
            </w:r>
          </w:p>
        </w:tc>
        <w:tc>
          <w:tcPr>
            <w:tcW w:w="300" w:type="dxa"/>
            <w:vAlign w:val="bottom"/>
          </w:tcPr>
          <w:p>
            <w:pPr>
              <w:spacing w:after="0"/>
              <w:rPr>
                <w:sz w:val="19"/>
                <w:szCs w:val="19"/>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(3,564,688 )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increase in right of use asset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(10,781,445 )</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(37,863,550 )</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Noncash increase in lease liability</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10,781,445</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37,863,550</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Warrant issuance associated with note payable</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22,529,268</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753,658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color w:val="auto"/>
              </w:rPr>
              <w:t>Mortgages associated with dispensaries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1,814,000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Liability for purchase of noncontrolling interest</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color w:val="auto"/>
              </w:rPr>
              <w:t>Liability associated with acquisition agreement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contingent consideration</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13,672,681</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20,194,899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color w:val="auto"/>
              </w:rPr>
              <w:t>Deferred share issuances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7,813,719</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share distributions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(1,835,329 )</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(1,707,941 )</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Issuance of shares under business combinations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56,754,956</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80"/>
              <w:spacing w:after="0"/>
              <w:rPr>
                <w:sz w:val="20"/>
                <w:szCs w:val="20"/>
                <w:color w:val="auto"/>
              </w:rPr>
            </w:pPr>
            <w:r>
              <w:rPr>
                <w:rFonts w:ascii="Arial" w:cs="Arial" w:eastAsia="Arial" w:hAnsi="Arial"/>
                <w:sz w:val="16"/>
                <w:szCs w:val="16"/>
                <w:color w:val="auto"/>
              </w:rPr>
              <w:t>Inventory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1,809,828</w:t>
            </w:r>
          </w:p>
        </w:tc>
        <w:tc>
          <w:tcPr>
            <w:tcW w:w="300" w:type="dxa"/>
            <w:vAlign w:val="bottom"/>
          </w:tcPr>
          <w:p>
            <w:pPr>
              <w:spacing w:after="0"/>
              <w:rPr>
                <w:sz w:val="19"/>
                <w:szCs w:val="19"/>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502,767</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80"/>
              <w:spacing w:after="0"/>
              <w:rPr>
                <w:sz w:val="20"/>
                <w:szCs w:val="20"/>
                <w:color w:val="auto"/>
              </w:rPr>
            </w:pPr>
            <w:r>
              <w:rPr>
                <w:rFonts w:ascii="Arial" w:cs="Arial" w:eastAsia="Arial" w:hAnsi="Arial"/>
                <w:sz w:val="16"/>
                <w:szCs w:val="16"/>
                <w:color w:val="auto"/>
              </w:rPr>
              <w:t>Prepaid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118,027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3,712,829</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80,615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80"/>
              <w:spacing w:after="0"/>
              <w:rPr>
                <w:sz w:val="20"/>
                <w:szCs w:val="20"/>
                <w:color w:val="auto"/>
              </w:rPr>
            </w:pPr>
            <w:r>
              <w:rPr>
                <w:rFonts w:ascii="Arial" w:cs="Arial" w:eastAsia="Arial" w:hAnsi="Arial"/>
                <w:sz w:val="16"/>
                <w:szCs w:val="16"/>
                <w:color w:val="auto"/>
              </w:rPr>
              <w:t>Right of use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12,267,252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Identifiable intangible assets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25,342,457</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(145,000 )</w:t>
            </w:r>
          </w:p>
        </w:tc>
      </w:tr>
      <w:tr>
        <w:trPr>
          <w:trHeight w:val="220"/>
        </w:trPr>
        <w:tc>
          <w:tcPr>
            <w:tcW w:w="77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40,143,000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(2,003,275 )</w:t>
            </w:r>
          </w:p>
        </w:tc>
      </w:tr>
      <w:tr>
        <w:trPr>
          <w:trHeight w:val="239"/>
        </w:trPr>
        <w:tc>
          <w:tcPr>
            <w:tcW w:w="7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Deposits and other assets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350,000</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603,988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80"/>
              <w:spacing w:after="0"/>
              <w:rPr>
                <w:sz w:val="20"/>
                <w:szCs w:val="20"/>
                <w:color w:val="auto"/>
              </w:rPr>
            </w:pPr>
            <w:r>
              <w:rPr>
                <w:rFonts w:ascii="Arial" w:cs="Arial" w:eastAsia="Arial" w:hAnsi="Arial"/>
                <w:sz w:val="16"/>
                <w:szCs w:val="16"/>
                <w:color w:val="auto"/>
              </w:rPr>
              <w:t>Liabilities assumed</w:t>
            </w: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(1,093,460 )</w:t>
            </w: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(1,302,604 )</w:t>
            </w:r>
          </w:p>
        </w:tc>
      </w:tr>
      <w:tr>
        <w:trPr>
          <w:trHeight w:val="239"/>
        </w:trPr>
        <w:tc>
          <w:tcPr>
            <w:tcW w:w="7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Lease liabilities</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(12,267,252 )</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80"/>
              <w:spacing w:after="0"/>
              <w:rPr>
                <w:sz w:val="20"/>
                <w:szCs w:val="20"/>
                <w:color w:val="auto"/>
              </w:rPr>
            </w:pPr>
            <w:r>
              <w:rPr>
                <w:rFonts w:ascii="Arial" w:cs="Arial" w:eastAsia="Arial" w:hAnsi="Arial"/>
                <w:sz w:val="16"/>
                <w:szCs w:val="16"/>
                <w:color w:val="auto"/>
              </w:rPr>
              <w:t>Equity interests issued</w:t>
            </w: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(64,568,675 )</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503,389</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Acquisition liability</w:t>
            </w:r>
          </w:p>
        </w:tc>
        <w:tc>
          <w:tcPr>
            <w:tcW w:w="3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(228,813 )</w:t>
            </w:r>
          </w:p>
        </w:tc>
      </w:tr>
      <w:tr>
        <w:trPr>
          <w:trHeight w:val="226"/>
        </w:trPr>
        <w:tc>
          <w:tcPr>
            <w:tcW w:w="77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(6,550,000 )</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2,491,700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77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(233,227 )</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RECONCILIATION OF CASH, AND CASH EQUIVALENTS AND</w:t>
            </w: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20"/>
        </w:trPr>
        <w:tc>
          <w:tcPr>
            <w:tcW w:w="7720" w:type="dxa"/>
            <w:vAlign w:val="bottom"/>
          </w:tcPr>
          <w:p>
            <w:pPr>
              <w:ind w:left="140"/>
              <w:spacing w:after="0"/>
              <w:rPr>
                <w:sz w:val="20"/>
                <w:szCs w:val="20"/>
                <w:color w:val="auto"/>
              </w:rPr>
            </w:pPr>
            <w:r>
              <w:rPr>
                <w:rFonts w:ascii="Arial" w:cs="Arial" w:eastAsia="Arial" w:hAnsi="Arial"/>
                <w:sz w:val="16"/>
                <w:szCs w:val="16"/>
                <w:b w:val="1"/>
                <w:bCs w:val="1"/>
                <w:color w:val="auto"/>
              </w:rPr>
              <w:t>RESTRICTED CASH</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359,188,735</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78,537,236</w:t>
            </w:r>
          </w:p>
        </w:tc>
        <w:tc>
          <w:tcPr>
            <w:tcW w:w="100" w:type="dxa"/>
            <w:vAlign w:val="bottom"/>
            <w:shd w:val="clear" w:color="auto" w:fill="CFF0FC"/>
          </w:tcPr>
          <w:p>
            <w:pPr>
              <w:spacing w:after="0"/>
              <w:rPr>
                <w:sz w:val="20"/>
                <w:szCs w:val="20"/>
                <w:color w:val="auto"/>
              </w:rPr>
            </w:pPr>
          </w:p>
        </w:tc>
      </w:tr>
      <w:tr>
        <w:trPr>
          <w:trHeight w:val="226"/>
        </w:trPr>
        <w:tc>
          <w:tcPr>
            <w:tcW w:w="77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4,405,436</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CASH, AND CASH EQUIVALENTS AND RESTRICED CASH</w:t>
            </w: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359,188,735</w:t>
            </w:r>
          </w:p>
        </w:tc>
        <w:tc>
          <w:tcPr>
            <w:tcW w:w="3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82,942,672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-4533900</wp:posOffset>
            </wp:positionV>
            <wp:extent cx="1885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-4516755</wp:posOffset>
            </wp:positionV>
            <wp:extent cx="188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-4191000</wp:posOffset>
            </wp:positionV>
            <wp:extent cx="1885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-4173855</wp:posOffset>
            </wp:positionV>
            <wp:extent cx="1885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1885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-3830955</wp:posOffset>
            </wp:positionV>
            <wp:extent cx="1885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-3505200</wp:posOffset>
            </wp:positionV>
            <wp:extent cx="1885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-3488055</wp:posOffset>
            </wp:positionV>
            <wp:extent cx="1885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-3162300</wp:posOffset>
            </wp:positionV>
            <wp:extent cx="1885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-3145155</wp:posOffset>
            </wp:positionV>
            <wp:extent cx="1885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-770890</wp:posOffset>
            </wp:positionV>
            <wp:extent cx="1885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1885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885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885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8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880" w:hanging="432"/>
        <w:spacing w:after="0"/>
        <w:tabs>
          <w:tab w:leader="none" w:pos="8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Description of Business</w:t>
      </w:r>
    </w:p>
    <w:p>
      <w:pPr>
        <w:spacing w:after="0" w:line="127" w:lineRule="exact"/>
        <w:rPr>
          <w:sz w:val="20"/>
          <w:szCs w:val="20"/>
          <w:color w:val="auto"/>
        </w:rPr>
      </w:pPr>
    </w:p>
    <w:p>
      <w:pPr>
        <w:ind w:right="20" w:firstLine="441"/>
        <w:spacing w:after="0" w:line="310" w:lineRule="auto"/>
        <w:rPr>
          <w:sz w:val="20"/>
          <w:szCs w:val="20"/>
          <w:color w:val="auto"/>
        </w:rPr>
      </w:pPr>
      <w:r>
        <w:rPr>
          <w:rFonts w:ascii="Arial" w:cs="Arial" w:eastAsia="Arial" w:hAnsi="Arial"/>
          <w:sz w:val="16"/>
          <w:szCs w:val="16"/>
          <w:color w:val="auto"/>
        </w:rPr>
        <w:t>Green Thumb Industries Inc. (“</w:t>
      </w:r>
      <w:r>
        <w:rPr>
          <w:rFonts w:ascii="Arial" w:cs="Arial" w:eastAsia="Arial" w:hAnsi="Arial"/>
          <w:sz w:val="16"/>
          <w:szCs w:val="16"/>
          <w:b w:val="1"/>
          <w:bCs w:val="1"/>
          <w:color w:val="auto"/>
        </w:rPr>
        <w:t>Green Thumb</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Beboe, Dogwalkers, Dr. Solomon’s, incredibles, Rythm and The Feel Collection, to third-party retail stores across the United States as well as to Green Thumb owned retail stores. The Company owns and operates retail cannabis stores that include a rapidly growing national chain named Rise™ Dispensaries, all of which sell our products and third-party products. As of June 30, 2021, Green Thumb has revenue in twelve markets (California, Colorado, Connecticut, Florida, Illinois, Maryland, Massachusetts, Nevada, New Jersey, New York, Ohio, and Pennsylvania), employs approximately 2,850 people and serves millions of patients and customers annually.</w:t>
      </w:r>
    </w:p>
    <w:p>
      <w:pPr>
        <w:spacing w:after="0" w:line="163" w:lineRule="exact"/>
        <w:rPr>
          <w:sz w:val="20"/>
          <w:szCs w:val="20"/>
          <w:color w:val="auto"/>
        </w:rPr>
      </w:pPr>
    </w:p>
    <w:p>
      <w:pPr>
        <w:ind w:right="100" w:firstLine="441"/>
        <w:spacing w:after="0" w:line="324" w:lineRule="auto"/>
        <w:rPr>
          <w:sz w:val="20"/>
          <w:szCs w:val="20"/>
          <w:color w:val="auto"/>
        </w:rPr>
      </w:pPr>
      <w:r>
        <w:rPr>
          <w:rFonts w:ascii="Arial" w:cs="Arial" w:eastAsia="Arial" w:hAnsi="Arial"/>
          <w:sz w:val="17"/>
          <w:szCs w:val="17"/>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registered office is located at 250 Howe Street, 20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Vancouver, British Columbia, V6C 3R8. The Company’s U.S.</w:t>
      </w:r>
    </w:p>
    <w:p>
      <w:pPr>
        <w:spacing w:after="0"/>
        <w:rPr>
          <w:sz w:val="20"/>
          <w:szCs w:val="20"/>
          <w:color w:val="auto"/>
        </w:rPr>
      </w:pPr>
      <w:r>
        <w:rPr>
          <w:rFonts w:ascii="Arial" w:cs="Arial" w:eastAsia="Arial" w:hAnsi="Arial"/>
          <w:sz w:val="18"/>
          <w:szCs w:val="18"/>
          <w:color w:val="auto"/>
        </w:rPr>
        <w:t>headquarters are at 325 W. Huron St., Suite 700, Chicago, IL 60654.</w:t>
      </w:r>
    </w:p>
    <w:p>
      <w:pPr>
        <w:spacing w:after="0" w:line="115" w:lineRule="exact"/>
        <w:rPr>
          <w:sz w:val="20"/>
          <w:szCs w:val="20"/>
          <w:color w:val="auto"/>
        </w:rPr>
      </w:pPr>
    </w:p>
    <w:p>
      <w:pPr>
        <w:ind w:left="880" w:hanging="432"/>
        <w:spacing w:after="0"/>
        <w:tabs>
          <w:tab w:leader="none" w:pos="8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131" w:lineRule="exact"/>
        <w:rPr>
          <w:sz w:val="20"/>
          <w:szCs w:val="20"/>
          <w:color w:val="auto"/>
        </w:rPr>
      </w:pPr>
    </w:p>
    <w:p>
      <w:pPr>
        <w:ind w:firstLine="441"/>
        <w:spacing w:after="0" w:line="306" w:lineRule="auto"/>
        <w:rPr>
          <w:sz w:val="20"/>
          <w:szCs w:val="20"/>
          <w:color w:val="auto"/>
        </w:rPr>
      </w:pPr>
      <w:r>
        <w:rPr>
          <w:rFonts w:ascii="Arial" w:cs="Arial" w:eastAsia="Arial" w:hAnsi="Arial"/>
          <w:sz w:val="16"/>
          <w:szCs w:val="16"/>
          <w:color w:val="auto"/>
        </w:rPr>
        <w:t>The accompanying unaudited interim condensed consolidated financial statements include the accounts of Green Thumb Industries Inc. and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for interim financial information and in accordance with the rules and regulations of the U.S. Securities &amp;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2020 Form 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165" w:lineRule="exact"/>
        <w:rPr>
          <w:sz w:val="20"/>
          <w:szCs w:val="20"/>
          <w:color w:val="auto"/>
        </w:rPr>
      </w:pPr>
    </w:p>
    <w:p>
      <w:pPr>
        <w:ind w:right="180" w:firstLine="441"/>
        <w:spacing w:after="0" w:line="293" w:lineRule="auto"/>
        <w:rPr>
          <w:sz w:val="20"/>
          <w:szCs w:val="20"/>
          <w:color w:val="auto"/>
        </w:rPr>
      </w:pPr>
      <w:r>
        <w:rPr>
          <w:rFonts w:ascii="Arial" w:cs="Arial" w:eastAsia="Arial" w:hAnsi="Arial"/>
          <w:sz w:val="18"/>
          <w:szCs w:val="18"/>
          <w:color w:val="auto"/>
        </w:rPr>
        <w:t>The results of operations for the three and six months ended June 30, 2021 are not necessarily indicative of the results to be expected for the entire year ending December 31, 2021.</w:t>
      </w:r>
    </w:p>
    <w:p>
      <w:pPr>
        <w:spacing w:after="0" w:line="62" w:lineRule="exact"/>
        <w:rPr>
          <w:sz w:val="20"/>
          <w:szCs w:val="20"/>
          <w:color w:val="auto"/>
        </w:rPr>
      </w:pPr>
    </w:p>
    <w:p>
      <w:pPr>
        <w:ind w:left="880" w:hanging="432"/>
        <w:spacing w:after="0"/>
        <w:tabs>
          <w:tab w:leader="none" w:pos="8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Accounting Policies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changes to the Company’s significant accounting policies as described in Note 2 of the Company’s 2020 annual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30" w:lineRule="exact"/>
        <w:rPr>
          <w:sz w:val="20"/>
          <w:szCs w:val="20"/>
          <w:color w:val="auto"/>
        </w:rPr>
      </w:pPr>
    </w:p>
    <w:p>
      <w:pPr>
        <w:ind w:left="880" w:hanging="432"/>
        <w:spacing w:after="0"/>
        <w:tabs>
          <w:tab w:leader="none" w:pos="8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p>
    <w:p>
      <w:pPr>
        <w:spacing w:after="0" w:line="131" w:lineRule="exact"/>
        <w:rPr>
          <w:sz w:val="20"/>
          <w:szCs w:val="20"/>
          <w:color w:val="auto"/>
        </w:rPr>
      </w:pPr>
    </w:p>
    <w:p>
      <w:pPr>
        <w:ind w:right="140" w:firstLine="441"/>
        <w:spacing w:after="0" w:line="309" w:lineRule="auto"/>
        <w:rPr>
          <w:sz w:val="20"/>
          <w:szCs w:val="20"/>
          <w:color w:val="auto"/>
        </w:rPr>
      </w:pPr>
      <w:r>
        <w:rPr>
          <w:rFonts w:ascii="Arial" w:cs="Arial" w:eastAsia="Arial" w:hAnsi="Arial"/>
          <w:sz w:val="16"/>
          <w:szCs w:val="16"/>
          <w:color w:val="auto"/>
        </w:rPr>
        <w:t>Basic earnings (loss) per share is calculated using the treasury stock method, by dividing the net earnings (loss) attributable to shareholders by the weighted average number of common shares outstanding during each of the periods presented. Contingently issuable shares (including shares held in escrow) are not considered outstanding common shares and consequently are not included in the loss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June 30, 2021, the Company had 5,819,363 options, 391,736 restricted stock units and 3,644,085 warrants outstanding. As of June 30, 2020, the Company had 5,857,045 options, 906,173 restricted stock units and 2,526,735 warrants outstanding.</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9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80" w:firstLine="441"/>
        <w:spacing w:after="0" w:line="309" w:lineRule="auto"/>
        <w:rPr>
          <w:sz w:val="20"/>
          <w:szCs w:val="20"/>
          <w:color w:val="auto"/>
        </w:rPr>
      </w:pPr>
      <w:r>
        <w:rPr>
          <w:rFonts w:ascii="Arial" w:cs="Arial" w:eastAsia="Arial" w:hAnsi="Arial"/>
          <w:sz w:val="16"/>
          <w:szCs w:val="16"/>
          <w:color w:val="auto"/>
        </w:rPr>
        <w:t>In order to determine diluted earnings per share, it is assumed that any proceeds from the exercise of dilutive unvested restricted stock units,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June 30, 2021, the computation of diluted earnings per share included 3,191,752 options, 234,042 restricted stock units and 1,093,739 warrants. For the six months ended June 30, 2021, the computation of diluted earnings per share included 3,279,087 options, 224,774 restricted stock units and 1,146,883 warrants. No potentially dilutive common share equivalents were included in the computation of diluted loss per share for the three and six months ended June 30, 2020 because their impact was anti-dilutive.</w:t>
      </w:r>
    </w:p>
    <w:p>
      <w:pPr>
        <w:spacing w:after="0" w:line="56" w:lineRule="exact"/>
        <w:rPr>
          <w:sz w:val="20"/>
          <w:szCs w:val="20"/>
          <w:color w:val="auto"/>
        </w:rPr>
      </w:pPr>
    </w:p>
    <w:p>
      <w:pPr>
        <w:ind w:left="880" w:hanging="432"/>
        <w:spacing w:after="0"/>
        <w:tabs>
          <w:tab w:leader="none" w:pos="8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30" w:lineRule="exact"/>
        <w:rPr>
          <w:rFonts w:ascii="Arial" w:cs="Arial" w:eastAsia="Arial" w:hAnsi="Arial"/>
          <w:sz w:val="18"/>
          <w:szCs w:val="18"/>
          <w:i w:val="1"/>
          <w:iCs w:val="1"/>
          <w:color w:val="auto"/>
        </w:rPr>
      </w:pPr>
    </w:p>
    <w:p>
      <w:pPr>
        <w:ind w:left="1480" w:right="120" w:hanging="435"/>
        <w:spacing w:after="0" w:line="272"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December 2019, the FASB issued ASU 2019-12, Income Taxes (Topic 740) - Simplifying the Accounting for Income Taxes, which is intended to simplify various aspects related to accounting for income taxes (“</w:t>
      </w:r>
      <w:r>
        <w:rPr>
          <w:rFonts w:ascii="Arial" w:cs="Arial" w:eastAsia="Arial" w:hAnsi="Arial"/>
          <w:sz w:val="18"/>
          <w:szCs w:val="18"/>
          <w:b w:val="1"/>
          <w:bCs w:val="1"/>
          <w:color w:val="auto"/>
        </w:rPr>
        <w:t>ASU 2019-12</w:t>
      </w:r>
      <w:r>
        <w:rPr>
          <w:rFonts w:ascii="Arial" w:cs="Arial" w:eastAsia="Arial" w:hAnsi="Arial"/>
          <w:sz w:val="18"/>
          <w:szCs w:val="18"/>
          <w:color w:val="auto"/>
        </w:rPr>
        <w:t>”). ASU 2019-12 removes certain exceptions to the general principles in Topic 740 and also clarifies and amends existing guidance to improve consistent application. The Company adopted ASU 2019-12 on January 1, 2021. The adoption of the standard did not have a material impact on the Company’s unaudited interim condensed consolidated financial statements.</w:t>
      </w:r>
    </w:p>
    <w:p>
      <w:pPr>
        <w:spacing w:after="0" w:line="82" w:lineRule="exact"/>
        <w:rPr>
          <w:rFonts w:ascii="Arial" w:cs="Arial" w:eastAsia="Arial" w:hAnsi="Arial"/>
          <w:sz w:val="18"/>
          <w:szCs w:val="18"/>
          <w:color w:val="auto"/>
        </w:rPr>
      </w:pPr>
    </w:p>
    <w:p>
      <w:pPr>
        <w:ind w:left="1480" w:right="140" w:hanging="435"/>
        <w:spacing w:after="0" w:line="271"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w:t>
      </w:r>
      <w:r>
        <w:rPr>
          <w:rFonts w:ascii="Arial" w:cs="Arial" w:eastAsia="Arial" w:hAnsi="Arial"/>
          <w:sz w:val="18"/>
          <w:szCs w:val="18"/>
          <w:b w:val="1"/>
          <w:bCs w:val="1"/>
          <w:color w:val="auto"/>
        </w:rPr>
        <w:t>ASU 2020-01</w:t>
      </w:r>
      <w:r>
        <w:rPr>
          <w:rFonts w:ascii="Arial" w:cs="Arial" w:eastAsia="Arial" w:hAnsi="Arial"/>
          <w:sz w:val="18"/>
          <w:szCs w:val="18"/>
          <w:color w:val="auto"/>
        </w:rPr>
        <w:t>”),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The Company adopted ASU 2020-01 on January 1, 2021. The adoption of the standard did not have a material impact on the Company’s unaudited interim condensed consolidated financial statements.</w:t>
      </w:r>
    </w:p>
    <w:p>
      <w:pPr>
        <w:spacing w:after="0" w:line="82" w:lineRule="exact"/>
        <w:rPr>
          <w:rFonts w:ascii="Arial" w:cs="Arial" w:eastAsia="Arial" w:hAnsi="Arial"/>
          <w:sz w:val="18"/>
          <w:szCs w:val="18"/>
          <w:color w:val="auto"/>
        </w:rPr>
      </w:pPr>
    </w:p>
    <w:p>
      <w:pPr>
        <w:ind w:left="880" w:hanging="432"/>
        <w:spacing w:after="0"/>
        <w:tabs>
          <w:tab w:leader="none" w:pos="8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Recently Issued Accounting Standards</w:t>
      </w:r>
    </w:p>
    <w:p>
      <w:pPr>
        <w:spacing w:after="0" w:line="130" w:lineRule="exact"/>
        <w:rPr>
          <w:rFonts w:ascii="Arial" w:cs="Arial" w:eastAsia="Arial" w:hAnsi="Arial"/>
          <w:sz w:val="18"/>
          <w:szCs w:val="18"/>
          <w:i w:val="1"/>
          <w:iCs w:val="1"/>
          <w:color w:val="auto"/>
        </w:rPr>
      </w:pPr>
    </w:p>
    <w:p>
      <w:pPr>
        <w:ind w:left="1480" w:hanging="435"/>
        <w:spacing w:after="0" w:line="290" w:lineRule="auto"/>
        <w:tabs>
          <w:tab w:leader="none" w:pos="1480" w:val="left"/>
        </w:tabs>
        <w:numPr>
          <w:ilvl w:val="1"/>
          <w:numId w:val="9"/>
        </w:numPr>
        <w:rPr>
          <w:rFonts w:ascii="Arial" w:cs="Arial" w:eastAsia="Arial" w:hAnsi="Arial"/>
          <w:sz w:val="17"/>
          <w:szCs w:val="17"/>
          <w:color w:val="auto"/>
        </w:rPr>
      </w:pPr>
      <w:r>
        <w:rPr>
          <w:rFonts w:ascii="Arial" w:cs="Arial" w:eastAsia="Arial" w:hAnsi="Arial"/>
          <w:sz w:val="17"/>
          <w:szCs w:val="17"/>
          <w:color w:val="auto"/>
        </w:rPr>
        <w:t>On August 5, 2020, the FASB issued ASU No.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We do not expect the adoption of this guidance will have a material impact on the Company’s unaudited interim condensed consolidated financial statements.</w:t>
      </w:r>
    </w:p>
    <w:p>
      <w:pPr>
        <w:spacing w:after="0" w:line="67" w:lineRule="exact"/>
        <w:rPr>
          <w:rFonts w:ascii="Arial" w:cs="Arial" w:eastAsia="Arial" w:hAnsi="Arial"/>
          <w:sz w:val="17"/>
          <w:szCs w:val="17"/>
          <w:color w:val="auto"/>
        </w:rPr>
      </w:pPr>
    </w:p>
    <w:p>
      <w:pPr>
        <w:ind w:left="880" w:hanging="432"/>
        <w:spacing w:after="0"/>
        <w:tabs>
          <w:tab w:leader="none" w:pos="8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Coronavirus Pandemic</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March 2020, the World Health Organization categorized coronavirus disease 2019 (together with its variants, “</w:t>
      </w:r>
      <w:r>
        <w:rPr>
          <w:rFonts w:ascii="Arial" w:cs="Arial" w:eastAsia="Arial" w:hAnsi="Arial"/>
          <w:sz w:val="17"/>
          <w:szCs w:val="17"/>
          <w:b w:val="1"/>
          <w:bCs w:val="1"/>
          <w:color w:val="auto"/>
        </w:rPr>
        <w:t>COVID-19</w:t>
      </w:r>
      <w:r>
        <w:rPr>
          <w:rFonts w:ascii="Arial" w:cs="Arial" w:eastAsia="Arial" w:hAnsi="Arial"/>
          <w:sz w:val="17"/>
          <w:szCs w:val="17"/>
          <w:color w:val="auto"/>
        </w:rPr>
        <w:t>”) as a pandemic.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COVID-19 continues to spread throughout the U.S. and other countries across the world, and the duration and severity of its effects are currently unknown.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implement and evaluate actions to strengthen its financial position and support the continuity of its business and operations.</w:t>
      </w:r>
    </w:p>
    <w:p>
      <w:pPr>
        <w:spacing w:after="0" w:line="261" w:lineRule="exact"/>
        <w:rPr>
          <w:sz w:val="20"/>
          <w:szCs w:val="20"/>
          <w:color w:val="auto"/>
        </w:rPr>
      </w:pPr>
    </w:p>
    <w:p>
      <w:pPr>
        <w:ind w:right="100" w:firstLine="441"/>
        <w:spacing w:after="0" w:line="306" w:lineRule="auto"/>
        <w:rPr>
          <w:sz w:val="20"/>
          <w:szCs w:val="20"/>
          <w:color w:val="auto"/>
        </w:rPr>
      </w:pPr>
      <w:r>
        <w:rPr>
          <w:rFonts w:ascii="Arial" w:cs="Arial" w:eastAsia="Arial" w:hAnsi="Arial"/>
          <w:sz w:val="16"/>
          <w:szCs w:val="16"/>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six months of 2021, the uncertain nature of the spread of COVID-19 and the uncertainty of the impact of nationwide vaccine programs may impact the Company’s business operations for reasons including the potential quarantine of the Company’s employees or those of its supply chain partners, and the Company’s continued designation as an “essential” business in states where the Company does business that currently or in the future impose restrictions on its business operations.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9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inventories include the following at June 30, 2021 and December 31, 2020:</w:t>
      </w:r>
    </w:p>
    <w:p>
      <w:pPr>
        <w:spacing w:after="0" w:line="298" w:lineRule="exact"/>
        <w:rPr>
          <w:sz w:val="20"/>
          <w:szCs w:val="20"/>
          <w:color w:val="auto"/>
        </w:rPr>
      </w:pPr>
    </w:p>
    <w:tbl>
      <w:tblPr>
        <w:tblLayout w:type="fixed"/>
        <w:tblInd w:w="1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5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8,630,042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6,372,659</w:t>
            </w:r>
          </w:p>
        </w:tc>
        <w:tc>
          <w:tcPr>
            <w:tcW w:w="120" w:type="dxa"/>
            <w:vAlign w:val="bottom"/>
            <w:shd w:val="clear" w:color="auto" w:fill="CFF0FC"/>
          </w:tcPr>
          <w:p>
            <w:pPr>
              <w:spacing w:after="0"/>
              <w:rPr>
                <w:sz w:val="22"/>
                <w:szCs w:val="22"/>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Packaging and Miscellaneous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7,687,302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8,592,153</w:t>
            </w:r>
          </w:p>
        </w:tc>
        <w:tc>
          <w:tcPr>
            <w:tcW w:w="120" w:type="dxa"/>
            <w:vAlign w:val="bottom"/>
          </w:tcPr>
          <w:p>
            <w:pPr>
              <w:spacing w:after="0"/>
              <w:rPr>
                <w:sz w:val="21"/>
                <w:szCs w:val="21"/>
                <w:color w:val="auto"/>
              </w:rPr>
            </w:pPr>
          </w:p>
        </w:tc>
      </w:tr>
      <w:tr>
        <w:trPr>
          <w:trHeight w:val="26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31,560,037</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25,488,806</w:t>
            </w:r>
          </w:p>
        </w:tc>
        <w:tc>
          <w:tcPr>
            <w:tcW w:w="120" w:type="dxa"/>
            <w:vAlign w:val="bottom"/>
            <w:shd w:val="clear" w:color="auto" w:fill="CFF0FC"/>
          </w:tcPr>
          <w:p>
            <w:pPr>
              <w:spacing w:after="0"/>
              <w:rPr>
                <w:sz w:val="22"/>
                <w:szCs w:val="22"/>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34,951,236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30,821,392</w:t>
            </w:r>
          </w:p>
        </w:tc>
        <w:tc>
          <w:tcPr>
            <w:tcW w:w="120" w:type="dxa"/>
            <w:vAlign w:val="bottom"/>
          </w:tcPr>
          <w:p>
            <w:pPr>
              <w:spacing w:after="0"/>
              <w:rPr>
                <w:sz w:val="21"/>
                <w:szCs w:val="21"/>
                <w:color w:val="auto"/>
              </w:rPr>
            </w:pPr>
          </w:p>
        </w:tc>
      </w:tr>
      <w:tr>
        <w:trPr>
          <w:trHeight w:val="26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Reserve for Obsolete Inventory</w:t>
            </w:r>
          </w:p>
        </w:tc>
        <w:tc>
          <w:tcPr>
            <w:tcW w:w="2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(1,102,390 )</w:t>
            </w: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(1,732,057 )</w:t>
            </w:r>
          </w:p>
        </w:tc>
      </w:tr>
      <w:tr>
        <w:trPr>
          <w:trHeight w:val="250"/>
        </w:trPr>
        <w:tc>
          <w:tcPr>
            <w:tcW w:w="50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Inventories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81,726,227</w:t>
            </w: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69,542,953</w:t>
            </w:r>
          </w:p>
        </w:tc>
        <w:tc>
          <w:tcPr>
            <w:tcW w:w="120" w:type="dxa"/>
            <w:vAlign w:val="bottom"/>
            <w:tcBorders>
              <w:top w:val="single" w:sz="8" w:color="CFF0FC"/>
            </w:tcBorders>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-193675</wp:posOffset>
            </wp:positionV>
            <wp:extent cx="1371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-193675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9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property and equipment consisted of the following:</w:t>
      </w:r>
    </w:p>
    <w:p>
      <w:pPr>
        <w:spacing w:after="0" w:line="365" w:lineRule="exact"/>
        <w:rPr>
          <w:sz w:val="20"/>
          <w:szCs w:val="20"/>
          <w:color w:val="auto"/>
        </w:rPr>
      </w:pPr>
    </w:p>
    <w:tbl>
      <w:tblPr>
        <w:tblLayout w:type="fixed"/>
        <w:tblInd w:w="220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2020</w:t>
            </w:r>
          </w:p>
        </w:tc>
      </w:tr>
      <w:tr>
        <w:trPr>
          <w:trHeight w:val="25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53,231,046</w:t>
            </w:r>
          </w:p>
        </w:tc>
        <w:tc>
          <w:tcPr>
            <w:tcW w:w="220" w:type="dxa"/>
            <w:vAlign w:val="bottom"/>
            <w:shd w:val="clear" w:color="auto" w:fill="CFF0FC"/>
          </w:tcPr>
          <w:p>
            <w:pPr>
              <w:spacing w:after="0"/>
              <w:rPr>
                <w:sz w:val="22"/>
                <w:szCs w:val="2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51,557,405</w:t>
            </w:r>
          </w:p>
        </w:tc>
        <w:tc>
          <w:tcPr>
            <w:tcW w:w="120" w:type="dxa"/>
            <w:vAlign w:val="bottom"/>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Equipment, Computers and Furniture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61,635,098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49,097,109</w:t>
            </w:r>
          </w:p>
        </w:tc>
        <w:tc>
          <w:tcPr>
            <w:tcW w:w="120" w:type="dxa"/>
            <w:vAlign w:val="bottom"/>
          </w:tcPr>
          <w:p>
            <w:pPr>
              <w:spacing w:after="0"/>
              <w:rPr>
                <w:sz w:val="21"/>
                <w:szCs w:val="21"/>
                <w:color w:val="auto"/>
              </w:rPr>
            </w:pP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103,233,931</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88,607,252</w:t>
            </w:r>
          </w:p>
        </w:tc>
        <w:tc>
          <w:tcPr>
            <w:tcW w:w="120" w:type="dxa"/>
            <w:vAlign w:val="bottom"/>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3,774,589</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2,988,681</w:t>
            </w:r>
          </w:p>
        </w:tc>
        <w:tc>
          <w:tcPr>
            <w:tcW w:w="120" w:type="dxa"/>
            <w:vAlign w:val="bottom"/>
          </w:tcPr>
          <w:p>
            <w:pPr>
              <w:spacing w:after="0"/>
              <w:rPr>
                <w:sz w:val="21"/>
                <w:szCs w:val="21"/>
                <w:color w:val="auto"/>
              </w:rPr>
            </w:pPr>
          </w:p>
        </w:tc>
      </w:tr>
      <w:tr>
        <w:trPr>
          <w:trHeight w:val="25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Property and Equipment</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221,874,664</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192,250,447</w:t>
            </w:r>
          </w:p>
        </w:tc>
        <w:tc>
          <w:tcPr>
            <w:tcW w:w="120" w:type="dxa"/>
            <w:vAlign w:val="bottom"/>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(33,298,775 )</w:t>
            </w:r>
          </w:p>
        </w:tc>
        <w:tc>
          <w:tcPr>
            <w:tcW w:w="10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(24,192,900 )</w:t>
            </w:r>
          </w:p>
        </w:tc>
      </w:tr>
      <w:tr>
        <w:trPr>
          <w:trHeight w:val="250"/>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188,575,889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168,057,547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5,510,945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2,879,376</w:t>
            </w:r>
          </w:p>
        </w:tc>
        <w:tc>
          <w:tcPr>
            <w:tcW w:w="120" w:type="dxa"/>
            <w:vAlign w:val="bottom"/>
          </w:tcPr>
          <w:p>
            <w:pPr>
              <w:spacing w:after="0"/>
              <w:rPr>
                <w:sz w:val="21"/>
                <w:szCs w:val="21"/>
                <w:color w:val="auto"/>
              </w:rPr>
            </w:pPr>
          </w:p>
        </w:tc>
      </w:tr>
      <w:tr>
        <w:trPr>
          <w:trHeight w:val="257"/>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2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47,373,375</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18,988,954</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6"/>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241,460,209</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189,925,877</w:t>
            </w:r>
          </w:p>
        </w:tc>
        <w:tc>
          <w:tcPr>
            <w:tcW w:w="12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-527685</wp:posOffset>
            </wp:positionV>
            <wp:extent cx="1371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-527685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-193675</wp:posOffset>
            </wp:positionV>
            <wp:extent cx="1371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-193675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three and six months ended June 30, 2021 totaled $5,253,672 and $10,020,023, respectively of which $3,212,413 and</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$6,091,642, respectively, is included in cost of goods sold. Depreciation expense for the three and six months ended June 30, 2020 totaled $5,402,980 and $9,189,985, respectively of which $2,582,435 and $5,260,162, respectively, is included in cost of goods sold.</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 w:right="4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Company has determined that the below acquisitions are business combinations under Accounting Standards Codification ("</w:t>
      </w:r>
      <w:r>
        <w:rPr>
          <w:rFonts w:ascii="Arial" w:cs="Arial" w:eastAsia="Arial" w:hAnsi="Arial"/>
          <w:sz w:val="17"/>
          <w:szCs w:val="17"/>
          <w:b w:val="1"/>
          <w:bCs w:val="1"/>
          <w:color w:val="auto"/>
        </w:rPr>
        <w:t>ASC</w:t>
      </w:r>
      <w:r>
        <w:rPr>
          <w:rFonts w:ascii="Arial" w:cs="Arial" w:eastAsia="Arial" w:hAnsi="Arial"/>
          <w:sz w:val="17"/>
          <w:szCs w:val="17"/>
          <w:color w:val="auto"/>
        </w:rPr>
        <w:t xml:space="preserve">")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They are accounted for by applying the acquisition method, whereby the assets acquired and the liabilities assumed are recorded at their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with any excess of the aggregate consideration over the fair values of the identifiable net assets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spacing w:after="0" w:line="18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2021 Business Acquisitions</w:t>
      </w:r>
    </w:p>
    <w:p>
      <w:pPr>
        <w:spacing w:after="0" w:line="252" w:lineRule="exact"/>
        <w:rPr>
          <w:rFonts w:ascii="Arial" w:cs="Arial" w:eastAsia="Arial" w:hAnsi="Arial"/>
          <w:sz w:val="18"/>
          <w:szCs w:val="18"/>
          <w:b w:val="1"/>
          <w:bCs w:val="1"/>
          <w:color w:val="auto"/>
        </w:rPr>
      </w:pPr>
    </w:p>
    <w:p>
      <w:pPr>
        <w:ind w:left="660" w:hanging="328"/>
        <w:spacing w:after="0"/>
        <w:tabs>
          <w:tab w:leader="none" w:pos="66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Liberty Compassion Inc.</w:t>
      </w:r>
    </w:p>
    <w:p>
      <w:pPr>
        <w:spacing w:after="0" w:line="279" w:lineRule="exact"/>
        <w:rPr>
          <w:sz w:val="20"/>
          <w:szCs w:val="20"/>
          <w:color w:val="auto"/>
        </w:rPr>
      </w:pPr>
    </w:p>
    <w:p>
      <w:pPr>
        <w:jc w:val="both"/>
        <w:ind w:left="340"/>
        <w:spacing w:after="0" w:line="293" w:lineRule="auto"/>
        <w:rPr>
          <w:sz w:val="20"/>
          <w:szCs w:val="20"/>
          <w:color w:val="auto"/>
        </w:rPr>
      </w:pPr>
      <w:r>
        <w:rPr>
          <w:rFonts w:ascii="Arial" w:cs="Arial" w:eastAsia="Arial" w:hAnsi="Arial"/>
          <w:sz w:val="17"/>
          <w:szCs w:val="17"/>
          <w:color w:val="auto"/>
        </w:rPr>
        <w:t>On June 1, 2021, the Company acquired 100% of the ownership interests of Liberty Compassion Inc. ("</w:t>
      </w:r>
      <w:r>
        <w:rPr>
          <w:rFonts w:ascii="Arial" w:cs="Arial" w:eastAsia="Arial" w:hAnsi="Arial"/>
          <w:sz w:val="17"/>
          <w:szCs w:val="17"/>
          <w:b w:val="1"/>
          <w:bCs w:val="1"/>
          <w:color w:val="auto"/>
        </w:rPr>
        <w:t>Liberty</w:t>
      </w:r>
      <w:r>
        <w:rPr>
          <w:rFonts w:ascii="Arial" w:cs="Arial" w:eastAsia="Arial" w:hAnsi="Arial"/>
          <w:sz w:val="17"/>
          <w:szCs w:val="17"/>
          <w:color w:val="auto"/>
        </w:rPr>
        <w:t>"), a Massachusetts-based medical cannabis cultivator and retailer, for the purposes of expanding the Company's operational capacity in the Massachusetts market. The acquisition was an all stock transaction whereby consideration was satisfied through the issuance of 2,146,565 Subordinate Voting Shares (including 259,765 deferred shares) valued at approximately $64.6 million, based on the fair value of the securities on their date of issuance, which was the closing price of Green Thumb's Subordinate Voting Shares as traded on the CSE on the date of the transaction.</w:t>
      </w:r>
    </w:p>
    <w:p>
      <w:pPr>
        <w:spacing w:after="0" w:line="188" w:lineRule="exact"/>
        <w:rPr>
          <w:sz w:val="20"/>
          <w:szCs w:val="20"/>
          <w:color w:val="auto"/>
        </w:rPr>
      </w:pPr>
    </w:p>
    <w:p>
      <w:pPr>
        <w:jc w:val="both"/>
        <w:ind w:left="340" w:right="20"/>
        <w:spacing w:after="0" w:line="292" w:lineRule="auto"/>
        <w:rPr>
          <w:sz w:val="20"/>
          <w:szCs w:val="20"/>
          <w:color w:val="auto"/>
        </w:rPr>
      </w:pPr>
      <w:r>
        <w:rPr>
          <w:rFonts w:ascii="Arial" w:cs="Arial" w:eastAsia="Arial" w:hAnsi="Arial"/>
          <w:sz w:val="16"/>
          <w:szCs w:val="16"/>
          <w:color w:val="auto"/>
        </w:rPr>
        <w:t xml:space="preserve">The Company completed a preliminary allocation of the purchase price of the assets acquired and liabilities assumed. </w:t>
      </w:r>
      <w:r>
        <w:rPr>
          <w:rFonts w:ascii="Arial" w:cs="Arial" w:eastAsia="Arial" w:hAnsi="Arial"/>
          <w:sz w:val="17"/>
          <w:szCs w:val="17"/>
          <w:color w:val="auto"/>
        </w:rPr>
        <w:t>The preliminary valuation was based on</w:t>
      </w:r>
      <w:r>
        <w:rPr>
          <w:rFonts w:ascii="Arial" w:cs="Arial" w:eastAsia="Arial" w:hAnsi="Arial"/>
          <w:sz w:val="16"/>
          <w:szCs w:val="16"/>
          <w:color w:val="auto"/>
        </w:rPr>
        <w:t xml:space="preserve"> </w:t>
      </w:r>
      <w:r>
        <w:rPr>
          <w:rFonts w:ascii="Arial" w:cs="Arial" w:eastAsia="Arial" w:hAnsi="Arial"/>
          <w:sz w:val="17"/>
          <w:szCs w:val="17"/>
          <w:color w:val="auto"/>
        </w:rPr>
        <w:t>management’s estimates and assumptions which are subject to change within the purchase price allocation period (generally one year from the acquisition date). The primary areas of the purchase price allocation that are not yet finalized relate to the valuation of the tangible and intangible assets acquired and the residual goodwill. Acquisition related costs associated with the transaction were not material. The following table summarizes the initial accounting estimates:</w:t>
      </w:r>
    </w:p>
    <w:p>
      <w:pPr>
        <w:spacing w:after="0" w:line="201" w:lineRule="exact"/>
        <w:rPr>
          <w:sz w:val="20"/>
          <w:szCs w:val="20"/>
          <w:color w:val="auto"/>
        </w:rPr>
      </w:pPr>
    </w:p>
    <w:tbl>
      <w:tblPr>
        <w:tblLayout w:type="fixed"/>
        <w:tblInd w:w="266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color w:val="auto"/>
              </w:rPr>
              <w:t>Liberty Compassion,</w:t>
            </w:r>
          </w:p>
        </w:tc>
      </w:tr>
      <w:tr>
        <w:trPr>
          <w:trHeight w:val="237"/>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Inc.</w:t>
            </w:r>
          </w:p>
        </w:tc>
      </w:tr>
      <w:tr>
        <w:trPr>
          <w:trHeight w:val="250"/>
        </w:trPr>
        <w:tc>
          <w:tcPr>
            <w:tcW w:w="4040" w:type="dxa"/>
            <w:vAlign w:val="bottom"/>
          </w:tcPr>
          <w:p>
            <w:pPr>
              <w:spacing w:after="0"/>
              <w:rPr>
                <w:sz w:val="20"/>
                <w:szCs w:val="20"/>
                <w:color w:val="auto"/>
              </w:rPr>
            </w:pPr>
            <w:r>
              <w:rPr>
                <w:rFonts w:ascii="Arial" w:cs="Arial" w:eastAsia="Arial" w:hAnsi="Arial"/>
                <w:sz w:val="16"/>
                <w:szCs w:val="16"/>
                <w:color w:val="auto"/>
              </w:rPr>
              <w:t>Cash</w:t>
            </w:r>
          </w:p>
        </w:tc>
        <w:tc>
          <w:tcPr>
            <w:tcW w:w="4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233,227</w:t>
            </w:r>
          </w:p>
        </w:tc>
        <w:tc>
          <w:tcPr>
            <w:tcW w:w="220" w:type="dxa"/>
            <w:vAlign w:val="bottom"/>
          </w:tcPr>
          <w:p>
            <w:pPr>
              <w:spacing w:after="0"/>
              <w:rPr>
                <w:sz w:val="21"/>
                <w:szCs w:val="21"/>
                <w:color w:val="auto"/>
              </w:rPr>
            </w:pPr>
          </w:p>
        </w:tc>
      </w:tr>
      <w:tr>
        <w:trPr>
          <w:trHeight w:val="26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1,809,828</w:t>
            </w:r>
          </w:p>
        </w:tc>
        <w:tc>
          <w:tcPr>
            <w:tcW w:w="220" w:type="dxa"/>
            <w:vAlign w:val="bottom"/>
            <w:shd w:val="clear" w:color="auto" w:fill="CFF0FC"/>
          </w:tcPr>
          <w:p>
            <w:pPr>
              <w:spacing w:after="0"/>
              <w:rPr>
                <w:sz w:val="22"/>
                <w:szCs w:val="22"/>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502,767</w:t>
            </w:r>
          </w:p>
        </w:tc>
        <w:tc>
          <w:tcPr>
            <w:tcW w:w="220" w:type="dxa"/>
            <w:vAlign w:val="bottom"/>
          </w:tcPr>
          <w:p>
            <w:pPr>
              <w:spacing w:after="0"/>
              <w:rPr>
                <w:sz w:val="21"/>
                <w:szCs w:val="21"/>
                <w:color w:val="auto"/>
              </w:rPr>
            </w:pPr>
          </w:p>
        </w:tc>
      </w:tr>
      <w:tr>
        <w:trPr>
          <w:trHeight w:val="26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118,027</w:t>
            </w:r>
          </w:p>
        </w:tc>
        <w:tc>
          <w:tcPr>
            <w:tcW w:w="220" w:type="dxa"/>
            <w:vAlign w:val="bottom"/>
            <w:shd w:val="clear" w:color="auto" w:fill="CFF0FC"/>
          </w:tcPr>
          <w:p>
            <w:pPr>
              <w:spacing w:after="0"/>
              <w:rPr>
                <w:sz w:val="22"/>
                <w:szCs w:val="22"/>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3,712,829</w:t>
            </w:r>
          </w:p>
        </w:tc>
        <w:tc>
          <w:tcPr>
            <w:tcW w:w="220" w:type="dxa"/>
            <w:vAlign w:val="bottom"/>
          </w:tcPr>
          <w:p>
            <w:pPr>
              <w:spacing w:after="0"/>
              <w:rPr>
                <w:sz w:val="21"/>
                <w:szCs w:val="21"/>
                <w:color w:val="auto"/>
              </w:rPr>
            </w:pPr>
          </w:p>
        </w:tc>
      </w:tr>
      <w:tr>
        <w:trPr>
          <w:trHeight w:val="26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 net</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12,267,252</w:t>
            </w:r>
          </w:p>
        </w:tc>
        <w:tc>
          <w:tcPr>
            <w:tcW w:w="220" w:type="dxa"/>
            <w:vAlign w:val="bottom"/>
            <w:shd w:val="clear" w:color="auto" w:fill="CFF0FC"/>
          </w:tcPr>
          <w:p>
            <w:pPr>
              <w:spacing w:after="0"/>
              <w:rPr>
                <w:sz w:val="22"/>
                <w:szCs w:val="22"/>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6"/>
                <w:szCs w:val="16"/>
                <w:color w:val="auto"/>
              </w:rPr>
              <w:t>Deposits and other assets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Pr>
          <w:p>
            <w:pPr>
              <w:spacing w:after="0"/>
              <w:rPr>
                <w:sz w:val="21"/>
                <w:szCs w:val="21"/>
                <w:color w:val="auto"/>
              </w:rPr>
            </w:pPr>
          </w:p>
        </w:tc>
      </w:tr>
      <w:tr>
        <w:trPr>
          <w:trHeight w:val="26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50"/>
        </w:trPr>
        <w:tc>
          <w:tcPr>
            <w:tcW w:w="4040" w:type="dxa"/>
            <w:vAlign w:val="bottom"/>
          </w:tcPr>
          <w:p>
            <w:pPr>
              <w:ind w:left="260"/>
              <w:spacing w:after="0"/>
              <w:rPr>
                <w:sz w:val="20"/>
                <w:szCs w:val="20"/>
                <w:color w:val="auto"/>
              </w:rPr>
            </w:pPr>
            <w:r>
              <w:rPr>
                <w:rFonts w:ascii="Arial" w:cs="Arial" w:eastAsia="Arial" w:hAnsi="Arial"/>
                <w:sz w:val="16"/>
                <w:szCs w:val="16"/>
                <w:color w:val="auto"/>
              </w:rPr>
              <w:t>Licenses and permits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25,342,457</w:t>
            </w:r>
          </w:p>
        </w:tc>
        <w:tc>
          <w:tcPr>
            <w:tcW w:w="220" w:type="dxa"/>
            <w:vAlign w:val="bottom"/>
          </w:tcPr>
          <w:p>
            <w:pPr>
              <w:spacing w:after="0"/>
              <w:rPr>
                <w:sz w:val="21"/>
                <w:szCs w:val="21"/>
                <w:color w:val="auto"/>
              </w:rPr>
            </w:pPr>
          </w:p>
        </w:tc>
      </w:tr>
      <w:tr>
        <w:trPr>
          <w:trHeight w:val="26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 assumed</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(1,093,460 )</w:t>
            </w:r>
          </w:p>
        </w:tc>
      </w:tr>
      <w:tr>
        <w:trPr>
          <w:trHeight w:val="250"/>
        </w:trPr>
        <w:tc>
          <w:tcPr>
            <w:tcW w:w="4040" w:type="dxa"/>
            <w:vAlign w:val="bottom"/>
          </w:tcPr>
          <w:p>
            <w:pPr>
              <w:spacing w:after="0"/>
              <w:rPr>
                <w:sz w:val="20"/>
                <w:szCs w:val="20"/>
                <w:color w:val="auto"/>
              </w:rPr>
            </w:pPr>
            <w:r>
              <w:rPr>
                <w:rFonts w:ascii="Arial" w:cs="Arial" w:eastAsia="Arial" w:hAnsi="Arial"/>
                <w:sz w:val="16"/>
                <w:szCs w:val="16"/>
                <w:color w:val="auto"/>
              </w:rPr>
              <w:t>Lease liabilities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(12,267,252 )</w:t>
            </w:r>
          </w:p>
        </w:tc>
      </w:tr>
      <w:tr>
        <w:trPr>
          <w:trHeight w:val="260"/>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(6,550,000 )</w:t>
            </w:r>
          </w:p>
        </w:tc>
      </w:tr>
      <w:tr>
        <w:trPr>
          <w:trHeight w:val="246"/>
        </w:trPr>
        <w:tc>
          <w:tcPr>
            <w:tcW w:w="40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Total identifiable net assets</w:t>
            </w:r>
          </w:p>
        </w:tc>
        <w:tc>
          <w:tcPr>
            <w:tcW w:w="12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24,425,675</w:t>
            </w:r>
          </w:p>
        </w:tc>
        <w:tc>
          <w:tcPr>
            <w:tcW w:w="220" w:type="dxa"/>
            <w:vAlign w:val="bottom"/>
            <w:tcBorders>
              <w:top w:val="single" w:sz="8" w:color="CFF0FC"/>
            </w:tcBorders>
          </w:tcPr>
          <w:p>
            <w:pPr>
              <w:spacing w:after="0"/>
              <w:rPr>
                <w:sz w:val="21"/>
                <w:szCs w:val="21"/>
                <w:color w:val="auto"/>
              </w:rPr>
            </w:pPr>
          </w:p>
        </w:tc>
      </w:tr>
      <w:tr>
        <w:trPr>
          <w:trHeight w:val="260"/>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Goodwill (non-tax deductible)</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40,143,000</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3"/>
        </w:trPr>
        <w:tc>
          <w:tcPr>
            <w:tcW w:w="4040" w:type="dxa"/>
            <w:vAlign w:val="bottom"/>
          </w:tcPr>
          <w:p>
            <w:pPr>
              <w:spacing w:after="0"/>
              <w:rPr>
                <w:sz w:val="20"/>
                <w:szCs w:val="20"/>
                <w:color w:val="auto"/>
              </w:rPr>
            </w:pPr>
            <w:r>
              <w:rPr>
                <w:rFonts w:ascii="Arial" w:cs="Arial" w:eastAsia="Arial" w:hAnsi="Arial"/>
                <w:sz w:val="16"/>
                <w:szCs w:val="16"/>
                <w:color w:val="auto"/>
              </w:rPr>
              <w:t>Net assets</w:t>
            </w:r>
          </w:p>
        </w:tc>
        <w:tc>
          <w:tcPr>
            <w:tcW w:w="4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64,568,675</w:t>
            </w:r>
          </w:p>
        </w:tc>
        <w:tc>
          <w:tcPr>
            <w:tcW w:w="220" w:type="dxa"/>
            <w:vAlign w:val="bottom"/>
          </w:tcPr>
          <w:p>
            <w:pPr>
              <w:spacing w:after="0"/>
              <w:rPr>
                <w:sz w:val="22"/>
                <w:szCs w:val="22"/>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-527685</wp:posOffset>
            </wp:positionV>
            <wp:extent cx="13716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3716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intangible assets consisted of the following:</w:t>
      </w:r>
    </w:p>
    <w:p>
      <w:pPr>
        <w:spacing w:after="0" w:line="200" w:lineRule="exact"/>
        <w:rPr>
          <w:sz w:val="20"/>
          <w:szCs w:val="20"/>
          <w:color w:val="auto"/>
        </w:rPr>
      </w:pP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0"/>
              </w:rPr>
              <w:t>June 30, 2021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79"/>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82"/>
              <w:spacing w:after="0"/>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w w:val="98"/>
              </w:rPr>
              <w:t>Gross Carrying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3"/>
              </w:rPr>
              <w:t>Net Book Value</w:t>
            </w:r>
          </w:p>
        </w:tc>
        <w:tc>
          <w:tcPr>
            <w:tcW w:w="220" w:type="dxa"/>
            <w:vAlign w:val="bottom"/>
          </w:tcPr>
          <w:p>
            <w:pPr>
              <w:spacing w:after="0"/>
              <w:rPr>
                <w:sz w:val="16"/>
                <w:szCs w:val="16"/>
                <w:color w:val="auto"/>
              </w:rPr>
            </w:pPr>
          </w:p>
        </w:tc>
      </w:tr>
      <w:tr>
        <w:trPr>
          <w:trHeight w:val="256"/>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Licenses and Permits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366,784,694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52,495,559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314,289,135</w:t>
            </w:r>
          </w:p>
        </w:tc>
        <w:tc>
          <w:tcPr>
            <w:tcW w:w="40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343,135,736</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41,993,595</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301,142,141</w:t>
            </w:r>
          </w:p>
        </w:tc>
        <w:tc>
          <w:tcPr>
            <w:tcW w:w="220" w:type="dxa"/>
            <w:vAlign w:val="bottom"/>
            <w:shd w:val="clear" w:color="auto" w:fill="CFF0FC"/>
          </w:tcPr>
          <w:p>
            <w:pPr>
              <w:spacing w:after="0"/>
              <w:rPr>
                <w:sz w:val="22"/>
                <w:szCs w:val="22"/>
                <w:color w:val="auto"/>
              </w:rPr>
            </w:pPr>
          </w:p>
        </w:tc>
      </w:tr>
      <w:tr>
        <w:trPr>
          <w:trHeight w:val="220"/>
        </w:trPr>
        <w:tc>
          <w:tcPr>
            <w:tcW w:w="2780" w:type="dxa"/>
            <w:vAlign w:val="bottom"/>
          </w:tcPr>
          <w:p>
            <w:pPr>
              <w:spacing w:after="0"/>
              <w:rPr>
                <w:sz w:val="20"/>
                <w:szCs w:val="20"/>
                <w:color w:val="auto"/>
              </w:rPr>
            </w:pPr>
            <w:r>
              <w:rPr>
                <w:rFonts w:ascii="Arial" w:cs="Arial" w:eastAsia="Arial" w:hAnsi="Arial"/>
                <w:sz w:val="16"/>
                <w:szCs w:val="16"/>
                <w:color w:val="auto"/>
              </w:rPr>
              <w:t>Trademarks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98,935,601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19,259,650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79,675,951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99,295,599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13,455,178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85,840,421</w:t>
            </w:r>
          </w:p>
        </w:tc>
        <w:tc>
          <w:tcPr>
            <w:tcW w:w="220" w:type="dxa"/>
            <w:vAlign w:val="bottom"/>
          </w:tcPr>
          <w:p>
            <w:pPr>
              <w:spacing w:after="0"/>
              <w:rPr>
                <w:sz w:val="19"/>
                <w:szCs w:val="19"/>
                <w:color w:val="auto"/>
              </w:rPr>
            </w:pPr>
          </w:p>
        </w:tc>
      </w:tr>
      <w:tr>
        <w:trPr>
          <w:trHeight w:val="239"/>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24,438,000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8,199,097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16,238,903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25,258,000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7,583,005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17,674,995</w:t>
            </w:r>
          </w:p>
        </w:tc>
        <w:tc>
          <w:tcPr>
            <w:tcW w:w="220" w:type="dxa"/>
            <w:vAlign w:val="bottom"/>
            <w:shd w:val="clear" w:color="auto" w:fill="CFF0FC"/>
          </w:tcPr>
          <w:p>
            <w:pPr>
              <w:spacing w:after="0"/>
              <w:rPr>
                <w:sz w:val="20"/>
                <w:szCs w:val="20"/>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6"/>
                <w:szCs w:val="16"/>
                <w:color w:val="auto"/>
              </w:rPr>
              <w:t>Non-Competition Agreements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2,565,000</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1,230,889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1,334,111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2,585,480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1,001,003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1,584,477</w:t>
            </w:r>
          </w:p>
        </w:tc>
        <w:tc>
          <w:tcPr>
            <w:tcW w:w="220" w:type="dxa"/>
            <w:vAlign w:val="bottom"/>
          </w:tcPr>
          <w:p>
            <w:pPr>
              <w:spacing w:after="0"/>
              <w:rPr>
                <w:sz w:val="19"/>
                <w:szCs w:val="19"/>
                <w:color w:val="auto"/>
              </w:rPr>
            </w:pPr>
          </w:p>
        </w:tc>
      </w:tr>
      <w:tr>
        <w:trPr>
          <w:trHeight w:val="266"/>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Intangible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492,723,295</w:t>
            </w:r>
          </w:p>
        </w:tc>
        <w:tc>
          <w:tcPr>
            <w:tcW w:w="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81,185,195</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411,538,100</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470,274,815</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64,032,781</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406,242,034</w:t>
            </w:r>
          </w:p>
        </w:tc>
        <w:tc>
          <w:tcPr>
            <w:tcW w:w="2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-25400</wp:posOffset>
            </wp:positionV>
            <wp:extent cx="154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wp:posOffset>
            </wp:positionV>
            <wp:extent cx="154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-25400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Company recorded amortization expense for the three and six months ended June 30, 2021 of $9,819,320 and $20,046,391, respectively. The Company recorded amortization expense for the three and six months ended June 30, 2020 of $8,836,933 and $17,755,100,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June 30, 2021:</w:t>
      </w:r>
    </w:p>
    <w:p>
      <w:pPr>
        <w:spacing w:after="0" w:line="298" w:lineRule="exact"/>
        <w:rPr>
          <w:sz w:val="20"/>
          <w:szCs w:val="20"/>
          <w:color w:val="auto"/>
        </w:rPr>
      </w:pPr>
    </w:p>
    <w:tbl>
      <w:tblPr>
        <w:tblLayout w:type="fixed"/>
        <w:tblInd w:w="310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341"/>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r>
      <w:tr>
        <w:trPr>
          <w:trHeight w:val="223"/>
        </w:trPr>
        <w:tc>
          <w:tcPr>
            <w:tcW w:w="3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Remainder of 2021</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19,473,991</w:t>
            </w:r>
          </w:p>
        </w:tc>
        <w:tc>
          <w:tcPr>
            <w:tcW w:w="100" w:type="dxa"/>
            <w:vAlign w:val="bottom"/>
            <w:shd w:val="clear" w:color="auto" w:fill="CFF0FC"/>
          </w:tcPr>
          <w:p>
            <w:pPr>
              <w:spacing w:after="0"/>
              <w:rPr>
                <w:sz w:val="19"/>
                <w:szCs w:val="19"/>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40,173,612</w:t>
            </w:r>
          </w:p>
        </w:tc>
        <w:tc>
          <w:tcPr>
            <w:tcW w:w="100" w:type="dxa"/>
            <w:vAlign w:val="bottom"/>
          </w:tcPr>
          <w:p>
            <w:pPr>
              <w:spacing w:after="0"/>
              <w:rPr>
                <w:sz w:val="19"/>
                <w:szCs w:val="19"/>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40,170,835</w:t>
            </w:r>
          </w:p>
        </w:tc>
        <w:tc>
          <w:tcPr>
            <w:tcW w:w="100" w:type="dxa"/>
            <w:vAlign w:val="bottom"/>
            <w:shd w:val="clear" w:color="auto" w:fill="CFF0FC"/>
          </w:tcPr>
          <w:p>
            <w:pPr>
              <w:spacing w:after="0"/>
              <w:rPr>
                <w:sz w:val="20"/>
                <w:szCs w:val="20"/>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39,589,501</w:t>
            </w:r>
          </w:p>
        </w:tc>
        <w:tc>
          <w:tcPr>
            <w:tcW w:w="100" w:type="dxa"/>
            <w:vAlign w:val="bottom"/>
          </w:tcPr>
          <w:p>
            <w:pPr>
              <w:spacing w:after="0"/>
              <w:rPr>
                <w:sz w:val="19"/>
                <w:szCs w:val="19"/>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39,491,835</w:t>
            </w:r>
          </w:p>
        </w:tc>
        <w:tc>
          <w:tcPr>
            <w:tcW w:w="100" w:type="dxa"/>
            <w:vAlign w:val="bottom"/>
            <w:shd w:val="clear" w:color="auto" w:fill="CFF0FC"/>
          </w:tcPr>
          <w:p>
            <w:pPr>
              <w:spacing w:after="0"/>
              <w:rPr>
                <w:sz w:val="20"/>
                <w:szCs w:val="20"/>
                <w:color w:val="auto"/>
              </w:rPr>
            </w:pPr>
          </w:p>
        </w:tc>
      </w:tr>
      <w:tr>
        <w:trPr>
          <w:trHeight w:val="227"/>
        </w:trPr>
        <w:tc>
          <w:tcPr>
            <w:tcW w:w="35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232,638,326</w:t>
            </w:r>
          </w:p>
        </w:tc>
        <w:tc>
          <w:tcPr>
            <w:tcW w:w="100" w:type="dxa"/>
            <w:vAlign w:val="bottom"/>
          </w:tcPr>
          <w:p>
            <w:pPr>
              <w:spacing w:after="0"/>
              <w:rPr>
                <w:sz w:val="19"/>
                <w:szCs w:val="19"/>
                <w:color w:val="auto"/>
              </w:rPr>
            </w:pPr>
          </w:p>
        </w:tc>
      </w:tr>
      <w:tr>
        <w:trPr>
          <w:trHeight w:val="220"/>
        </w:trPr>
        <w:tc>
          <w:tcPr>
            <w:tcW w:w="35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411,538,100</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weighted average amortization period remaining for intangible assets was 11.74 years.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the balances of goodwill, by segment, consisted of the following:</w:t>
      </w:r>
    </w:p>
    <w:p>
      <w:pPr>
        <w:spacing w:after="0" w:line="298" w:lineRule="exact"/>
        <w:rPr>
          <w:sz w:val="20"/>
          <w:szCs w:val="20"/>
          <w:color w:val="auto"/>
        </w:rPr>
      </w:pPr>
    </w:p>
    <w:tbl>
      <w:tblPr>
        <w:tblLayout w:type="fixed"/>
        <w:tblInd w:w="1240" w:type="dxa"/>
        <w:tblCellMar>
          <w:top w:w="0" w:type="dxa"/>
          <w:left w:w="0" w:type="dxa"/>
          <w:bottom w:w="0" w:type="dxa"/>
          <w:right w:w="0" w:type="dxa"/>
        </w:tblCellMar>
      </w:tblPr>
      <w:tr>
        <w:trPr>
          <w:trHeight w:val="176"/>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143"/>
              <w:spacing w:after="0"/>
              <w:rPr>
                <w:sz w:val="20"/>
                <w:szCs w:val="20"/>
                <w:color w:val="auto"/>
              </w:rPr>
            </w:pPr>
            <w:r>
              <w:rPr>
                <w:rFonts w:ascii="Arial" w:cs="Arial" w:eastAsia="Arial" w:hAnsi="Arial"/>
                <w:sz w:val="14"/>
                <w:szCs w:val="14"/>
                <w:b w:val="1"/>
                <w:bCs w:val="1"/>
                <w:color w:val="auto"/>
                <w:w w:val="95"/>
              </w:rPr>
              <w:t>Acquisition of Liberty</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Compassion Inc.</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r>
      <w:tr>
        <w:trPr>
          <w:trHeight w:val="229"/>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130,680,935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8,028,600</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138,709,535</w:t>
            </w:r>
          </w:p>
        </w:tc>
        <w:tc>
          <w:tcPr>
            <w:tcW w:w="120" w:type="dxa"/>
            <w:vAlign w:val="bottom"/>
            <w:shd w:val="clear" w:color="auto" w:fill="CFF0FC"/>
          </w:tcPr>
          <w:p>
            <w:pPr>
              <w:spacing w:after="0"/>
              <w:rPr>
                <w:sz w:val="19"/>
                <w:szCs w:val="19"/>
                <w:color w:val="auto"/>
              </w:rPr>
            </w:pPr>
          </w:p>
        </w:tc>
      </w:tr>
      <w:tr>
        <w:trPr>
          <w:trHeight w:val="226"/>
        </w:trPr>
        <w:tc>
          <w:tcPr>
            <w:tcW w:w="3420" w:type="dxa"/>
            <w:vAlign w:val="bottom"/>
          </w:tcPr>
          <w:p>
            <w:pPr>
              <w:ind w:left="20"/>
              <w:spacing w:after="0"/>
              <w:rPr>
                <w:sz w:val="20"/>
                <w:szCs w:val="20"/>
                <w:color w:val="auto"/>
              </w:rPr>
            </w:pPr>
            <w:r>
              <w:rPr>
                <w:rFonts w:ascii="Arial" w:cs="Arial" w:eastAsia="Arial" w:hAnsi="Arial"/>
                <w:sz w:val="16"/>
                <w:szCs w:val="16"/>
                <w:color w:val="auto"/>
              </w:rPr>
              <w:t>Consumer Package Goods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252,016,532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32,114,400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284,130,932</w:t>
            </w:r>
          </w:p>
        </w:tc>
        <w:tc>
          <w:tcPr>
            <w:tcW w:w="120" w:type="dxa"/>
            <w:vAlign w:val="bottom"/>
          </w:tcPr>
          <w:p>
            <w:pPr>
              <w:spacing w:after="0"/>
              <w:rPr>
                <w:sz w:val="19"/>
                <w:szCs w:val="19"/>
                <w:color w:val="auto"/>
              </w:rPr>
            </w:pPr>
          </w:p>
        </w:tc>
      </w:tr>
      <w:tr>
        <w:trPr>
          <w:trHeight w:val="266"/>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Goodwill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382,697,467</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40,143,000</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422,840,467</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2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9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As of June 30, 2021 and December 31, 2020, the Company held various equity interests in privately held cannabis companies as well as investments in convertible notes which had a combined fair value of $41,725,403 and $40,794,806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the Company’s investments during the six months ended June 30, 2021 and year ending December 31, 2020:</w:t>
      </w:r>
    </w:p>
    <w:p>
      <w:pPr>
        <w:spacing w:after="0" w:line="325" w:lineRule="exact"/>
        <w:rPr>
          <w:sz w:val="20"/>
          <w:szCs w:val="20"/>
          <w:color w:val="auto"/>
        </w:rPr>
      </w:pPr>
    </w:p>
    <w:tbl>
      <w:tblPr>
        <w:tblLayout w:type="fixed"/>
        <w:tblInd w:w="2500" w:type="dxa"/>
        <w:tblCellMar>
          <w:top w:w="0" w:type="dxa"/>
          <w:left w:w="0" w:type="dxa"/>
          <w:bottom w:w="0" w:type="dxa"/>
          <w:right w:w="0" w:type="dxa"/>
        </w:tblCellMar>
      </w:tblPr>
      <w:tr>
        <w:trPr>
          <w:trHeight w:val="241"/>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June 30, 2021</w:t>
            </w:r>
          </w:p>
        </w:tc>
        <w:tc>
          <w:tcPr>
            <w:tcW w:w="12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December 31, 2020</w:t>
            </w:r>
          </w:p>
        </w:tc>
      </w:tr>
      <w:tr>
        <w:trPr>
          <w:trHeight w:val="256"/>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Beginning</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40,794,806</w:t>
            </w:r>
          </w:p>
        </w:tc>
        <w:tc>
          <w:tcPr>
            <w:tcW w:w="2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14,068,821</w:t>
            </w:r>
          </w:p>
        </w:tc>
        <w:tc>
          <w:tcPr>
            <w:tcW w:w="100" w:type="dxa"/>
            <w:vAlign w:val="bottom"/>
            <w:shd w:val="clear" w:color="auto" w:fill="CFF0FC"/>
          </w:tcPr>
          <w:p>
            <w:pPr>
              <w:spacing w:after="0"/>
              <w:rPr>
                <w:sz w:val="22"/>
                <w:szCs w:val="22"/>
                <w:color w:val="auto"/>
              </w:rPr>
            </w:pPr>
          </w:p>
        </w:tc>
      </w:tr>
      <w:tr>
        <w:trPr>
          <w:trHeight w:val="250"/>
        </w:trPr>
        <w:tc>
          <w:tcPr>
            <w:tcW w:w="244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18,135,615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r>
      <w:tr>
        <w:trPr>
          <w:trHeight w:val="26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Disposals</w:t>
            </w:r>
          </w:p>
        </w:tc>
        <w:tc>
          <w:tcPr>
            <w:tcW w:w="22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(18,417,089 )</w:t>
            </w:r>
          </w:p>
        </w:tc>
        <w:tc>
          <w:tcPr>
            <w:tcW w:w="120" w:type="dxa"/>
            <w:vAlign w:val="bottom"/>
            <w:shd w:val="clear" w:color="auto" w:fill="CFF0FC"/>
          </w:tcPr>
          <w:p>
            <w:pPr>
              <w:spacing w:after="0"/>
              <w:rPr>
                <w:sz w:val="22"/>
                <w:szCs w:val="22"/>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(169,818 )</w:t>
            </w:r>
          </w:p>
        </w:tc>
      </w:tr>
      <w:tr>
        <w:trPr>
          <w:trHeight w:val="250"/>
        </w:trPr>
        <w:tc>
          <w:tcPr>
            <w:tcW w:w="2440" w:type="dxa"/>
            <w:vAlign w:val="bottom"/>
          </w:tcPr>
          <w:p>
            <w:pPr>
              <w:spacing w:after="0"/>
              <w:rPr>
                <w:sz w:val="20"/>
                <w:szCs w:val="20"/>
                <w:color w:val="auto"/>
              </w:rPr>
            </w:pPr>
            <w:r>
              <w:rPr>
                <w:rFonts w:ascii="Arial" w:cs="Arial" w:eastAsia="Arial" w:hAnsi="Arial"/>
                <w:sz w:val="18"/>
                <w:szCs w:val="18"/>
                <w:color w:val="auto"/>
              </w:rPr>
              <w:t>Fair value adjustment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18,754,321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26,370,803</w:t>
            </w:r>
          </w:p>
        </w:tc>
        <w:tc>
          <w:tcPr>
            <w:tcW w:w="100" w:type="dxa"/>
            <w:vAlign w:val="bottom"/>
          </w:tcPr>
          <w:p>
            <w:pPr>
              <w:spacing w:after="0"/>
              <w:rPr>
                <w:sz w:val="21"/>
                <w:szCs w:val="21"/>
                <w:color w:val="auto"/>
              </w:rPr>
            </w:pPr>
          </w:p>
        </w:tc>
      </w:tr>
      <w:tr>
        <w:trPr>
          <w:trHeight w:val="26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Transfers out</w:t>
            </w:r>
          </w:p>
        </w:tc>
        <w:tc>
          <w:tcPr>
            <w:tcW w:w="22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(17,542,250 )</w:t>
            </w:r>
          </w:p>
        </w:tc>
        <w:tc>
          <w:tcPr>
            <w:tcW w:w="120" w:type="dxa"/>
            <w:vAlign w:val="bottom"/>
            <w:shd w:val="clear" w:color="auto" w:fill="CFF0FC"/>
          </w:tcPr>
          <w:p>
            <w:pPr>
              <w:spacing w:after="0"/>
              <w:rPr>
                <w:sz w:val="22"/>
                <w:szCs w:val="22"/>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4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Ending</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41,725,403</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40,794,806</w:t>
            </w:r>
          </w:p>
        </w:tc>
        <w:tc>
          <w:tcPr>
            <w:tcW w:w="100" w:type="dxa"/>
            <w:vAlign w:val="bottom"/>
            <w:tcBorders>
              <w:top w:val="single" w:sz="8" w:color="CFF0FC"/>
            </w:tcBorders>
          </w:tcPr>
          <w:p>
            <w:pPr>
              <w:spacing w:after="0"/>
              <w:rPr>
                <w:sz w:val="21"/>
                <w:szCs w:val="21"/>
                <w:color w:val="auto"/>
              </w:rPr>
            </w:pPr>
          </w:p>
        </w:tc>
      </w:tr>
      <w:tr>
        <w:trPr>
          <w:trHeight w:val="20"/>
        </w:trPr>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-193675</wp:posOffset>
            </wp:positionV>
            <wp:extent cx="1337310" cy="1943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37310" cy="194310"/>
                    </a:xfrm>
                    <a:prstGeom prst="rect">
                      <a:avLst/>
                    </a:prstGeom>
                    <a:noFill/>
                  </pic:spPr>
                </pic:pic>
              </a:graphicData>
            </a:graphic>
          </wp:anchor>
        </w:drawing>
      </w:r>
    </w:p>
    <w:p>
      <w:pPr>
        <w:spacing w:after="0" w:line="20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On January 15, 2021, the Company sold approximately half of its equity interest in a privately held entity for $18,112,500 in cash. Subsequently, the privately held entity became publicly traded and Green Thumb recorded fair value adjustments on the equity interest of $13,517,189 based on the trading price of the securities during each of the three and six months ended June 30, 2021. As of June 30, 2021 and December 31, 2020, the fair value of the equity interest was $32,653,878 and $37,249,189, respectively.</w:t>
      </w:r>
    </w:p>
    <w:p>
      <w:pPr>
        <w:spacing w:after="0" w:line="199"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Separately, during the second quarter, the Company made an additional investment in a privately held entity in the amount of $12,335,635, recorded fair value adjustments of $4,110,378 and obtained representation on the entity's board of directors. Given Green Thumb's cumulative ownership interest and representation on the entity's board of directors, it was determined that the Company could exert significant influence over the entity. As of June 30, 2021, the Company reclassified its investment in the privately held entity to investment in associates on the unaudited interim condensed consolidated balance sheets and began accounting for the investment as an equity method investment.</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Unrealized gains and (losses) recognized on equity investments held during the three and six months ended June 30, 2021and 2020 were $18,351,672 and $18,733,067and $198,572 and $(17,035), respectively.</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9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2" w:lineRule="exact"/>
        <w:rPr>
          <w:rFonts w:ascii="Arial" w:cs="Arial" w:eastAsia="Arial" w:hAnsi="Arial"/>
          <w:sz w:val="18"/>
          <w:szCs w:val="18"/>
          <w:b w:val="1"/>
          <w:bCs w:val="1"/>
          <w:color w:val="auto"/>
        </w:rPr>
      </w:pPr>
    </w:p>
    <w:p>
      <w:pPr>
        <w:ind w:left="440" w:hanging="432"/>
        <w:spacing w:after="0"/>
        <w:tabs>
          <w:tab w:leader="none" w:pos="44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The Company has operating leases for certain Rise, Essence and other retail dispensaries as well as many of the Company’s processing and cultivation facilities located throughout the US. Additionally, the Company has an operating lease for corporate office space in Illinois. Operating lease right-of-</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use assets and operating lease liabilities are recognized based on the present value of future minimum lease payments over the lease term at commencement date.</w:t>
      </w:r>
    </w:p>
    <w:p>
      <w:pPr>
        <w:spacing w:after="0" w:line="17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taxes, insurance and maintenance which are considered non-lease components. The Company accounts for real estate leases and the related fixed non-lease components together as a single component.</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and six months ended June 30, 2021 the company recorded operating lease expense of $8,276,399 and $16,027,698 compared to operating lease expense of $8,173,125 and $12,430,640 for the three and six months ended June 30, 2020.</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related to operating leases as of and for the six months ended June 30, 2021 and year ending December 31, 2020 were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56"/>
        </w:trPr>
        <w:tc>
          <w:tcPr>
            <w:tcW w:w="1580" w:type="dxa"/>
            <w:vAlign w:val="bottom"/>
          </w:tcPr>
          <w:p>
            <w:pPr>
              <w:spacing w:after="0"/>
              <w:rPr>
                <w:sz w:val="22"/>
                <w:szCs w:val="22"/>
                <w:color w:val="auto"/>
              </w:rPr>
            </w:pPr>
          </w:p>
        </w:tc>
        <w:tc>
          <w:tcPr>
            <w:tcW w:w="35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w w:val="88"/>
              </w:rPr>
              <w:t>Weighted avgerage remaining lease term (years)</w:t>
            </w:r>
          </w:p>
        </w:tc>
        <w:tc>
          <w:tcPr>
            <w:tcW w:w="12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tcBorders>
              <w:top w:val="single" w:sz="8" w:color="auto"/>
            </w:tcBorders>
            <w:gridSpan w:val="3"/>
            <w:shd w:val="clear" w:color="auto" w:fill="CFF0FC"/>
          </w:tcPr>
          <w:p>
            <w:pPr>
              <w:ind w:left="1020"/>
              <w:spacing w:after="0"/>
              <w:rPr>
                <w:sz w:val="20"/>
                <w:szCs w:val="20"/>
                <w:color w:val="auto"/>
              </w:rPr>
            </w:pPr>
            <w:r>
              <w:rPr>
                <w:rFonts w:ascii="Arial" w:cs="Arial" w:eastAsia="Arial" w:hAnsi="Arial"/>
                <w:sz w:val="18"/>
                <w:szCs w:val="18"/>
                <w:color w:val="auto"/>
                <w:w w:val="88"/>
              </w:rPr>
              <w:t>12.10</w:t>
            </w:r>
          </w:p>
        </w:tc>
        <w:tc>
          <w:tcPr>
            <w:tcW w:w="220" w:type="dxa"/>
            <w:vAlign w:val="bottom"/>
            <w:shd w:val="clear" w:color="auto" w:fill="CFF0FC"/>
          </w:tcPr>
          <w:p>
            <w:pPr>
              <w:spacing w:after="0"/>
              <w:rPr>
                <w:sz w:val="22"/>
                <w:szCs w:val="22"/>
                <w:color w:val="auto"/>
              </w:rPr>
            </w:pPr>
          </w:p>
        </w:tc>
      </w:tr>
      <w:tr>
        <w:trPr>
          <w:trHeight w:val="243"/>
        </w:trPr>
        <w:tc>
          <w:tcPr>
            <w:tcW w:w="1580" w:type="dxa"/>
            <w:vAlign w:val="bottom"/>
          </w:tcPr>
          <w:p>
            <w:pPr>
              <w:spacing w:after="0"/>
              <w:rPr>
                <w:sz w:val="21"/>
                <w:szCs w:val="21"/>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13.97 %</w:t>
            </w:r>
          </w:p>
        </w:tc>
        <w:tc>
          <w:tcPr>
            <w:tcW w:w="160" w:type="dxa"/>
            <w:vAlign w:val="bottom"/>
          </w:tcPr>
          <w:p>
            <w:pPr>
              <w:spacing w:after="0"/>
              <w:rPr>
                <w:sz w:val="21"/>
                <w:szCs w:val="21"/>
                <w:color w:val="auto"/>
              </w:rPr>
            </w:pPr>
          </w:p>
        </w:tc>
        <w:tc>
          <w:tcPr>
            <w:tcW w:w="1660" w:type="dxa"/>
            <w:vAlign w:val="bottom"/>
            <w:gridSpan w:val="4"/>
          </w:tcPr>
          <w:p>
            <w:pPr>
              <w:ind w:left="1020"/>
              <w:spacing w:after="0"/>
              <w:rPr>
                <w:sz w:val="20"/>
                <w:szCs w:val="20"/>
                <w:color w:val="auto"/>
              </w:rPr>
            </w:pPr>
            <w:r>
              <w:rPr>
                <w:rFonts w:ascii="Arial" w:cs="Arial" w:eastAsia="Arial" w:hAnsi="Arial"/>
                <w:sz w:val="18"/>
                <w:szCs w:val="18"/>
                <w:color w:val="auto"/>
                <w:w w:val="93"/>
              </w:rPr>
              <w:t>13.70 %</w:t>
            </w:r>
          </w:p>
        </w:tc>
      </w:tr>
      <w:tr>
        <w:trPr>
          <w:trHeight w:val="513"/>
        </w:trPr>
        <w:tc>
          <w:tcPr>
            <w:tcW w:w="6360" w:type="dxa"/>
            <w:vAlign w:val="bottom"/>
            <w:gridSpan w:val="7"/>
          </w:tcPr>
          <w:p>
            <w:pPr>
              <w:jc w:val="right"/>
              <w:ind w:right="180"/>
              <w:spacing w:after="0"/>
              <w:rPr>
                <w:sz w:val="20"/>
                <w:szCs w:val="20"/>
                <w:color w:val="auto"/>
              </w:rPr>
            </w:pPr>
            <w:r>
              <w:rPr>
                <w:rFonts w:ascii="Arial" w:cs="Arial" w:eastAsia="Arial" w:hAnsi="Arial"/>
                <w:sz w:val="18"/>
                <w:szCs w:val="18"/>
                <w:color w:val="auto"/>
                <w:w w:val="90"/>
              </w:rPr>
              <w:t>Maturities of lease liabilities for operating leases as of June 30, 2021 were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Borders>
              <w:bottom w:val="single" w:sz="8" w:color="auto"/>
            </w:tcBorders>
            <w:gridSpan w:val="8"/>
          </w:tcPr>
          <w:p>
            <w:pPr>
              <w:ind w:left="1100"/>
              <w:spacing w:after="0"/>
              <w:rPr>
                <w:sz w:val="20"/>
                <w:szCs w:val="20"/>
                <w:color w:val="auto"/>
              </w:rPr>
            </w:pPr>
            <w:r>
              <w:rPr>
                <w:rFonts w:ascii="Arial" w:cs="Arial" w:eastAsia="Arial" w:hAnsi="Arial"/>
                <w:sz w:val="14"/>
                <w:szCs w:val="14"/>
                <w:b w:val="1"/>
                <w:bCs w:val="1"/>
                <w:color w:val="auto"/>
                <w:w w:val="99"/>
              </w:rPr>
              <w:t>Maturities of Lease Liability</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7"/>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7"/>
                <w:szCs w:val="17"/>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Third Party</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Related Party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w:t>
            </w:r>
          </w:p>
        </w:tc>
      </w:tr>
      <w:tr>
        <w:trPr>
          <w:trHeight w:val="229"/>
        </w:trPr>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Remainder of 2021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14,431,765</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658,811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15,090,576</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0"/>
        </w:trPr>
        <w:tc>
          <w:tcPr>
            <w:tcW w:w="4960" w:type="dxa"/>
            <w:vAlign w:val="bottom"/>
            <w:gridSpan w:val="3"/>
          </w:tcPr>
          <w:p>
            <w:pPr>
              <w:ind w:left="216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29,923,298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749,125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30,672,423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2160" w:type="dxa"/>
            <w:vAlign w:val="bottom"/>
            <w:gridSpan w:val="2"/>
          </w:tcPr>
          <w:p>
            <w:pPr>
              <w:spacing w:after="0"/>
              <w:rPr>
                <w:sz w:val="20"/>
                <w:szCs w:val="20"/>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30,454,945</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197,328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30,652,273</w:t>
            </w:r>
          </w:p>
        </w:tc>
        <w:tc>
          <w:tcPr>
            <w:tcW w:w="80" w:type="dxa"/>
            <w:vAlign w:val="bottom"/>
            <w:shd w:val="clear" w:color="auto" w:fill="CFF0FC"/>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0"/>
        </w:trPr>
        <w:tc>
          <w:tcPr>
            <w:tcW w:w="4960" w:type="dxa"/>
            <w:vAlign w:val="bottom"/>
            <w:gridSpan w:val="3"/>
          </w:tcPr>
          <w:p>
            <w:pPr>
              <w:ind w:left="216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29,722,890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305,087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30,027,977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2160" w:type="dxa"/>
            <w:vAlign w:val="bottom"/>
            <w:gridSpan w:val="2"/>
          </w:tcPr>
          <w:p>
            <w:pPr>
              <w:spacing w:after="0"/>
              <w:rPr>
                <w:sz w:val="20"/>
                <w:szCs w:val="20"/>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27,470,590</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322,874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27,793,464</w:t>
            </w:r>
          </w:p>
        </w:tc>
        <w:tc>
          <w:tcPr>
            <w:tcW w:w="80" w:type="dxa"/>
            <w:vAlign w:val="bottom"/>
            <w:shd w:val="clear" w:color="auto" w:fill="CFF0FC"/>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7"/>
        </w:trPr>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2026 and Thereafter</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277,789,291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277,968,004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Total Lease Payments</w:t>
            </w: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409,792,779</w:t>
            </w:r>
          </w:p>
        </w:tc>
        <w:tc>
          <w:tcPr>
            <w:tcW w:w="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2,411,937</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412,204,716</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Less: Interest</w:t>
            </w:r>
          </w:p>
        </w:tc>
        <w:tc>
          <w:tcPr>
            <w:tcW w:w="1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6"/>
                <w:szCs w:val="16"/>
                <w:color w:val="auto"/>
              </w:rPr>
              <w:t>(238,783,784 )</w:t>
            </w:r>
          </w:p>
        </w:tc>
        <w:tc>
          <w:tcPr>
            <w:tcW w:w="1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(1,421,187 )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(240,204,971 )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66"/>
        </w:trPr>
        <w:tc>
          <w:tcPr>
            <w:tcW w:w="1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Present Value of Lease Liability</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171,008,995</w:t>
            </w:r>
          </w:p>
        </w:tc>
        <w:tc>
          <w:tcPr>
            <w:tcW w:w="4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990,750</w:t>
            </w: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171,999,745</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-330835</wp:posOffset>
            </wp:positionV>
            <wp:extent cx="13716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-330835</wp:posOffset>
            </wp:positionV>
            <wp:extent cx="1200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-330835</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Operating Leases</w:t>
      </w:r>
    </w:p>
    <w:p>
      <w:pPr>
        <w:spacing w:after="0" w:line="24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entered into related party transactions with respect to its leasing arrangements for certain facilities in Florida, Maryland, Massachusetts and Nevada. Wendy Berger, a director of the Company, is a principal of WBS Equities, LLC, which is the Manager of Mosaic Real Estate, LLC, and owns certain facilities leased by the Company. Additionally, Mosaic Real Estate, LLC is indirectly owned in part by Ms. Berger (through the Wendy Berger 1998 Revocable Trust), Benjamin Kovler, the Chief Executive Officer and a director of the Company (through KP Capital, LLC), and Anthony Georgiadis, the Chief Financial Officer and a director of the Company (through Three One Four Holdings, LLC). The terms of these leases range from 7 years to 15 years. For the three and six months ended June 30, 2021, the Company recorded lease expense of $300,229 and $595,432, respectively, associated with these leasing arrangements. </w:t>
      </w:r>
      <w:r>
        <w:rPr>
          <w:rFonts w:ascii="Arial" w:cs="Arial" w:eastAsia="Arial" w:hAnsi="Arial"/>
          <w:sz w:val="16"/>
          <w:szCs w:val="16"/>
          <w:color w:val="auto"/>
        </w:rPr>
        <w:t>For the three and six months ended June 30, 2020, the Company recorded lease expense of $386,787 and $734,323, respectively associated with</w:t>
      </w:r>
      <w:r>
        <w:rPr>
          <w:rFonts w:ascii="Arial" w:cs="Arial" w:eastAsia="Arial" w:hAnsi="Arial"/>
          <w:sz w:val="18"/>
          <w:szCs w:val="18"/>
          <w:color w:val="auto"/>
        </w:rPr>
        <w:t xml:space="preserve"> </w:t>
      </w:r>
      <w:r>
        <w:rPr>
          <w:rFonts w:ascii="Arial" w:cs="Arial" w:eastAsia="Arial" w:hAnsi="Arial"/>
          <w:sz w:val="16"/>
          <w:szCs w:val="16"/>
          <w:color w:val="auto"/>
        </w:rPr>
        <w:t>these leases.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2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notes payable consisted of the following:</w:t>
      </w:r>
    </w:p>
    <w:p>
      <w:pPr>
        <w:spacing w:after="0" w:line="200" w:lineRule="exact"/>
        <w:rPr>
          <w:sz w:val="20"/>
          <w:szCs w:val="20"/>
          <w:color w:val="auto"/>
        </w:rPr>
      </w:pP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2020</w:t>
            </w:r>
          </w:p>
        </w:tc>
      </w:tr>
      <w:tr>
        <w:trPr>
          <w:trHeight w:val="256"/>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Charitable Contributions </w:t>
            </w:r>
            <w:r>
              <w:rPr>
                <w:rFonts w:ascii="Arial" w:cs="Arial" w:eastAsia="Arial" w:hAnsi="Arial"/>
                <w:sz w:val="19"/>
                <w:szCs w:val="19"/>
                <w:color w:val="auto"/>
                <w:vertAlign w:val="superscript"/>
              </w:rPr>
              <w:t>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1,331,053</w:t>
            </w:r>
          </w:p>
        </w:tc>
        <w:tc>
          <w:tcPr>
            <w:tcW w:w="28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717,430</w:t>
            </w:r>
          </w:p>
        </w:tc>
        <w:tc>
          <w:tcPr>
            <w:tcW w:w="80" w:type="dxa"/>
            <w:vAlign w:val="bottom"/>
            <w:shd w:val="clear" w:color="auto" w:fill="CFF0FC"/>
          </w:tcPr>
          <w:p>
            <w:pPr>
              <w:spacing w:after="0"/>
              <w:rPr>
                <w:sz w:val="22"/>
                <w:szCs w:val="22"/>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4"/>
                <w:szCs w:val="14"/>
                <w:color w:val="auto"/>
              </w:rPr>
              <w:t xml:space="preserve">Private placement debt dated May 22, 2019 </w:t>
            </w:r>
            <w:r>
              <w:rPr>
                <w:rFonts w:ascii="Arial" w:cs="Arial" w:eastAsia="Arial" w:hAnsi="Arial"/>
                <w:sz w:val="19"/>
                <w:szCs w:val="19"/>
                <w:color w:val="auto"/>
                <w:vertAlign w:val="superscript"/>
              </w:rPr>
              <w:t>2</w:t>
            </w:r>
          </w:p>
        </w:tc>
        <w:tc>
          <w:tcPr>
            <w:tcW w:w="280" w:type="dxa"/>
            <w:vAlign w:val="bottom"/>
          </w:tcPr>
          <w:p>
            <w:pPr>
              <w:spacing w:after="0"/>
              <w:rPr>
                <w:sz w:val="22"/>
                <w:szCs w:val="22"/>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94,955,094</w:t>
            </w:r>
          </w:p>
        </w:tc>
        <w:tc>
          <w:tcPr>
            <w:tcW w:w="80" w:type="dxa"/>
            <w:vAlign w:val="bottom"/>
          </w:tcPr>
          <w:p>
            <w:pPr>
              <w:spacing w:after="0"/>
              <w:rPr>
                <w:sz w:val="22"/>
                <w:szCs w:val="22"/>
                <w:color w:val="auto"/>
              </w:rPr>
            </w:pPr>
          </w:p>
        </w:tc>
      </w:tr>
      <w:tr>
        <w:trPr>
          <w:trHeight w:val="256"/>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Private placement debt dated April 30, 2021</w:t>
            </w:r>
            <w:r>
              <w:rPr>
                <w:rFonts w:ascii="Arial" w:cs="Arial" w:eastAsia="Arial" w:hAnsi="Arial"/>
                <w:sz w:val="19"/>
                <w:szCs w:val="19"/>
                <w:color w:val="auto"/>
                <w:vertAlign w:val="superscript"/>
              </w:rPr>
              <w:t>3</w:t>
            </w:r>
          </w:p>
        </w:tc>
        <w:tc>
          <w:tcPr>
            <w:tcW w:w="2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192,975,932</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140" w:type="dxa"/>
            <w:vAlign w:val="bottom"/>
          </w:tcPr>
          <w:p>
            <w:pPr>
              <w:spacing w:after="0"/>
              <w:rPr>
                <w:sz w:val="20"/>
                <w:szCs w:val="20"/>
                <w:color w:val="auto"/>
              </w:rPr>
            </w:pPr>
            <w:r>
              <w:rPr>
                <w:rFonts w:ascii="Arial" w:cs="Arial" w:eastAsia="Arial" w:hAnsi="Arial"/>
                <w:sz w:val="14"/>
                <w:szCs w:val="14"/>
                <w:color w:val="auto"/>
              </w:rPr>
              <w:t xml:space="preserve">Mortgage notes </w:t>
            </w:r>
            <w:r>
              <w:rPr>
                <w:rFonts w:ascii="Arial" w:cs="Arial" w:eastAsia="Arial" w:hAnsi="Arial"/>
                <w:sz w:val="19"/>
                <w:szCs w:val="19"/>
                <w:color w:val="auto"/>
                <w:vertAlign w:val="superscript"/>
              </w:rPr>
              <w:t>4</w:t>
            </w: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3,310,861</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3,382,455</w:t>
            </w:r>
          </w:p>
        </w:tc>
        <w:tc>
          <w:tcPr>
            <w:tcW w:w="80" w:type="dxa"/>
            <w:vAlign w:val="bottom"/>
          </w:tcPr>
          <w:p>
            <w:pPr>
              <w:spacing w:after="0"/>
              <w:rPr>
                <w:sz w:val="22"/>
                <w:szCs w:val="22"/>
                <w:color w:val="auto"/>
              </w:rPr>
            </w:pPr>
          </w:p>
        </w:tc>
      </w:tr>
      <w:tr>
        <w:trPr>
          <w:trHeight w:val="25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notes payable</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197,617,846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99,054,979</w:t>
            </w:r>
          </w:p>
        </w:tc>
        <w:tc>
          <w:tcPr>
            <w:tcW w:w="80" w:type="dxa"/>
            <w:vAlign w:val="bottom"/>
            <w:shd w:val="clear" w:color="auto" w:fill="CFF0FC"/>
          </w:tcPr>
          <w:p>
            <w:pPr>
              <w:spacing w:after="0"/>
              <w:rPr>
                <w:sz w:val="21"/>
                <w:szCs w:val="21"/>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28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(581,436 )</w:t>
            </w:r>
          </w:p>
        </w:tc>
        <w:tc>
          <w:tcPr>
            <w:tcW w:w="180" w:type="dxa"/>
            <w:vAlign w:val="bottom"/>
          </w:tcPr>
          <w:p>
            <w:pPr>
              <w:spacing w:after="0"/>
              <w:rPr>
                <w:sz w:val="22"/>
                <w:szCs w:val="22"/>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(341,983 )</w:t>
            </w:r>
          </w:p>
        </w:tc>
      </w:tr>
      <w:tr>
        <w:trPr>
          <w:trHeight w:val="250"/>
        </w:trPr>
        <w:tc>
          <w:tcPr>
            <w:tcW w:w="5140" w:type="dxa"/>
            <w:vAlign w:val="bottom"/>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197,036,410</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98,712,996</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-170815</wp:posOffset>
            </wp:positionV>
            <wp:extent cx="570039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00395" cy="18859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1"/>
          <w:szCs w:val="11"/>
          <w:color w:val="auto"/>
        </w:rPr>
        <w:t>____________________</w:t>
      </w:r>
    </w:p>
    <w:p>
      <w:pPr>
        <w:spacing w:after="0" w:line="10" w:lineRule="exact"/>
        <w:rPr>
          <w:sz w:val="20"/>
          <w:szCs w:val="20"/>
          <w:color w:val="auto"/>
        </w:rPr>
      </w:pPr>
    </w:p>
    <w:p>
      <w:pPr>
        <w:ind w:left="880" w:right="60"/>
        <w:spacing w:after="0"/>
        <w:rPr>
          <w:sz w:val="20"/>
          <w:szCs w:val="20"/>
          <w:color w:val="auto"/>
        </w:rPr>
      </w:pPr>
      <w:r>
        <w:rPr>
          <w:rFonts w:ascii="Arial" w:cs="Arial" w:eastAsia="Arial" w:hAnsi="Arial"/>
          <w:sz w:val="21"/>
          <w:szCs w:val="21"/>
          <w:b w:val="1"/>
          <w:bCs w:val="1"/>
          <w:color w:val="auto"/>
          <w:vertAlign w:val="superscript"/>
        </w:rPr>
        <w:t>1</w:t>
      </w:r>
      <w:r>
        <w:rPr>
          <w:rFonts w:ascii="Arial" w:cs="Arial" w:eastAsia="Arial" w:hAnsi="Arial"/>
          <w:sz w:val="16"/>
          <w:szCs w:val="16"/>
          <w:color w:val="auto"/>
        </w:rPr>
        <w:t xml:space="preserve"> In connection with acquisitions completed in 2017 and 2019, the Company is required to make quarterly charitable contributions of $50,000 through October 2024 and $200,000 per year through May 2024, respectively. The net present value of these required payments has been recorded as a liability with interest rates ranging between 2.17% - 7.00%</w:t>
      </w:r>
    </w:p>
    <w:p>
      <w:pPr>
        <w:ind w:left="880" w:right="220"/>
        <w:spacing w:after="0" w:line="239" w:lineRule="auto"/>
        <w:rPr>
          <w:sz w:val="20"/>
          <w:szCs w:val="20"/>
          <w:color w:val="auto"/>
        </w:rPr>
      </w:pPr>
      <w:r>
        <w:rPr>
          <w:rFonts w:ascii="Arial" w:cs="Arial" w:eastAsia="Arial" w:hAnsi="Arial"/>
          <w:sz w:val="21"/>
          <w:szCs w:val="21"/>
          <w:b w:val="1"/>
          <w:bCs w:val="1"/>
          <w:color w:val="auto"/>
          <w:vertAlign w:val="superscript"/>
        </w:rPr>
        <w:t>2</w:t>
      </w:r>
      <w:r>
        <w:rPr>
          <w:rFonts w:ascii="Arial" w:cs="Arial" w:eastAsia="Arial" w:hAnsi="Arial"/>
          <w:sz w:val="16"/>
          <w:szCs w:val="16"/>
          <w:color w:val="auto"/>
        </w:rPr>
        <w:t xml:space="preserve"> On May 22, 2019, the Company issued private placement debt in an original amount of $105,466,429 with an interest rate of 12.00%, maturing on May 22 2023. The debt was issued at a discount, the carrying value of which was $9,045,187 and $10,511,335 as of April 30, 2021, just prior to repayment, and December 31, 2020, respectively.</w:t>
      </w:r>
    </w:p>
    <w:p>
      <w:pPr>
        <w:ind w:left="880" w:right="80"/>
        <w:spacing w:after="0" w:line="228" w:lineRule="auto"/>
        <w:rPr>
          <w:sz w:val="20"/>
          <w:szCs w:val="20"/>
          <w:color w:val="auto"/>
        </w:rPr>
      </w:pPr>
      <w:r>
        <w:rPr>
          <w:rFonts w:ascii="Arial" w:cs="Arial" w:eastAsia="Arial" w:hAnsi="Arial"/>
          <w:sz w:val="21"/>
          <w:szCs w:val="21"/>
          <w:b w:val="1"/>
          <w:bCs w:val="1"/>
          <w:color w:val="auto"/>
          <w:vertAlign w:val="superscript"/>
        </w:rPr>
        <w:t>3</w:t>
      </w:r>
      <w:r>
        <w:rPr>
          <w:rFonts w:ascii="Arial" w:cs="Arial" w:eastAsia="Arial" w:hAnsi="Arial"/>
          <w:sz w:val="16"/>
          <w:szCs w:val="16"/>
          <w:color w:val="auto"/>
        </w:rPr>
        <w:t xml:space="preserve"> The April 30, 2021 private placement debt was issued in an original amount of $216,734,258 with an interest rate of 7.00%, maturing on April 30, 2024. The debt was issued at a discount, the carrying value of which was $23,758,326 as of June 30, 2021.</w:t>
      </w:r>
    </w:p>
    <w:p>
      <w:pPr>
        <w:ind w:left="880" w:right="200"/>
        <w:spacing w:after="0" w:line="259" w:lineRule="auto"/>
        <w:rPr>
          <w:sz w:val="20"/>
          <w:szCs w:val="20"/>
          <w:color w:val="auto"/>
        </w:rPr>
      </w:pPr>
      <w:r>
        <w:rPr>
          <w:rFonts w:ascii="Arial" w:cs="Arial" w:eastAsia="Arial" w:hAnsi="Arial"/>
          <w:sz w:val="20"/>
          <w:szCs w:val="20"/>
          <w:b w:val="1"/>
          <w:bCs w:val="1"/>
          <w:color w:val="auto"/>
          <w:vertAlign w:val="superscript"/>
        </w:rPr>
        <w:t>4</w:t>
      </w:r>
      <w:r>
        <w:rPr>
          <w:rFonts w:ascii="Arial" w:cs="Arial" w:eastAsia="Arial" w:hAnsi="Arial"/>
          <w:sz w:val="15"/>
          <w:szCs w:val="15"/>
          <w:color w:val="auto"/>
        </w:rPr>
        <w:t xml:space="preserve"> Mortgage notes, in the original amount of $3,607,000 were issued by the Company in connection with various Retail dispensaries. These mortgage notes mature between August 20, 2025 and June 5, 2035 and were issued at a discount, the carrying value of which was $168,181 and $174,223, and are presented net of principal payments of $127,958 and $50,322 as of June 30, 2021 and December 31, 2020, respectively.</w:t>
      </w:r>
    </w:p>
    <w:p>
      <w:pPr>
        <w:spacing w:after="0" w:line="96" w:lineRule="exact"/>
        <w:rPr>
          <w:sz w:val="20"/>
          <w:szCs w:val="20"/>
          <w:color w:val="auto"/>
        </w:rPr>
      </w:pPr>
    </w:p>
    <w:p>
      <w:pPr>
        <w:ind w:left="880" w:hanging="432"/>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April 30, 2021 Private Placement Financing</w:t>
      </w:r>
    </w:p>
    <w:p>
      <w:pPr>
        <w:spacing w:after="0" w:line="256" w:lineRule="exact"/>
        <w:rPr>
          <w:rFonts w:ascii="Arial" w:cs="Arial" w:eastAsia="Arial" w:hAnsi="Arial"/>
          <w:sz w:val="18"/>
          <w:szCs w:val="18"/>
          <w:b w:val="1"/>
          <w:bCs w:val="1"/>
          <w:color w:val="auto"/>
        </w:rPr>
      </w:pPr>
    </w:p>
    <w:p>
      <w:pPr>
        <w:ind w:left="880"/>
        <w:spacing w:after="0" w:line="309" w:lineRule="auto"/>
        <w:rPr>
          <w:rFonts w:ascii="Arial" w:cs="Arial" w:eastAsia="Arial" w:hAnsi="Arial"/>
          <w:sz w:val="18"/>
          <w:szCs w:val="18"/>
          <w:b w:val="1"/>
          <w:bCs w:val="1"/>
          <w:color w:val="auto"/>
        </w:rPr>
      </w:pPr>
      <w:r>
        <w:rPr>
          <w:rFonts w:ascii="Arial" w:cs="Arial" w:eastAsia="Arial" w:hAnsi="Arial"/>
          <w:sz w:val="16"/>
          <w:szCs w:val="16"/>
          <w:color w:val="auto"/>
        </w:rPr>
        <w:t>On April 30, 2021, the Company closed a $216,734,258 Senior Secured non-brokered private placement financing through the issuance of senior secured notes (the “</w:t>
      </w:r>
      <w:r>
        <w:rPr>
          <w:rFonts w:ascii="Arial" w:cs="Arial" w:eastAsia="Arial" w:hAnsi="Arial"/>
          <w:sz w:val="16"/>
          <w:szCs w:val="16"/>
          <w:b w:val="1"/>
          <w:bCs w:val="1"/>
          <w:color w:val="auto"/>
        </w:rPr>
        <w:t>Notes</w:t>
      </w:r>
      <w:r>
        <w:rPr>
          <w:rFonts w:ascii="Arial" w:cs="Arial" w:eastAsia="Arial" w:hAnsi="Arial"/>
          <w:sz w:val="16"/>
          <w:szCs w:val="16"/>
          <w:color w:val="auto"/>
        </w:rPr>
        <w:t>”). The Company used the proceeds to retire the Company’s existing $105,466,429, senior secured notes due May 22 2023 and the remaining proceeds for general working capital purposes as well as various growth initiatives. The Notes have a maturity date of April 30, 2024 and bear interest from the date of issue of 7.00% per annum, payable quarterly, with an option, at the discretion of the Company, to extend for an additional 12 months. The financing permits the Company to borrow an additional $33,265,742 over the next twelve months. The purchasers of the Notes also received 1,459,044 warrants (the “</w:t>
      </w:r>
      <w:r>
        <w:rPr>
          <w:rFonts w:ascii="Arial" w:cs="Arial" w:eastAsia="Arial" w:hAnsi="Arial"/>
          <w:sz w:val="16"/>
          <w:szCs w:val="16"/>
          <w:b w:val="1"/>
          <w:bCs w:val="1"/>
          <w:color w:val="auto"/>
        </w:rPr>
        <w:t>Warrants</w:t>
      </w:r>
      <w:r>
        <w:rPr>
          <w:rFonts w:ascii="Arial" w:cs="Arial" w:eastAsia="Arial" w:hAnsi="Arial"/>
          <w:sz w:val="16"/>
          <w:szCs w:val="16"/>
          <w:color w:val="auto"/>
        </w:rPr>
        <w:t>”) which allow the holder to purchase one Subordinate Voting Share at an exercise price of $32.68 per share, for a period of 60 months from the date of issue.</w:t>
      </w:r>
    </w:p>
    <w:p>
      <w:pPr>
        <w:spacing w:after="0" w:line="177" w:lineRule="exact"/>
        <w:rPr>
          <w:rFonts w:ascii="Arial" w:cs="Arial" w:eastAsia="Arial" w:hAnsi="Arial"/>
          <w:sz w:val="18"/>
          <w:szCs w:val="18"/>
          <w:b w:val="1"/>
          <w:bCs w:val="1"/>
          <w:color w:val="auto"/>
        </w:rPr>
      </w:pPr>
    </w:p>
    <w:p>
      <w:pPr>
        <w:ind w:left="880" w:right="80"/>
        <w:spacing w:after="0" w:line="287" w:lineRule="auto"/>
        <w:rPr>
          <w:rFonts w:ascii="Arial" w:cs="Arial" w:eastAsia="Arial" w:hAnsi="Arial"/>
          <w:sz w:val="18"/>
          <w:szCs w:val="18"/>
          <w:b w:val="1"/>
          <w:bCs w:val="1"/>
          <w:color w:val="auto"/>
        </w:rPr>
      </w:pPr>
      <w:r>
        <w:rPr>
          <w:rFonts w:ascii="Arial" w:cs="Arial" w:eastAsia="Arial" w:hAnsi="Arial"/>
          <w:sz w:val="17"/>
          <w:szCs w:val="17"/>
          <w:color w:val="auto"/>
        </w:rPr>
        <w:t>The refinancing of the Notes involved multiple lenders who were considered members of a loan syndicate. In determining whether the refinancing of the Notes should be accounted for as a debt extinguishment or a debt modification, the Company considered whether, prior to and following the refinancing, creditors remained the same or changed, and whether the changes in debt terms were substantial. A change in the terms of the Notes was considered to be substantial if the present value of the remaining cash flows under the April 30, 2021 Notes were at least 10% different from the present value of the remaining cash flows under the May 22, 2019 Notes (commonly referred to as the “</w:t>
      </w:r>
      <w:r>
        <w:rPr>
          <w:rFonts w:ascii="Arial" w:cs="Arial" w:eastAsia="Arial" w:hAnsi="Arial"/>
          <w:sz w:val="17"/>
          <w:szCs w:val="17"/>
          <w:b w:val="1"/>
          <w:bCs w:val="1"/>
          <w:color w:val="auto"/>
        </w:rPr>
        <w:t>10%</w:t>
      </w:r>
      <w:r>
        <w:rPr>
          <w:rFonts w:ascii="Arial" w:cs="Arial" w:eastAsia="Arial" w:hAnsi="Arial"/>
          <w:sz w:val="17"/>
          <w:szCs w:val="17"/>
          <w:color w:val="auto"/>
        </w:rPr>
        <w:t xml:space="preserve"> </w:t>
      </w:r>
      <w:r>
        <w:rPr>
          <w:rFonts w:ascii="Arial" w:cs="Arial" w:eastAsia="Arial" w:hAnsi="Arial"/>
          <w:sz w:val="17"/>
          <w:szCs w:val="17"/>
          <w:b w:val="1"/>
          <w:bCs w:val="1"/>
          <w:color w:val="auto"/>
        </w:rPr>
        <w:t>Test</w:t>
      </w:r>
      <w:r>
        <w:rPr>
          <w:rFonts w:ascii="Arial" w:cs="Arial" w:eastAsia="Arial" w:hAnsi="Arial"/>
          <w:sz w:val="17"/>
          <w:szCs w:val="17"/>
          <w:color w:val="auto"/>
        </w:rPr>
        <w:t>”). The Company performed a separate 10% Test for each individual lender participating in the loan syndication. Of the 30 lenders who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participated in the original financing of the May 22, 2019 Notes, 18 were accounted for as a debt extinguishment, while 12 were treated as a modification. Additionally, 9 new lenders joined the loan syndicate.</w:t>
      </w:r>
    </w:p>
    <w:p>
      <w:pPr>
        <w:spacing w:after="0" w:line="299" w:lineRule="exact"/>
        <w:rPr>
          <w:rFonts w:ascii="Arial" w:cs="Arial" w:eastAsia="Arial" w:hAnsi="Arial"/>
          <w:sz w:val="18"/>
          <w:szCs w:val="18"/>
          <w:b w:val="1"/>
          <w:bCs w:val="1"/>
          <w:color w:val="auto"/>
        </w:rPr>
      </w:pPr>
    </w:p>
    <w:p>
      <w:pPr>
        <w:ind w:left="880" w:hanging="432"/>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35" w:lineRule="exact"/>
        <w:rPr>
          <w:sz w:val="20"/>
          <w:szCs w:val="20"/>
          <w:color w:val="auto"/>
        </w:rPr>
      </w:pPr>
    </w:p>
    <w:p>
      <w:pPr>
        <w:ind w:left="1140" w:right="120"/>
        <w:spacing w:after="0" w:line="314" w:lineRule="auto"/>
        <w:rPr>
          <w:sz w:val="20"/>
          <w:szCs w:val="20"/>
          <w:color w:val="auto"/>
        </w:rPr>
      </w:pPr>
      <w:r>
        <w:rPr>
          <w:rFonts w:ascii="Arial" w:cs="Arial" w:eastAsia="Arial" w:hAnsi="Arial"/>
          <w:sz w:val="16"/>
          <w:szCs w:val="16"/>
          <w:color w:val="auto"/>
        </w:rPr>
        <w:t>The Notes are held by related parties as well as unrelated third-party lenders at a percentage of approximately 1% and 99%, respectively. The related parties consist of Benjamin Kovler, the Chief Executive Officer and a director of the Company (held through KP Capital, LLC and Outsiders Capital, LLC); Andrew Grossman, the Executive Vice President of Capital Markets of the Company (held through AG Funding Group, LLC); Anthony Georgiadis, the Chief Financial Officer and a director of the Corporation (held through Three One Four Holdings, LLC); and Anthony Georgiadis and William Gruver, a director of the Corporation (held through ABG, LLC).</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4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180"/>
        <w:spacing w:after="0" w:line="359" w:lineRule="auto"/>
        <w:rPr>
          <w:sz w:val="20"/>
          <w:szCs w:val="20"/>
          <w:color w:val="auto"/>
        </w:rPr>
      </w:pPr>
      <w:r>
        <w:rPr>
          <w:rFonts w:ascii="Arial" w:cs="Arial" w:eastAsia="Arial" w:hAnsi="Arial"/>
          <w:sz w:val="16"/>
          <w:szCs w:val="16"/>
          <w:color w:val="auto"/>
        </w:rPr>
        <w:t>As part of the Company’s private placement financing as well as other financing arrangements, the Company issued warrants to related parties, as well as unrelated third parties, which allow the holders to purchase Subordinate Voting Shares at an exercise price determined at the time of issuance.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number warrants outstanding as of June 30, 2021 and December 31,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Liability Classified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9"/>
              </w:rPr>
              <w:t>Equity Classified</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 Exercise</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 Exercise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7"/>
                <w:szCs w:val="17"/>
                <w:color w:val="auto"/>
              </w:rPr>
            </w:pPr>
          </w:p>
        </w:tc>
      </w:tr>
      <w:tr>
        <w:trPr>
          <w:trHeight w:val="223"/>
        </w:trPr>
        <w:tc>
          <w:tcPr>
            <w:tcW w:w="2760" w:type="dxa"/>
            <w:vAlign w:val="bottom"/>
          </w:tcPr>
          <w:p>
            <w:pPr>
              <w:spacing w:after="0"/>
              <w:rPr>
                <w:sz w:val="19"/>
                <w:szCs w:val="19"/>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Price (C$)</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Price (USD)</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9"/>
                <w:szCs w:val="19"/>
                <w:color w:val="auto"/>
              </w:rPr>
            </w:pPr>
          </w:p>
        </w:tc>
      </w:tr>
      <w:tr>
        <w:trPr>
          <w:trHeight w:val="230"/>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at December 31, 2020</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2,485,794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FF0FC"/>
          </w:tcPr>
          <w:p>
            <w:pPr>
              <w:spacing w:after="0"/>
              <w:rPr>
                <w:sz w:val="19"/>
                <w:szCs w:val="19"/>
                <w:color w:val="auto"/>
              </w:rPr>
            </w:pPr>
          </w:p>
        </w:tc>
      </w:tr>
      <w:tr>
        <w:trPr>
          <w:trHeight w:val="220"/>
        </w:trPr>
        <w:tc>
          <w:tcPr>
            <w:tcW w:w="2760" w:type="dxa"/>
            <w:vAlign w:val="bottom"/>
          </w:tcPr>
          <w:p>
            <w:pPr>
              <w:ind w:left="20"/>
              <w:spacing w:after="0"/>
              <w:rPr>
                <w:sz w:val="20"/>
                <w:szCs w:val="20"/>
                <w:color w:val="auto"/>
              </w:rPr>
            </w:pPr>
            <w:r>
              <w:rPr>
                <w:rFonts w:ascii="Arial" w:cs="Arial" w:eastAsia="Arial" w:hAnsi="Arial"/>
                <w:sz w:val="16"/>
                <w:szCs w:val="16"/>
                <w:color w:val="auto"/>
              </w:rPr>
              <w:t>Warrants Issued</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1,459,044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9"/>
                <w:szCs w:val="19"/>
                <w:color w:val="auto"/>
              </w:rPr>
            </w:pPr>
          </w:p>
        </w:tc>
      </w:tr>
      <w:tr>
        <w:trPr>
          <w:trHeight w:val="23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Warrants Exercised</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(226,271 )</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2760" w:type="dxa"/>
            <w:vAlign w:val="bottom"/>
          </w:tcPr>
          <w:p>
            <w:pPr>
              <w:ind w:left="20"/>
              <w:spacing w:after="0"/>
              <w:rPr>
                <w:sz w:val="20"/>
                <w:szCs w:val="20"/>
                <w:color w:val="auto"/>
              </w:rPr>
            </w:pPr>
            <w:r>
              <w:rPr>
                <w:rFonts w:ascii="Arial" w:cs="Arial" w:eastAsia="Arial" w:hAnsi="Arial"/>
                <w:sz w:val="16"/>
                <w:szCs w:val="16"/>
                <w:color w:val="auto"/>
              </w:rPr>
              <w:t>Warrants Expired</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(109,482 )</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63"/>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as at June 30, 2021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2,150,041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18.27</w:t>
            </w: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2.92</w:t>
            </w:r>
          </w:p>
        </w:tc>
        <w:tc>
          <w:tcPr>
            <w:tcW w:w="2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1,494,044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32.13</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-24765</wp:posOffset>
            </wp:positionV>
            <wp:extent cx="2914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2914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1454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1454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1000" w:hanging="448"/>
        <w:spacing w:after="0"/>
        <w:tabs>
          <w:tab w:leader="none" w:pos="10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Classified Warrants Outstanding</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fair value of the liability classified warrants at June 30, 2021 and December 31,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Fair Value</w:t>
            </w: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Warrant Liability</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Strike Price</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0"/>
                <w:szCs w:val="20"/>
                <w:color w:val="auto"/>
              </w:rPr>
            </w:pPr>
          </w:p>
        </w:tc>
      </w:tr>
      <w:tr>
        <w:trPr>
          <w:trHeight w:val="25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Bridge Financing Warrants</w:t>
            </w: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C$22.90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109,482</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1,789,250</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2,544,500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(755,250 )</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Private Placement Financing Warrants</w:t>
            </w:r>
          </w:p>
        </w:tc>
        <w:tc>
          <w:tcPr>
            <w:tcW w:w="1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C$19.39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1,641,301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35,613,000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28,756,500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6,856,500</w:t>
            </w:r>
          </w:p>
        </w:tc>
        <w:tc>
          <w:tcPr>
            <w:tcW w:w="100" w:type="dxa"/>
            <w:vAlign w:val="bottom"/>
          </w:tcPr>
          <w:p>
            <w:pPr>
              <w:spacing w:after="0"/>
              <w:rPr>
                <w:sz w:val="21"/>
                <w:szCs w:val="21"/>
                <w:color w:val="auto"/>
              </w:rPr>
            </w:pPr>
          </w:p>
        </w:tc>
      </w:tr>
      <w:tr>
        <w:trPr>
          <w:trHeight w:val="26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Modification Warrants</w:t>
            </w: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C$12.04</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323,910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8,198,500</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6,630,000</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1,568,500</w:t>
            </w:r>
          </w:p>
        </w:tc>
        <w:tc>
          <w:tcPr>
            <w:tcW w:w="100" w:type="dxa"/>
            <w:vAlign w:val="bottom"/>
            <w:shd w:val="clear" w:color="auto" w:fill="CFF0FC"/>
          </w:tcPr>
          <w:p>
            <w:pPr>
              <w:spacing w:after="0"/>
              <w:rPr>
                <w:sz w:val="22"/>
                <w:szCs w:val="22"/>
                <w:color w:val="auto"/>
              </w:rPr>
            </w:pPr>
          </w:p>
        </w:tc>
      </w:tr>
      <w:tr>
        <w:trPr>
          <w:trHeight w:val="25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Additional Modification Warrants</w:t>
            </w:r>
          </w:p>
        </w:tc>
        <w:tc>
          <w:tcPr>
            <w:tcW w:w="14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C$14.03</w:t>
            </w:r>
          </w:p>
        </w:tc>
        <w:tc>
          <w:tcPr>
            <w:tcW w:w="26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1,864,000</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1,523,000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341,000</w:t>
            </w:r>
          </w:p>
        </w:tc>
        <w:tc>
          <w:tcPr>
            <w:tcW w:w="100" w:type="dxa"/>
            <w:vAlign w:val="bottom"/>
          </w:tcPr>
          <w:p>
            <w:pPr>
              <w:spacing w:after="0"/>
              <w:rPr>
                <w:sz w:val="21"/>
                <w:szCs w:val="21"/>
                <w:color w:val="auto"/>
              </w:rPr>
            </w:pPr>
          </w:p>
        </w:tc>
      </w:tr>
      <w:tr>
        <w:trPr>
          <w:trHeight w:val="290"/>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Totals</w:t>
            </w:r>
          </w:p>
        </w:tc>
        <w:tc>
          <w:tcPr>
            <w:tcW w:w="1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2,150,041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47,464,750</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39,454,000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8,010,750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1714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1714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1625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1625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1543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543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ind w:left="440"/>
        <w:spacing w:after="0" w:line="279" w:lineRule="auto"/>
        <w:rPr>
          <w:sz w:val="20"/>
          <w:szCs w:val="20"/>
          <w:color w:val="auto"/>
        </w:rPr>
      </w:pPr>
      <w:r>
        <w:rPr>
          <w:rFonts w:ascii="Arial" w:cs="Arial" w:eastAsia="Arial" w:hAnsi="Arial"/>
          <w:sz w:val="18"/>
          <w:szCs w:val="18"/>
          <w:color w:val="auto"/>
        </w:rPr>
        <w:t>During the three and six months ended June 30, 2021 and 2020, the Company recorded a loss of $2,160,079 and $8,010,750, and a loss of $6,262,500 and a gain of $1,120,343, respectively, on the change in the fair value of the warrant liability within other income (expense) on the unaudited interim condensed consolidated statements of operations.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significant assumptions used in determining the fair value of the warrant liability as of each reporting date (see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 14 - Fair Value Measurements for additional details):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ind w:left="8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2140" w:type="dxa"/>
            <w:vAlign w:val="bottom"/>
          </w:tcPr>
          <w:p>
            <w:pPr>
              <w:ind w:left="66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Significant Assumptions</w:t>
            </w:r>
          </w:p>
        </w:tc>
        <w:tc>
          <w:tcPr>
            <w:tcW w:w="3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1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2020</w:t>
            </w:r>
          </w:p>
        </w:tc>
      </w:tr>
      <w:tr>
        <w:trPr>
          <w:trHeight w:val="256"/>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5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62.80% - 77.17%</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72.19% - 79.10%</w:t>
            </w:r>
          </w:p>
        </w:tc>
      </w:tr>
      <w:tr>
        <w:trPr>
          <w:trHeight w:val="250"/>
        </w:trPr>
        <w:tc>
          <w:tcPr>
            <w:tcW w:w="3500" w:type="dxa"/>
            <w:vAlign w:val="bottom"/>
          </w:tcPr>
          <w:p>
            <w:pPr>
              <w:ind w:left="20"/>
              <w:spacing w:after="0"/>
              <w:rPr>
                <w:sz w:val="20"/>
                <w:szCs w:val="20"/>
                <w:color w:val="auto"/>
              </w:rPr>
            </w:pPr>
            <w:r>
              <w:rPr>
                <w:rFonts w:ascii="Arial" w:cs="Arial" w:eastAsia="Arial" w:hAnsi="Arial"/>
                <w:sz w:val="18"/>
                <w:szCs w:val="18"/>
                <w:color w:val="auto"/>
              </w:rPr>
              <w:t>Remaining Term</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ind w:left="940"/>
              <w:spacing w:after="0"/>
              <w:rPr>
                <w:sz w:val="20"/>
                <w:szCs w:val="20"/>
                <w:color w:val="auto"/>
              </w:rPr>
            </w:pPr>
            <w:r>
              <w:rPr>
                <w:rFonts w:ascii="Arial" w:cs="Arial" w:eastAsia="Arial" w:hAnsi="Arial"/>
                <w:sz w:val="18"/>
                <w:szCs w:val="18"/>
                <w:color w:val="auto"/>
                <w:w w:val="88"/>
              </w:rPr>
              <w:t>1.28 - 3.89 years</w:t>
            </w:r>
          </w:p>
        </w:tc>
        <w:tc>
          <w:tcPr>
            <w:tcW w:w="200" w:type="dxa"/>
            <w:vAlign w:val="bottom"/>
          </w:tcPr>
          <w:p>
            <w:pPr>
              <w:spacing w:after="0"/>
              <w:rPr>
                <w:sz w:val="21"/>
                <w:szCs w:val="21"/>
                <w:color w:val="auto"/>
              </w:rPr>
            </w:pPr>
          </w:p>
        </w:tc>
        <w:tc>
          <w:tcPr>
            <w:tcW w:w="2140" w:type="dxa"/>
            <w:vAlign w:val="bottom"/>
          </w:tcPr>
          <w:p>
            <w:pPr>
              <w:ind w:left="920"/>
              <w:spacing w:after="0"/>
              <w:rPr>
                <w:sz w:val="20"/>
                <w:szCs w:val="20"/>
                <w:color w:val="auto"/>
              </w:rPr>
            </w:pPr>
            <w:r>
              <w:rPr>
                <w:rFonts w:ascii="Arial" w:cs="Arial" w:eastAsia="Arial" w:hAnsi="Arial"/>
                <w:sz w:val="18"/>
                <w:szCs w:val="18"/>
                <w:color w:val="auto"/>
                <w:w w:val="88"/>
              </w:rPr>
              <w:t>1.78 - 4.39 years</w:t>
            </w:r>
          </w:p>
        </w:tc>
      </w:tr>
      <w:tr>
        <w:trPr>
          <w:trHeight w:val="26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 Free Rate</w:t>
            </w:r>
          </w:p>
        </w:tc>
        <w:tc>
          <w:tcPr>
            <w:tcW w:w="5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0.44% - 0.79%</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0.20% - 0.28%</w:t>
            </w:r>
          </w:p>
        </w:tc>
      </w:tr>
      <w:tr>
        <w:trPr>
          <w:trHeight w:val="689"/>
        </w:trPr>
        <w:tc>
          <w:tcPr>
            <w:tcW w:w="3500" w:type="dxa"/>
            <w:vAlign w:val="bottom"/>
          </w:tcPr>
          <w:p>
            <w:pPr>
              <w:spacing w:after="0"/>
              <w:rPr>
                <w:sz w:val="24"/>
                <w:szCs w:val="24"/>
                <w:color w:val="auto"/>
              </w:rPr>
            </w:pPr>
          </w:p>
        </w:tc>
        <w:tc>
          <w:tcPr>
            <w:tcW w:w="3020" w:type="dxa"/>
            <w:vAlign w:val="bottom"/>
          </w:tcPr>
          <w:p>
            <w:pPr>
              <w:jc w:val="right"/>
              <w:ind w:right="7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0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38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21"/>
          <w:szCs w:val="2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left="1000" w:hanging="448"/>
        <w:spacing w:after="0"/>
        <w:tabs>
          <w:tab w:leader="none" w:pos="10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Equity Classified Warrants Outstanding</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fair value of the equity classified warrants at June 30, 2021 and December 31, 2020:</w:t>
      </w:r>
    </w:p>
    <w:p>
      <w:pPr>
        <w:spacing w:after="0" w:line="302"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43"/>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1"/>
                <w:szCs w:val="21"/>
                <w:color w:val="auto"/>
              </w:rPr>
            </w:pPr>
          </w:p>
        </w:tc>
      </w:tr>
      <w:tr>
        <w:trPr>
          <w:trHeight w:val="263"/>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Warrants Included in Contributed Surplus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Strike Price</w:t>
            </w:r>
          </w:p>
        </w:tc>
        <w:tc>
          <w:tcPr>
            <w:tcW w:w="240" w:type="dxa"/>
            <w:vAlign w:val="bottom"/>
          </w:tcPr>
          <w:p>
            <w:pPr>
              <w:spacing w:after="0"/>
              <w:rPr>
                <w:sz w:val="22"/>
                <w:szCs w:val="22"/>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Dispensary Mortgage Warrants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181,272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181,272</w:t>
            </w:r>
          </w:p>
        </w:tc>
        <w:tc>
          <w:tcPr>
            <w:tcW w:w="100" w:type="dxa"/>
            <w:vAlign w:val="bottom"/>
            <w:shd w:val="clear" w:color="auto" w:fill="CFF0FC"/>
          </w:tcPr>
          <w:p>
            <w:pPr>
              <w:spacing w:after="0"/>
              <w:rPr>
                <w:sz w:val="22"/>
                <w:szCs w:val="22"/>
                <w:color w:val="auto"/>
              </w:rPr>
            </w:pPr>
          </w:p>
        </w:tc>
      </w:tr>
      <w:tr>
        <w:trPr>
          <w:trHeight w:val="25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Private Placement Refinancing Warrants</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24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1,459,044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22,258,608</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Totals</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1,494,044</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22,439,880</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181,272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-25400</wp:posOffset>
            </wp:positionV>
            <wp:extent cx="1714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714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1714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714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equity warrants were valued as of the date of issuance using a Black Scholes Option Pricing model. The following table summarizes the significant assumptions used in determining the fair value of the warrants as of each respective issuance date:</w:t>
      </w:r>
    </w:p>
    <w:p>
      <w:pPr>
        <w:spacing w:after="0" w:line="200" w:lineRule="exact"/>
        <w:rPr>
          <w:sz w:val="20"/>
          <w:szCs w:val="20"/>
          <w:color w:val="auto"/>
        </w:rPr>
      </w:pP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740" w:type="dxa"/>
            <w:vAlign w:val="bottom"/>
          </w:tcPr>
          <w:p>
            <w:pPr>
              <w:jc w:val="center"/>
              <w:ind w:left="770"/>
              <w:spacing w:after="0"/>
              <w:rPr>
                <w:sz w:val="20"/>
                <w:szCs w:val="20"/>
                <w:color w:val="auto"/>
              </w:rPr>
            </w:pPr>
            <w:r>
              <w:rPr>
                <w:rFonts w:ascii="Arial" w:cs="Arial" w:eastAsia="Arial" w:hAnsi="Arial"/>
                <w:sz w:val="18"/>
                <w:szCs w:val="18"/>
                <w:b w:val="1"/>
                <w:bCs w:val="1"/>
                <w:color w:val="auto"/>
                <w:w w:val="90"/>
              </w:rPr>
              <w:t>Private Placement</w:t>
            </w:r>
          </w:p>
        </w:tc>
        <w:tc>
          <w:tcPr>
            <w:tcW w:w="2200" w:type="dxa"/>
            <w:vAlign w:val="bottom"/>
          </w:tcPr>
          <w:p>
            <w:pPr>
              <w:spacing w:after="0"/>
              <w:rPr>
                <w:sz w:val="19"/>
                <w:szCs w:val="19"/>
                <w:color w:val="auto"/>
              </w:rPr>
            </w:pPr>
          </w:p>
        </w:tc>
      </w:tr>
      <w:tr>
        <w:trPr>
          <w:trHeight w:val="229"/>
        </w:trPr>
        <w:tc>
          <w:tcPr>
            <w:tcW w:w="2920" w:type="dxa"/>
            <w:vAlign w:val="bottom"/>
          </w:tcPr>
          <w:p>
            <w:pPr>
              <w:spacing w:after="0"/>
              <w:rPr>
                <w:sz w:val="19"/>
                <w:szCs w:val="19"/>
                <w:color w:val="auto"/>
              </w:rPr>
            </w:pPr>
          </w:p>
        </w:tc>
        <w:tc>
          <w:tcPr>
            <w:tcW w:w="274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Refinancing</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Dispensary Mortgage</w:t>
            </w:r>
          </w:p>
        </w:tc>
      </w:tr>
      <w:tr>
        <w:trPr>
          <w:trHeight w:val="24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Significant Assumptions</w:t>
            </w:r>
          </w:p>
        </w:tc>
        <w:tc>
          <w:tcPr>
            <w:tcW w:w="27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94"/>
              </w:rPr>
              <w:t>Warrants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r>
      <w:tr>
        <w:trPr>
          <w:trHeight w:val="250"/>
        </w:trPr>
        <w:tc>
          <w:tcPr>
            <w:tcW w:w="2920" w:type="dxa"/>
            <w:vAlign w:val="bottom"/>
          </w:tcPr>
          <w:p>
            <w:pPr>
              <w:spacing w:after="0"/>
              <w:rPr>
                <w:sz w:val="20"/>
                <w:szCs w:val="20"/>
                <w:color w:val="auto"/>
              </w:rPr>
            </w:pPr>
            <w:r>
              <w:rPr>
                <w:rFonts w:ascii="Arial" w:cs="Arial" w:eastAsia="Arial" w:hAnsi="Arial"/>
                <w:sz w:val="18"/>
                <w:szCs w:val="18"/>
                <w:color w:val="auto"/>
              </w:rPr>
              <w:t>Date of Issuance</w:t>
            </w:r>
          </w:p>
        </w:tc>
        <w:tc>
          <w:tcPr>
            <w:tcW w:w="2740" w:type="dxa"/>
            <w:vAlign w:val="bottom"/>
          </w:tcPr>
          <w:p>
            <w:pPr>
              <w:jc w:val="center"/>
              <w:ind w:left="770"/>
              <w:spacing w:after="0"/>
              <w:rPr>
                <w:sz w:val="20"/>
                <w:szCs w:val="20"/>
                <w:color w:val="auto"/>
              </w:rPr>
            </w:pPr>
            <w:r>
              <w:rPr>
                <w:rFonts w:ascii="Arial" w:cs="Arial" w:eastAsia="Arial" w:hAnsi="Arial"/>
                <w:sz w:val="18"/>
                <w:szCs w:val="18"/>
                <w:color w:val="auto"/>
                <w:w w:val="93"/>
              </w:rPr>
              <w:t>April 30, 2021</w:t>
            </w:r>
          </w:p>
        </w:tc>
        <w:tc>
          <w:tcPr>
            <w:tcW w:w="2200" w:type="dxa"/>
            <w:vAlign w:val="bottom"/>
          </w:tcPr>
          <w:p>
            <w:pPr>
              <w:jc w:val="center"/>
              <w:spacing w:after="0"/>
              <w:rPr>
                <w:sz w:val="20"/>
                <w:szCs w:val="20"/>
                <w:color w:val="auto"/>
              </w:rPr>
            </w:pPr>
            <w:r>
              <w:rPr>
                <w:rFonts w:ascii="Arial" w:cs="Arial" w:eastAsia="Arial" w:hAnsi="Arial"/>
                <w:sz w:val="18"/>
                <w:szCs w:val="18"/>
                <w:color w:val="auto"/>
                <w:w w:val="86"/>
              </w:rPr>
              <w:t>June 5, 2020</w:t>
            </w:r>
          </w:p>
        </w:tc>
      </w:tr>
      <w:tr>
        <w:trPr>
          <w:trHeight w:val="26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74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rPr>
              <w:t>73%</w:t>
            </w:r>
          </w:p>
        </w:tc>
        <w:tc>
          <w:tcPr>
            <w:tcW w:w="220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rPr>
              <w:t>80%</w:t>
            </w:r>
          </w:p>
        </w:tc>
      </w:tr>
      <w:tr>
        <w:trPr>
          <w:trHeight w:val="250"/>
        </w:trPr>
        <w:tc>
          <w:tcPr>
            <w:tcW w:w="2920" w:type="dxa"/>
            <w:vAlign w:val="bottom"/>
          </w:tcPr>
          <w:p>
            <w:pPr>
              <w:spacing w:after="0"/>
              <w:rPr>
                <w:sz w:val="20"/>
                <w:szCs w:val="20"/>
                <w:color w:val="auto"/>
              </w:rPr>
            </w:pPr>
            <w:r>
              <w:rPr>
                <w:rFonts w:ascii="Arial" w:cs="Arial" w:eastAsia="Arial" w:hAnsi="Arial"/>
                <w:sz w:val="18"/>
                <w:szCs w:val="18"/>
                <w:color w:val="auto"/>
              </w:rPr>
              <w:t>Estimated Term</w:t>
            </w:r>
          </w:p>
        </w:tc>
        <w:tc>
          <w:tcPr>
            <w:tcW w:w="2740" w:type="dxa"/>
            <w:vAlign w:val="bottom"/>
          </w:tcPr>
          <w:p>
            <w:pPr>
              <w:jc w:val="center"/>
              <w:ind w:left="770"/>
              <w:spacing w:after="0"/>
              <w:rPr>
                <w:sz w:val="20"/>
                <w:szCs w:val="20"/>
                <w:color w:val="auto"/>
              </w:rPr>
            </w:pPr>
            <w:r>
              <w:rPr>
                <w:rFonts w:ascii="Arial" w:cs="Arial" w:eastAsia="Arial" w:hAnsi="Arial"/>
                <w:sz w:val="18"/>
                <w:szCs w:val="18"/>
                <w:color w:val="auto"/>
                <w:w w:val="88"/>
              </w:rPr>
              <w:t>4 years</w:t>
            </w:r>
          </w:p>
        </w:tc>
        <w:tc>
          <w:tcPr>
            <w:tcW w:w="22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6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Risk Free Rate</w:t>
            </w:r>
          </w:p>
        </w:tc>
        <w:tc>
          <w:tcPr>
            <w:tcW w:w="274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0.74%</w:t>
            </w:r>
          </w:p>
        </w:tc>
        <w:tc>
          <w:tcPr>
            <w:tcW w:w="22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 xml:space="preserve">Common shares, which include the Company’s Subordinate Voting Shares, Multiple Voting Shares and Super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73" w:lineRule="exact"/>
        <w:rPr>
          <w:sz w:val="20"/>
          <w:szCs w:val="20"/>
          <w:color w:val="auto"/>
        </w:rPr>
      </w:pPr>
    </w:p>
    <w:p>
      <w:pPr>
        <w:ind w:left="1000" w:hanging="448"/>
        <w:spacing w:after="0"/>
        <w:tabs>
          <w:tab w:leader="none" w:pos="10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4"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126" w:lineRule="exact"/>
        <w:rPr>
          <w:rFonts w:ascii="Arial" w:cs="Arial" w:eastAsia="Arial" w:hAnsi="Arial"/>
          <w:sz w:val="18"/>
          <w:szCs w:val="18"/>
          <w:b w:val="1"/>
          <w:bCs w:val="1"/>
          <w:color w:val="auto"/>
        </w:rPr>
      </w:pPr>
    </w:p>
    <w:p>
      <w:pPr>
        <w:ind w:left="1780" w:hanging="567"/>
        <w:spacing w:after="0"/>
        <w:tabs>
          <w:tab w:leader="none" w:pos="178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35" w:lineRule="exact"/>
        <w:rPr>
          <w:sz w:val="20"/>
          <w:szCs w:val="20"/>
          <w:color w:val="auto"/>
        </w:rPr>
      </w:pPr>
    </w:p>
    <w:p>
      <w:pPr>
        <w:ind w:left="1000" w:right="180"/>
        <w:spacing w:after="0" w:line="292" w:lineRule="auto"/>
        <w:rPr>
          <w:sz w:val="20"/>
          <w:szCs w:val="20"/>
          <w:color w:val="auto"/>
        </w:rPr>
      </w:pPr>
      <w:r>
        <w:rPr>
          <w:rFonts w:ascii="Arial" w:cs="Arial" w:eastAsia="Arial" w:hAnsi="Arial"/>
          <w:sz w:val="17"/>
          <w:szCs w:val="17"/>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six months ended June 30, 2021, the shareholders of the Company converted 635 Multiple Voting Shares into 63,500 Subordinate Voting Shares and 11,000 Super Voting Shares into 1,100,000 Subordinate Voting Shares.</w:t>
      </w:r>
    </w:p>
    <w:p>
      <w:pPr>
        <w:spacing w:after="0" w:line="62" w:lineRule="exact"/>
        <w:rPr>
          <w:sz w:val="20"/>
          <w:szCs w:val="20"/>
          <w:color w:val="auto"/>
        </w:rPr>
      </w:pPr>
    </w:p>
    <w:p>
      <w:pPr>
        <w:ind w:left="1660" w:hanging="447"/>
        <w:spacing w:after="0"/>
        <w:tabs>
          <w:tab w:leader="none" w:pos="1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35" w:lineRule="exact"/>
        <w:rPr>
          <w:sz w:val="20"/>
          <w:szCs w:val="20"/>
          <w:color w:val="auto"/>
        </w:rPr>
      </w:pPr>
    </w:p>
    <w:p>
      <w:pPr>
        <w:ind w:left="1000" w:right="60"/>
        <w:spacing w:after="0" w:line="319" w:lineRule="auto"/>
        <w:rPr>
          <w:sz w:val="20"/>
          <w:szCs w:val="20"/>
          <w:color w:val="auto"/>
        </w:rPr>
      </w:pPr>
      <w:r>
        <w:rPr>
          <w:rFonts w:ascii="Arial" w:cs="Arial" w:eastAsia="Arial" w:hAnsi="Arial"/>
          <w:sz w:val="16"/>
          <w:szCs w:val="16"/>
          <w:color w:val="auto"/>
        </w:rPr>
        <w:t>Each Multiple Voting Share is entitled to 100 votes per share at shareholder meetings of the Company and is exchangeable for 100 Subordinate Voting Shares. At June 30, 2021, the Company had 39,654 issued and outstanding Multiple Voting Shares, which convert into 3,965,400 Subordinate Voting Shares. The Company is authorized to issue an unlimited number of Multiple Voting Shares. During the six months ended June 30, 2021, the shareholders of the Company converted 635 Multiple Voting Shares into 63,500 Subordinate Voting Shares.</w:t>
      </w:r>
    </w:p>
    <w:p>
      <w:pPr>
        <w:spacing w:after="0" w:line="44" w:lineRule="exact"/>
        <w:rPr>
          <w:sz w:val="20"/>
          <w:szCs w:val="20"/>
          <w:color w:val="auto"/>
        </w:rPr>
      </w:pPr>
    </w:p>
    <w:p>
      <w:pPr>
        <w:ind w:left="1760" w:hanging="547"/>
        <w:spacing w:after="0"/>
        <w:tabs>
          <w:tab w:leader="none" w:pos="17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Super Voting Shares</w:t>
      </w:r>
    </w:p>
    <w:p>
      <w:pPr>
        <w:spacing w:after="0" w:line="135" w:lineRule="exact"/>
        <w:rPr>
          <w:sz w:val="20"/>
          <w:szCs w:val="20"/>
          <w:color w:val="auto"/>
        </w:rPr>
      </w:pPr>
    </w:p>
    <w:p>
      <w:pPr>
        <w:ind w:left="1000" w:right="160"/>
        <w:spacing w:after="0" w:line="272" w:lineRule="auto"/>
        <w:rPr>
          <w:sz w:val="20"/>
          <w:szCs w:val="20"/>
          <w:color w:val="auto"/>
        </w:rPr>
      </w:pPr>
      <w:r>
        <w:rPr>
          <w:rFonts w:ascii="Arial" w:cs="Arial" w:eastAsia="Arial" w:hAnsi="Arial"/>
          <w:sz w:val="18"/>
          <w:szCs w:val="18"/>
          <w:color w:val="auto"/>
        </w:rPr>
        <w:t>Each Super Voting Share is entitled to 1,000 votes per share at shareholder meetings of the Company and is exchangeable for 100 Subordinate Voting Shares or one Multiple Voting Share. At June 30, 2021, the Company had 301,031 issued and outstanding Super Voting Shares which convert into 30,103,100 Subordinate Voting Shares. The Company is authorized to issue an unlimited number of Super Voting Shares. During the six months ended June 30, 2021, the shareholders of the Company converted 11,000 Super Voting Shares into 1,100,000 Subordinate Voting Shares.</w:t>
      </w:r>
    </w:p>
    <w:p>
      <w:pPr>
        <w:spacing w:after="0" w:line="79" w:lineRule="exact"/>
        <w:rPr>
          <w:sz w:val="20"/>
          <w:szCs w:val="20"/>
          <w:color w:val="auto"/>
        </w:rPr>
      </w:pPr>
    </w:p>
    <w:p>
      <w:pPr>
        <w:ind w:left="1000" w:hanging="448"/>
        <w:spacing w:after="0"/>
        <w:tabs>
          <w:tab w:leader="none" w:pos="10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34"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4"/>
              </w:rPr>
              <w:t>Issued and Outstanding</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9"/>
        </w:trPr>
        <w:tc>
          <w:tcPr>
            <w:tcW w:w="10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Arial" w:cs="Arial" w:eastAsia="Arial" w:hAnsi="Arial"/>
                <w:sz w:val="14"/>
                <w:szCs w:val="14"/>
                <w:b w:val="1"/>
                <w:bCs w:val="1"/>
                <w:color w:val="auto"/>
              </w:rPr>
              <w:t>Subordinate</w:t>
            </w:r>
          </w:p>
        </w:tc>
        <w:tc>
          <w:tcPr>
            <w:tcW w:w="26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Multiple</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Super</w:t>
            </w:r>
          </w:p>
        </w:tc>
        <w:tc>
          <w:tcPr>
            <w:tcW w:w="1020" w:type="dxa"/>
            <w:vAlign w:val="bottom"/>
          </w:tcPr>
          <w:p>
            <w:pPr>
              <w:spacing w:after="0"/>
              <w:rPr>
                <w:sz w:val="15"/>
                <w:szCs w:val="15"/>
                <w:color w:val="auto"/>
              </w:rPr>
            </w:pPr>
          </w:p>
        </w:tc>
      </w:tr>
      <w:tr>
        <w:trPr>
          <w:trHeight w:val="175"/>
        </w:trPr>
        <w:tc>
          <w:tcPr>
            <w:tcW w:w="10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right"/>
              <w:ind w:right="341"/>
              <w:spacing w:after="0"/>
              <w:rPr>
                <w:sz w:val="20"/>
                <w:szCs w:val="20"/>
                <w:color w:val="auto"/>
              </w:rPr>
            </w:pPr>
            <w:r>
              <w:rPr>
                <w:rFonts w:ascii="Arial" w:cs="Arial" w:eastAsia="Arial" w:hAnsi="Arial"/>
                <w:sz w:val="14"/>
                <w:szCs w:val="14"/>
                <w:b w:val="1"/>
                <w:bCs w:val="1"/>
                <w:color w:val="auto"/>
              </w:rPr>
              <w:t>Voting</w:t>
            </w:r>
          </w:p>
        </w:tc>
        <w:tc>
          <w:tcPr>
            <w:tcW w:w="260" w:type="dxa"/>
            <w:vAlign w:val="bottom"/>
          </w:tcPr>
          <w:p>
            <w:pPr>
              <w:spacing w:after="0"/>
              <w:rPr>
                <w:sz w:val="15"/>
                <w:szCs w:val="15"/>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Voting</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Voting</w:t>
            </w:r>
          </w:p>
        </w:tc>
        <w:tc>
          <w:tcPr>
            <w:tcW w:w="1020" w:type="dxa"/>
            <w:vAlign w:val="bottom"/>
          </w:tcPr>
          <w:p>
            <w:pPr>
              <w:spacing w:after="0"/>
              <w:rPr>
                <w:sz w:val="15"/>
                <w:szCs w:val="15"/>
                <w:color w:val="auto"/>
              </w:rPr>
            </w:pPr>
          </w:p>
        </w:tc>
      </w:tr>
      <w:tr>
        <w:trPr>
          <w:trHeight w:val="192"/>
        </w:trPr>
        <w:tc>
          <w:tcPr>
            <w:tcW w:w="1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6"/>
        </w:trPr>
        <w:tc>
          <w:tcPr>
            <w:tcW w:w="1020" w:type="dxa"/>
            <w:vAlign w:val="bottom"/>
          </w:tcPr>
          <w:p>
            <w:pPr>
              <w:spacing w:after="0"/>
              <w:rPr>
                <w:sz w:val="22"/>
                <w:szCs w:val="22"/>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at December 31, 2020</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178,113,221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40,289</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312,031</w:t>
            </w:r>
          </w:p>
        </w:tc>
        <w:tc>
          <w:tcPr>
            <w:tcW w:w="80" w:type="dxa"/>
            <w:vAlign w:val="bottom"/>
            <w:shd w:val="clear" w:color="auto" w:fill="CFF0FC"/>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Issuance of common shares pursuant to S-1</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4,693,991</w:t>
            </w: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r>
      <w:tr>
        <w:trPr>
          <w:trHeight w:val="249"/>
        </w:trPr>
        <w:tc>
          <w:tcPr>
            <w:tcW w:w="1020" w:type="dxa"/>
            <w:vAlign w:val="bottom"/>
          </w:tcPr>
          <w:p>
            <w:pPr>
              <w:spacing w:after="0"/>
              <w:rPr>
                <w:sz w:val="21"/>
                <w:szCs w:val="21"/>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Issuance of shares under business combinations and</w:t>
            </w:r>
          </w:p>
        </w:tc>
        <w:tc>
          <w:tcPr>
            <w:tcW w:w="9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r>
      <w:tr>
        <w:trPr>
          <w:trHeight w:val="244"/>
        </w:trPr>
        <w:tc>
          <w:tcPr>
            <w:tcW w:w="1020" w:type="dxa"/>
            <w:vAlign w:val="bottom"/>
          </w:tcPr>
          <w:p>
            <w:pPr>
              <w:spacing w:after="0"/>
              <w:rPr>
                <w:sz w:val="21"/>
                <w:szCs w:val="21"/>
                <w:color w:val="auto"/>
              </w:rPr>
            </w:pPr>
          </w:p>
        </w:tc>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1,917,214</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r>
      <w:tr>
        <w:trPr>
          <w:trHeight w:val="250"/>
        </w:trPr>
        <w:tc>
          <w:tcPr>
            <w:tcW w:w="10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Distribution of contingent consideration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412,744</w:t>
            </w: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r>
      <w:tr>
        <w:trPr>
          <w:trHeight w:val="263"/>
        </w:trPr>
        <w:tc>
          <w:tcPr>
            <w:tcW w:w="1020" w:type="dxa"/>
            <w:vAlign w:val="bottom"/>
          </w:tcPr>
          <w:p>
            <w:pPr>
              <w:spacing w:after="0"/>
              <w:rPr>
                <w:sz w:val="22"/>
                <w:szCs w:val="22"/>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of deferred shares</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146,315</w:t>
            </w:r>
          </w:p>
        </w:tc>
        <w:tc>
          <w:tcPr>
            <w:tcW w:w="26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r>
      <w:tr>
        <w:trPr>
          <w:trHeight w:val="242"/>
        </w:trPr>
        <w:tc>
          <w:tcPr>
            <w:tcW w:w="10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Issuance of shares upon exercise of options and</w:t>
            </w: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783,415</w:t>
            </w: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r>
      <w:tr>
        <w:trPr>
          <w:trHeight w:val="263"/>
        </w:trPr>
        <w:tc>
          <w:tcPr>
            <w:tcW w:w="1020" w:type="dxa"/>
            <w:vAlign w:val="bottom"/>
          </w:tcPr>
          <w:p>
            <w:pPr>
              <w:spacing w:after="0"/>
              <w:rPr>
                <w:sz w:val="22"/>
                <w:szCs w:val="22"/>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Issuances of shares upon vesting of RSUs</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307,768</w:t>
            </w:r>
          </w:p>
        </w:tc>
        <w:tc>
          <w:tcPr>
            <w:tcW w:w="26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Shares issued in association with notes payable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8,514</w:t>
            </w: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r>
      <w:tr>
        <w:trPr>
          <w:trHeight w:val="263"/>
        </w:trPr>
        <w:tc>
          <w:tcPr>
            <w:tcW w:w="1020" w:type="dxa"/>
            <w:vAlign w:val="bottom"/>
          </w:tcPr>
          <w:p>
            <w:pPr>
              <w:spacing w:after="0"/>
              <w:rPr>
                <w:sz w:val="22"/>
                <w:szCs w:val="22"/>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for settlement of business dispute</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240,000</w:t>
            </w:r>
          </w:p>
        </w:tc>
        <w:tc>
          <w:tcPr>
            <w:tcW w:w="26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Exchange of shares</w:t>
            </w:r>
          </w:p>
        </w:tc>
        <w:tc>
          <w:tcPr>
            <w:tcW w:w="9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1,163,500</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(635 )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(11,000 )</w:t>
            </w:r>
          </w:p>
        </w:tc>
        <w:tc>
          <w:tcPr>
            <w:tcW w:w="1020" w:type="dxa"/>
            <w:vAlign w:val="bottom"/>
          </w:tcPr>
          <w:p>
            <w:pPr>
              <w:spacing w:after="0"/>
              <w:rPr>
                <w:sz w:val="21"/>
                <w:szCs w:val="21"/>
                <w:color w:val="auto"/>
              </w:rPr>
            </w:pPr>
          </w:p>
        </w:tc>
      </w:tr>
      <w:tr>
        <w:trPr>
          <w:trHeight w:val="290"/>
        </w:trPr>
        <w:tc>
          <w:tcPr>
            <w:tcW w:w="1020" w:type="dxa"/>
            <w:vAlign w:val="bottom"/>
          </w:tcPr>
          <w:p>
            <w:pPr>
              <w:spacing w:after="0"/>
              <w:rPr>
                <w:sz w:val="24"/>
                <w:szCs w:val="24"/>
                <w:color w:val="auto"/>
              </w:rPr>
            </w:pPr>
          </w:p>
        </w:tc>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at June 30, 2021</w:t>
            </w:r>
          </w:p>
        </w:tc>
        <w:tc>
          <w:tcPr>
            <w:tcW w:w="9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187,786,682</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39,654</w:t>
            </w:r>
          </w:p>
        </w:tc>
        <w:tc>
          <w:tcPr>
            <w:tcW w:w="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301,031</w:t>
            </w:r>
          </w:p>
        </w:tc>
        <w:tc>
          <w:tcPr>
            <w:tcW w:w="80" w:type="dxa"/>
            <w:vAlign w:val="bottom"/>
            <w:tcBorders>
              <w:bottom w:val="single" w:sz="8" w:color="CFF0FC"/>
            </w:tcBorders>
            <w:shd w:val="clear" w:color="auto" w:fill="CFF0FC"/>
          </w:tcPr>
          <w:p>
            <w:pPr>
              <w:spacing w:after="0"/>
              <w:rPr>
                <w:sz w:val="24"/>
                <w:szCs w:val="24"/>
                <w:color w:val="auto"/>
              </w:rPr>
            </w:pPr>
          </w:p>
        </w:tc>
        <w:tc>
          <w:tcPr>
            <w:tcW w:w="1020" w:type="dxa"/>
            <w:vAlign w:val="bottom"/>
          </w:tcPr>
          <w:p>
            <w:pPr>
              <w:spacing w:after="0"/>
              <w:rPr>
                <w:sz w:val="24"/>
                <w:szCs w:val="24"/>
                <w:color w:val="auto"/>
              </w:rPr>
            </w:pPr>
          </w:p>
        </w:tc>
      </w:tr>
      <w:tr>
        <w:trPr>
          <w:trHeight w:val="716"/>
        </w:trPr>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-574040</wp:posOffset>
            </wp:positionV>
            <wp:extent cx="1625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-556895</wp:posOffset>
            </wp:positionV>
            <wp:extent cx="1625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-574040</wp:posOffset>
            </wp:positionV>
            <wp:extent cx="1454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-556895</wp:posOffset>
            </wp:positionV>
            <wp:extent cx="1454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-574040</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-556895</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jc w:val="center"/>
        <w:ind w:right="-31"/>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72" w:right="27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532" w:hanging="532"/>
        <w:spacing w:after="0"/>
        <w:tabs>
          <w:tab w:leader="none" w:pos="53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38" w:lineRule="exact"/>
        <w:rPr>
          <w:rFonts w:ascii="Arial" w:cs="Arial" w:eastAsia="Arial" w:hAnsi="Arial"/>
          <w:sz w:val="18"/>
          <w:szCs w:val="18"/>
          <w:b w:val="1"/>
          <w:bCs w:val="1"/>
          <w:color w:val="auto"/>
        </w:rPr>
      </w:pPr>
    </w:p>
    <w:p>
      <w:pPr>
        <w:ind w:left="992" w:hanging="448"/>
        <w:spacing w:after="0"/>
        <w:tabs>
          <w:tab w:leader="none" w:pos="992"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72" w:right="4960" w:hanging="443"/>
        <w:spacing w:after="0" w:line="391" w:lineRule="auto"/>
        <w:tabs>
          <w:tab w:leader="none" w:pos="1270" w:val="left"/>
        </w:tabs>
        <w:numPr>
          <w:ilvl w:val="2"/>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Issuance of Shares Under Business Combinations and Investments </w:t>
      </w:r>
      <w:r>
        <w:rPr>
          <w:rFonts w:ascii="Arial" w:cs="Arial" w:eastAsia="Arial" w:hAnsi="Arial"/>
          <w:sz w:val="18"/>
          <w:szCs w:val="18"/>
          <w:i w:val="1"/>
          <w:iCs w:val="1"/>
          <w:color w:val="auto"/>
        </w:rPr>
        <w:t>GTI New Jersey, LLC</w:t>
      </w:r>
    </w:p>
    <w:p>
      <w:pPr>
        <w:ind w:left="1272" w:right="40"/>
        <w:spacing w:after="0" w:line="287"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connection with the Company’s April 23, 2019 acquisition of the non-controlling interest in GTI New Jersey, LLC, the Company agreed to award the previous minority shareholders of the entity up to $3,000,000 in Subordinate Voting Shares. On May 7, 2020, the Company received approval from the New Jersey Department of Health to begin buildout of an additional retail dispensary. As of that date, the Company recorded a current obligation of $2,000,000 representing the maximum value of the shares to be issuable to the former minority shareholders of GTI New Jersey, LLC. On March 15, 2021, one of the retail dispensaries, located in Paramus, New Jersey, was successfully opened. As a result, the Company issued 30,414 Subordinate Voting Shares to the former minority shareholders of GTI New Jersey, LLC. The shares had a fair value of $1,038,307 on the date of issuance. As of June 30, 2021, and December 31, 2020, the Company carried an obligation of $1,000,000 and $2,000,000, respectively, associated with the retail dispensary agreement with the former minority shareholders of GTI New Jersey, LLC.</w:t>
      </w:r>
    </w:p>
    <w:p>
      <w:pPr>
        <w:spacing w:after="0" w:line="69" w:lineRule="exact"/>
        <w:rPr>
          <w:rFonts w:ascii="Arial" w:cs="Arial" w:eastAsia="Arial" w:hAnsi="Arial"/>
          <w:sz w:val="18"/>
          <w:szCs w:val="18"/>
          <w:b w:val="1"/>
          <w:bCs w:val="1"/>
          <w:i w:val="1"/>
          <w:iCs w:val="1"/>
          <w:color w:val="auto"/>
        </w:rPr>
      </w:pPr>
    </w:p>
    <w:p>
      <w:pPr>
        <w:ind w:left="1272" w:right="6880" w:hanging="443"/>
        <w:spacing w:after="0" w:line="414" w:lineRule="auto"/>
        <w:tabs>
          <w:tab w:leader="none" w:pos="1270" w:val="left"/>
        </w:tabs>
        <w:numPr>
          <w:ilvl w:val="2"/>
          <w:numId w:val="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Distribution of Contingent Consideration </w:t>
      </w:r>
      <w:r>
        <w:rPr>
          <w:rFonts w:ascii="Arial" w:cs="Arial" w:eastAsia="Arial" w:hAnsi="Arial"/>
          <w:sz w:val="17"/>
          <w:szCs w:val="17"/>
          <w:i w:val="1"/>
          <w:iCs w:val="1"/>
          <w:color w:val="auto"/>
        </w:rPr>
        <w:t>Integral Associates, LLC</w:t>
      </w:r>
    </w:p>
    <w:p>
      <w:pPr>
        <w:ind w:left="1272"/>
        <w:spacing w:after="0" w:line="269" w:lineRule="auto"/>
        <w:rPr>
          <w:rFonts w:ascii="Arial" w:cs="Arial" w:eastAsia="Arial" w:hAnsi="Arial"/>
          <w:sz w:val="17"/>
          <w:szCs w:val="17"/>
          <w:b w:val="1"/>
          <w:bCs w:val="1"/>
          <w:i w:val="1"/>
          <w:iCs w:val="1"/>
          <w:color w:val="auto"/>
        </w:rPr>
      </w:pPr>
      <w:r>
        <w:rPr>
          <w:rFonts w:ascii="Arial" w:cs="Arial" w:eastAsia="Arial" w:hAnsi="Arial"/>
          <w:sz w:val="18"/>
          <w:szCs w:val="18"/>
          <w:color w:val="auto"/>
        </w:rPr>
        <w:t>In connection with the Company’s 2019 acquisition of Integral Associates, LLC, the purchase agreement included contingent consideration which was dependent upon the awarding of conditional and final dispensary operating licenses. On March 22, 2021, the Company issued 412,744 Subordinate Voting Shares to the former owners of Integral Associates, LLC in connection with the awarding of a final retail dispensary license located in Pasadena, California. The shares had a fair value of $12,672,681 at the date of issuance and resulted in a loss of $8,172,681 which was recorded in other income (expense) in the unaudited interim condensed consolidated statement of operations. In addition, the Company determined that there is a remote likelihood that the Company will obtain retail dispensary operating licenses in either West Hollywood or Culver City, California, under commercially reasonable terms. Consequently, the Company remeasured the contingent liability associated with these milestones which resulted in a reduction to the contingent liability of $7,750,000 with a corresponding reduction to other income (expense) in the unaudited interim condensed consolidated statement of operations.</w:t>
      </w:r>
    </w:p>
    <w:p>
      <w:pPr>
        <w:spacing w:after="0" w:line="83" w:lineRule="exact"/>
        <w:rPr>
          <w:rFonts w:ascii="Arial" w:cs="Arial" w:eastAsia="Arial" w:hAnsi="Arial"/>
          <w:sz w:val="17"/>
          <w:szCs w:val="17"/>
          <w:b w:val="1"/>
          <w:bCs w:val="1"/>
          <w:i w:val="1"/>
          <w:iCs w:val="1"/>
          <w:color w:val="auto"/>
        </w:rPr>
      </w:pPr>
    </w:p>
    <w:p>
      <w:pPr>
        <w:jc w:val="both"/>
        <w:ind w:left="1272" w:right="240"/>
        <w:spacing w:after="0" w:line="279" w:lineRule="auto"/>
        <w:rPr>
          <w:rFonts w:ascii="Arial" w:cs="Arial" w:eastAsia="Arial" w:hAnsi="Arial"/>
          <w:sz w:val="17"/>
          <w:szCs w:val="17"/>
          <w:b w:val="1"/>
          <w:bCs w:val="1"/>
          <w:i w:val="1"/>
          <w:iCs w:val="1"/>
          <w:color w:val="auto"/>
        </w:rPr>
      </w:pPr>
      <w:r>
        <w:rPr>
          <w:rFonts w:ascii="Arial" w:cs="Arial" w:eastAsia="Arial" w:hAnsi="Arial"/>
          <w:sz w:val="18"/>
          <w:szCs w:val="18"/>
          <w:color w:val="auto"/>
        </w:rPr>
        <w:t>As of June 30, 2021 and December 31, 2020, the estimated fair value of the contingent consideration associated with the acquisition of Integral Associates, LLC, which was valued using a probability weighting of the potential payouts, was $14,850,000 and $27,100,000, respectively of which $4,950,000, in each period, was recorded as a non-current liability.</w:t>
      </w:r>
    </w:p>
    <w:p>
      <w:pPr>
        <w:spacing w:after="0" w:line="74" w:lineRule="exact"/>
        <w:rPr>
          <w:rFonts w:ascii="Arial" w:cs="Arial" w:eastAsia="Arial" w:hAnsi="Arial"/>
          <w:sz w:val="17"/>
          <w:szCs w:val="17"/>
          <w:b w:val="1"/>
          <w:bCs w:val="1"/>
          <w:i w:val="1"/>
          <w:iCs w:val="1"/>
          <w:color w:val="auto"/>
        </w:rPr>
      </w:pPr>
    </w:p>
    <w:p>
      <w:pPr>
        <w:ind w:left="1272" w:right="7580" w:hanging="443"/>
        <w:spacing w:after="0" w:line="469" w:lineRule="auto"/>
        <w:tabs>
          <w:tab w:leader="none" w:pos="1270" w:val="left"/>
        </w:tabs>
        <w:numPr>
          <w:ilvl w:val="2"/>
          <w:numId w:val="2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Distribution of Deferred Shares </w:t>
      </w:r>
      <w:r>
        <w:rPr>
          <w:rFonts w:ascii="Arial" w:cs="Arial" w:eastAsia="Arial" w:hAnsi="Arial"/>
          <w:sz w:val="15"/>
          <w:szCs w:val="15"/>
          <w:i w:val="1"/>
          <w:iCs w:val="1"/>
          <w:color w:val="auto"/>
        </w:rPr>
        <w:t>For Success Holding Company</w:t>
      </w:r>
    </w:p>
    <w:p>
      <w:pPr>
        <w:ind w:left="1272" w:right="160"/>
        <w:spacing w:after="0" w:line="314" w:lineRule="auto"/>
        <w:rPr>
          <w:rFonts w:ascii="Arial" w:cs="Arial" w:eastAsia="Arial" w:hAnsi="Arial"/>
          <w:sz w:val="15"/>
          <w:szCs w:val="15"/>
          <w:b w:val="1"/>
          <w:bCs w:val="1"/>
          <w:i w:val="1"/>
          <w:iCs w:val="1"/>
          <w:color w:val="auto"/>
        </w:rPr>
      </w:pPr>
      <w:r>
        <w:rPr>
          <w:rFonts w:ascii="Arial" w:cs="Arial" w:eastAsia="Arial" w:hAnsi="Arial"/>
          <w:sz w:val="16"/>
          <w:szCs w:val="16"/>
          <w:color w:val="auto"/>
        </w:rPr>
        <w:t>As part of the consideration exchanged in the Company’s 2019 acquisition of For Success Holding Company, deferred shares were held back for a period of twenty-four months from the close of the transaction. On February 22, 2021, the Company issued 146,315 Subordinate Voting Shares with a value of $1,825,597 in connection with the Company’s 2019 acquisition of For Success Holding Company. The issuance of the deferred shares represented the final payout to the former owners of For Success Holding Company and resulted in the cancelation of 780 shares valued at $9,732 representing certain reimbursable costs incurred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-5752465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35"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00" w:hanging="448"/>
        <w:spacing w:after="0"/>
        <w:tabs>
          <w:tab w:leader="none" w:pos="100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80" w:hanging="443"/>
        <w:spacing w:after="0"/>
        <w:tabs>
          <w:tab w:leader="none" w:pos="1280" w:val="left"/>
        </w:tabs>
        <w:numPr>
          <w:ilvl w:val="2"/>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of Registered Shares Pursuant to S-1</w:t>
      </w:r>
    </w:p>
    <w:p>
      <w:pPr>
        <w:spacing w:after="0" w:line="130" w:lineRule="exact"/>
        <w:rPr>
          <w:rFonts w:ascii="Arial" w:cs="Arial" w:eastAsia="Arial" w:hAnsi="Arial"/>
          <w:sz w:val="18"/>
          <w:szCs w:val="18"/>
          <w:b w:val="1"/>
          <w:bCs w:val="1"/>
          <w:i w:val="1"/>
          <w:iCs w:val="1"/>
          <w:color w:val="auto"/>
        </w:rPr>
      </w:pPr>
    </w:p>
    <w:p>
      <w:pPr>
        <w:ind w:left="1280" w:right="2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On February 8, 2021, the SEC declared effective the Company’s Registration Statement No. 333-248213 on Form S-1 filed on February 2, 2021. Shortly thereafter, the Company received an offer from a single institutional investor to purchase 3,122,074 of the Subordinate Voting Shares registered on the Form S-1 at a price of $32.03 per share for a total of $100,000,030. The transaction closed on February 9, 2021. On February 23, 2021, the Company accepted additional offers to purchase a total of 1,571,917 Subordinate Voting Shares at a price of $35.50 per share, for a total of $55,803,054. The Company intends to use the net proceeds from the sale of securities for general corporate purposes, which may include capital expenditures, working capital and general and administrative expenses. The Company may also use a portion of the net proceeds to acquire or invest in business and products that are complimentary to the Company’s own business and products. Additionally, the Company incurred legal, audit and other professional fees of $304,944 associated the issuance of the registered shares. Such fees have been recorded within contributed surplus (deficit) within the Company’s unaudited interim condensed consolidated statement of shareholders’ equity.</w:t>
      </w:r>
    </w:p>
    <w:p>
      <w:pPr>
        <w:spacing w:after="0" w:line="69" w:lineRule="exact"/>
        <w:rPr>
          <w:rFonts w:ascii="Arial" w:cs="Arial" w:eastAsia="Arial" w:hAnsi="Arial"/>
          <w:sz w:val="18"/>
          <w:szCs w:val="18"/>
          <w:b w:val="1"/>
          <w:bCs w:val="1"/>
          <w:i w:val="1"/>
          <w:iCs w:val="1"/>
          <w:color w:val="auto"/>
        </w:rPr>
      </w:pPr>
    </w:p>
    <w:p>
      <w:pPr>
        <w:ind w:left="1000" w:hanging="448"/>
        <w:spacing w:after="0"/>
        <w:tabs>
          <w:tab w:leader="none" w:pos="100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34" w:lineRule="exact"/>
        <w:rPr>
          <w:rFonts w:ascii="Arial" w:cs="Arial" w:eastAsia="Arial" w:hAnsi="Arial"/>
          <w:sz w:val="18"/>
          <w:szCs w:val="18"/>
          <w:b w:val="1"/>
          <w:bCs w:val="1"/>
          <w:color w:val="auto"/>
        </w:rPr>
      </w:pPr>
    </w:p>
    <w:p>
      <w:pPr>
        <w:ind w:left="1000" w:right="60"/>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84" w:lineRule="exact"/>
        <w:rPr>
          <w:rFonts w:ascii="Arial" w:cs="Arial" w:eastAsia="Arial" w:hAnsi="Arial"/>
          <w:sz w:val="18"/>
          <w:szCs w:val="18"/>
          <w:b w:val="1"/>
          <w:bCs w:val="1"/>
          <w:color w:val="auto"/>
        </w:rPr>
      </w:pPr>
    </w:p>
    <w:p>
      <w:pPr>
        <w:ind w:left="1000" w:right="80"/>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w:t>
      </w:r>
      <w:r>
        <w:rPr>
          <w:rFonts w:ascii="Arial" w:cs="Arial" w:eastAsia="Arial" w:hAnsi="Arial"/>
          <w:sz w:val="18"/>
          <w:szCs w:val="18"/>
          <w:b w:val="1"/>
          <w:bCs w:val="1"/>
          <w:color w:val="auto"/>
        </w:rPr>
        <w:t>Plan</w:t>
      </w:r>
      <w:r>
        <w:rPr>
          <w:rFonts w:ascii="Arial" w:cs="Arial" w:eastAsia="Arial" w:hAnsi="Arial"/>
          <w:sz w:val="18"/>
          <w:szCs w:val="18"/>
          <w:color w:val="auto"/>
        </w:rPr>
        <w:t>”). The maximum number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and options issued under the Plan shall not exceed 10% of the issued and outstanding shares on an as-converted basis.</w:t>
      </w:r>
    </w:p>
    <w:p>
      <w:pPr>
        <w:spacing w:after="0" w:line="74" w:lineRule="exact"/>
        <w:rPr>
          <w:rFonts w:ascii="Arial" w:cs="Arial" w:eastAsia="Arial" w:hAnsi="Arial"/>
          <w:sz w:val="18"/>
          <w:szCs w:val="18"/>
          <w:b w:val="1"/>
          <w:bCs w:val="1"/>
          <w:color w:val="auto"/>
        </w:rPr>
      </w:pPr>
    </w:p>
    <w:p>
      <w:pPr>
        <w:ind w:left="1000" w:right="12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82" w:lineRule="exact"/>
        <w:rPr>
          <w:rFonts w:ascii="Arial" w:cs="Arial" w:eastAsia="Arial" w:hAnsi="Arial"/>
          <w:sz w:val="18"/>
          <w:szCs w:val="18"/>
          <w:b w:val="1"/>
          <w:bCs w:val="1"/>
          <w:color w:val="auto"/>
        </w:rPr>
      </w:pPr>
    </w:p>
    <w:p>
      <w:pPr>
        <w:ind w:left="1000"/>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p>
    <w:p>
      <w:pPr>
        <w:spacing w:after="0" w:line="74"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Stock option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-5273675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Avereage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Aggregate Intrinsic</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7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Exercise Price C$</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6"/>
        </w:trPr>
        <w:tc>
          <w:tcPr>
            <w:tcW w:w="760" w:type="dxa"/>
            <w:vAlign w:val="bottom"/>
          </w:tcPr>
          <w:p>
            <w:pPr>
              <w:spacing w:after="0"/>
              <w:rPr>
                <w:sz w:val="22"/>
                <w:szCs w:val="22"/>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Balance as at December 31, 2020</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5,664,406</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85,408,034</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1,095,544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37.32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3"/>
        </w:trPr>
        <w:tc>
          <w:tcPr>
            <w:tcW w:w="760" w:type="dxa"/>
            <w:vAlign w:val="bottom"/>
          </w:tcPr>
          <w:p>
            <w:pPr>
              <w:spacing w:after="0"/>
              <w:rPr>
                <w:sz w:val="22"/>
                <w:szCs w:val="22"/>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(557,144 )</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10,968,914</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(383,443 )</w:t>
            </w:r>
          </w:p>
        </w:tc>
        <w:tc>
          <w:tcPr>
            <w:tcW w:w="132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Balance as at June 30, 2021</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5,819,363</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114,062,498</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Vested</w:t>
            </w:r>
          </w:p>
        </w:tc>
        <w:tc>
          <w:tcPr>
            <w:tcW w:w="1700" w:type="dxa"/>
            <w:vAlign w:val="bottom"/>
          </w:tcPr>
          <w:p>
            <w:pPr>
              <w:jc w:val="right"/>
              <w:spacing w:after="0"/>
              <w:rPr>
                <w:sz w:val="20"/>
                <w:szCs w:val="20"/>
                <w:color w:val="auto"/>
              </w:rPr>
            </w:pPr>
            <w:r>
              <w:rPr>
                <w:rFonts w:ascii="Arial" w:cs="Arial" w:eastAsia="Arial" w:hAnsi="Arial"/>
                <w:sz w:val="18"/>
                <w:szCs w:val="18"/>
                <w:color w:val="auto"/>
              </w:rPr>
              <w:t>2,635,677</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3"/>
        </w:trPr>
        <w:tc>
          <w:tcPr>
            <w:tcW w:w="760" w:type="dxa"/>
            <w:vAlign w:val="bottom"/>
          </w:tcPr>
          <w:p>
            <w:pPr>
              <w:spacing w:after="0"/>
              <w:rPr>
                <w:sz w:val="22"/>
                <w:szCs w:val="22"/>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June 30, 2021</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1,852,007</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42,582,624</w:t>
            </w:r>
          </w:p>
        </w:tc>
        <w:tc>
          <w:tcPr>
            <w:tcW w:w="100" w:type="dxa"/>
            <w:vAlign w:val="bottom"/>
            <w:shd w:val="clear" w:color="auto" w:fill="CFF0FC"/>
          </w:tcPr>
          <w:p>
            <w:pPr>
              <w:spacing w:after="0"/>
              <w:rPr>
                <w:sz w:val="22"/>
                <w:szCs w:val="22"/>
                <w:color w:val="auto"/>
              </w:rPr>
            </w:pPr>
          </w:p>
        </w:tc>
        <w:tc>
          <w:tcPr>
            <w:tcW w:w="720" w:type="dxa"/>
            <w:vAlign w:val="bottom"/>
          </w:tcPr>
          <w:p>
            <w:pPr>
              <w:spacing w:after="0"/>
              <w:rPr>
                <w:sz w:val="22"/>
                <w:szCs w:val="22"/>
                <w:color w:val="auto"/>
              </w:rPr>
            </w:pPr>
          </w:p>
        </w:tc>
      </w:tr>
      <w:tr>
        <w:trPr>
          <w:trHeight w:val="729"/>
        </w:trPr>
        <w:tc>
          <w:tcPr>
            <w:tcW w:w="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jc w:val="center"/>
        <w:ind w:right="-71"/>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72" w:right="270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391" w:lineRule="exact"/>
        <w:rPr>
          <w:sz w:val="20"/>
          <w:szCs w:val="20"/>
          <w:color w:val="auto"/>
        </w:rPr>
      </w:pPr>
    </w:p>
    <w:p>
      <w:pPr>
        <w:ind w:left="532" w:hanging="532"/>
        <w:spacing w:after="0"/>
        <w:tabs>
          <w:tab w:leader="none" w:pos="53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12" w:hanging="468"/>
        <w:spacing w:after="0"/>
        <w:tabs>
          <w:tab w:leader="none" w:pos="101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992"/>
        <w:spacing w:after="0" w:line="272"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June 30, 2021 and December 31, 2020, respectively, and the exercise price, multiplied by the number of in-the-money options) that would have been received by the option holders had all option holders exercised their in-the-money options on June 30, 2021 and December 31, 2020. This amount will change in future periods based on the fair market value of the Company’s Subordinate Voting Shares and the number of options outstanding.</w:t>
      </w:r>
    </w:p>
    <w:p>
      <w:pPr>
        <w:spacing w:after="0" w:line="83" w:lineRule="exact"/>
        <w:rPr>
          <w:sz w:val="20"/>
          <w:szCs w:val="20"/>
          <w:color w:val="auto"/>
        </w:rPr>
      </w:pPr>
    </w:p>
    <w:p>
      <w:pPr>
        <w:ind w:left="992"/>
        <w:spacing w:after="0"/>
        <w:rPr>
          <w:sz w:val="20"/>
          <w:szCs w:val="20"/>
          <w:color w:val="auto"/>
        </w:rPr>
      </w:pPr>
      <w:r>
        <w:rPr>
          <w:rFonts w:ascii="Arial" w:cs="Arial" w:eastAsia="Arial" w:hAnsi="Arial"/>
          <w:sz w:val="16"/>
          <w:szCs w:val="16"/>
          <w:color w:val="auto"/>
        </w:rPr>
        <w:t>The following table summarizes the weighted average grant date fair value and intrinsic value of options exercised for the six months ended</w:t>
      </w:r>
    </w:p>
    <w:p>
      <w:pPr>
        <w:spacing w:after="0" w:line="46" w:lineRule="exact"/>
        <w:rPr>
          <w:sz w:val="20"/>
          <w:szCs w:val="20"/>
          <w:color w:val="auto"/>
        </w:rPr>
      </w:pPr>
    </w:p>
    <w:p>
      <w:pPr>
        <w:ind w:left="992"/>
        <w:spacing w:after="0"/>
        <w:rPr>
          <w:sz w:val="20"/>
          <w:szCs w:val="20"/>
          <w:color w:val="auto"/>
        </w:rPr>
      </w:pPr>
      <w:r>
        <w:rPr>
          <w:rFonts w:ascii="Arial" w:cs="Arial" w:eastAsia="Arial" w:hAnsi="Arial"/>
          <w:sz w:val="18"/>
          <w:szCs w:val="18"/>
          <w:color w:val="auto"/>
        </w:rPr>
        <w:t>June 30, 2021 and 2020:</w:t>
      </w:r>
    </w:p>
    <w:p>
      <w:pPr>
        <w:spacing w:after="0" w:line="297" w:lineRule="exact"/>
        <w:rPr>
          <w:sz w:val="20"/>
          <w:szCs w:val="20"/>
          <w:color w:val="auto"/>
        </w:rPr>
      </w:pPr>
    </w:p>
    <w:tbl>
      <w:tblPr>
        <w:tblLayout w:type="fixed"/>
        <w:tblInd w:w="512"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6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13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w w:val="94"/>
              </w:rPr>
              <w:t>Weighted average grant date fair value (per share) of stock option units granted (C$)</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420" w:type="dxa"/>
            <w:vAlign w:val="bottom"/>
            <w:shd w:val="clear" w:color="auto" w:fill="CFF0FC"/>
          </w:tcPr>
          <w:p>
            <w:pPr>
              <w:jc w:val="center"/>
              <w:ind w:left="50"/>
              <w:spacing w:after="0"/>
              <w:rPr>
                <w:sz w:val="20"/>
                <w:szCs w:val="20"/>
                <w:color w:val="auto"/>
              </w:rPr>
            </w:pPr>
            <w:r>
              <w:rPr>
                <w:rFonts w:ascii="Arial" w:cs="Arial" w:eastAsia="Arial" w:hAnsi="Arial"/>
                <w:sz w:val="18"/>
                <w:szCs w:val="18"/>
                <w:color w:val="auto"/>
                <w:w w:val="86"/>
              </w:rPr>
              <w:t>C$</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FF0FC"/>
          </w:tcPr>
          <w:p>
            <w:pPr>
              <w:spacing w:after="0"/>
              <w:rPr>
                <w:sz w:val="22"/>
                <w:szCs w:val="22"/>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w w:val="95"/>
              </w:rPr>
              <w:t>Intrinsic value of stock option units exercised, using market price at vest date (US$)</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10,968,914</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24,293</w:t>
            </w:r>
          </w:p>
        </w:tc>
        <w:tc>
          <w:tcPr>
            <w:tcW w:w="100" w:type="dxa"/>
            <w:vAlign w:val="bottom"/>
          </w:tcPr>
          <w:p>
            <w:pPr>
              <w:spacing w:after="0"/>
              <w:rPr>
                <w:sz w:val="21"/>
                <w:szCs w:val="21"/>
                <w:color w:val="auto"/>
              </w:rPr>
            </w:pPr>
          </w:p>
        </w:tc>
      </w:tr>
    </w:tbl>
    <w:p>
      <w:pPr>
        <w:spacing w:after="0" w:line="283" w:lineRule="exact"/>
        <w:rPr>
          <w:sz w:val="20"/>
          <w:szCs w:val="20"/>
          <w:color w:val="auto"/>
        </w:rPr>
      </w:pPr>
    </w:p>
    <w:p>
      <w:pPr>
        <w:ind w:left="992"/>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granted during the six months ended</w:t>
      </w:r>
    </w:p>
    <w:p>
      <w:pPr>
        <w:spacing w:after="0" w:line="46" w:lineRule="exact"/>
        <w:rPr>
          <w:sz w:val="20"/>
          <w:szCs w:val="20"/>
          <w:color w:val="auto"/>
        </w:rPr>
      </w:pPr>
    </w:p>
    <w:p>
      <w:pPr>
        <w:ind w:left="992"/>
        <w:spacing w:after="0"/>
        <w:rPr>
          <w:sz w:val="20"/>
          <w:szCs w:val="20"/>
          <w:color w:val="auto"/>
        </w:rPr>
      </w:pPr>
      <w:r>
        <w:rPr>
          <w:rFonts w:ascii="Arial" w:cs="Arial" w:eastAsia="Arial" w:hAnsi="Arial"/>
          <w:sz w:val="18"/>
          <w:szCs w:val="18"/>
          <w:color w:val="auto"/>
        </w:rPr>
        <w:t>June 30, 2021 and the year ended December 31, 2020, using the following ranges of assumptions:</w:t>
      </w:r>
    </w:p>
    <w:p>
      <w:pPr>
        <w:spacing w:after="0" w:line="324" w:lineRule="exact"/>
        <w:rPr>
          <w:sz w:val="20"/>
          <w:szCs w:val="20"/>
          <w:color w:val="auto"/>
        </w:rPr>
      </w:pPr>
    </w:p>
    <w:tbl>
      <w:tblPr>
        <w:tblLayout w:type="fixed"/>
        <w:tblInd w:w="1632"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56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June 30,</w:t>
            </w:r>
          </w:p>
        </w:tc>
        <w:tc>
          <w:tcPr>
            <w:tcW w:w="1540" w:type="dxa"/>
            <w:vAlign w:val="bottom"/>
          </w:tcPr>
          <w:p>
            <w:pPr>
              <w:jc w:val="center"/>
              <w:ind w:left="56"/>
              <w:spacing w:after="0"/>
              <w:rPr>
                <w:sz w:val="20"/>
                <w:szCs w:val="20"/>
                <w:color w:val="auto"/>
              </w:rPr>
            </w:pPr>
            <w:r>
              <w:rPr>
                <w:rFonts w:ascii="Arial" w:cs="Arial" w:eastAsia="Arial" w:hAnsi="Arial"/>
                <w:sz w:val="14"/>
                <w:szCs w:val="14"/>
                <w:b w:val="1"/>
                <w:bCs w:val="1"/>
                <w:color w:val="auto"/>
                <w:w w:val="92"/>
              </w:rPr>
              <w:t>December 31,</w:t>
            </w:r>
          </w:p>
        </w:tc>
      </w:tr>
      <w:tr>
        <w:trPr>
          <w:trHeight w:val="222"/>
        </w:trPr>
        <w:tc>
          <w:tcPr>
            <w:tcW w:w="4860" w:type="dxa"/>
            <w:vAlign w:val="bottom"/>
          </w:tcPr>
          <w:p>
            <w:pPr>
              <w:spacing w:after="0"/>
              <w:rPr>
                <w:sz w:val="19"/>
                <w:szCs w:val="19"/>
                <w:color w:val="auto"/>
              </w:rPr>
            </w:pPr>
          </w:p>
        </w:tc>
        <w:tc>
          <w:tcPr>
            <w:tcW w:w="1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2021</w:t>
            </w:r>
          </w:p>
        </w:tc>
        <w:tc>
          <w:tcPr>
            <w:tcW w:w="154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89"/>
              </w:rPr>
              <w:t>2020</w:t>
            </w:r>
          </w:p>
        </w:tc>
      </w:tr>
      <w:tr>
        <w:trPr>
          <w:trHeight w:val="25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0.33% - 0.74%</w:t>
            </w:r>
          </w:p>
        </w:tc>
        <w:tc>
          <w:tcPr>
            <w:tcW w:w="1540" w:type="dxa"/>
            <w:vAlign w:val="bottom"/>
            <w:shd w:val="clear" w:color="auto" w:fill="CFF0FC"/>
          </w:tcPr>
          <w:p>
            <w:pPr>
              <w:jc w:val="center"/>
              <w:ind w:left="56"/>
              <w:spacing w:after="0"/>
              <w:rPr>
                <w:sz w:val="20"/>
                <w:szCs w:val="20"/>
                <w:color w:val="auto"/>
              </w:rPr>
            </w:pPr>
            <w:r>
              <w:rPr>
                <w:rFonts w:ascii="Arial" w:cs="Arial" w:eastAsia="Arial" w:hAnsi="Arial"/>
                <w:sz w:val="18"/>
                <w:szCs w:val="18"/>
                <w:color w:val="auto"/>
                <w:w w:val="91"/>
              </w:rPr>
              <w:t>0.31% - 1.37%</w:t>
            </w: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540" w:type="dxa"/>
            <w:vAlign w:val="bottom"/>
          </w:tcPr>
          <w:p>
            <w:pPr>
              <w:jc w:val="center"/>
              <w:ind w:left="56"/>
              <w:spacing w:after="0"/>
              <w:rPr>
                <w:sz w:val="20"/>
                <w:szCs w:val="20"/>
                <w:color w:val="auto"/>
              </w:rPr>
            </w:pPr>
            <w:r>
              <w:rPr>
                <w:rFonts w:ascii="Arial" w:cs="Arial" w:eastAsia="Arial" w:hAnsi="Arial"/>
                <w:sz w:val="18"/>
                <w:szCs w:val="18"/>
                <w:color w:val="auto"/>
                <w:w w:val="92"/>
              </w:rPr>
              <w:t>0%</w:t>
            </w: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FF0FC"/>
          </w:tcPr>
          <w:p>
            <w:pPr>
              <w:jc w:val="center"/>
              <w:ind w:right="16"/>
              <w:spacing w:after="0"/>
              <w:rPr>
                <w:sz w:val="20"/>
                <w:szCs w:val="20"/>
                <w:color w:val="auto"/>
              </w:rPr>
            </w:pPr>
            <w:r>
              <w:rPr>
                <w:rFonts w:ascii="Arial" w:cs="Arial" w:eastAsia="Arial" w:hAnsi="Arial"/>
                <w:sz w:val="18"/>
                <w:szCs w:val="18"/>
                <w:color w:val="auto"/>
                <w:w w:val="94"/>
              </w:rPr>
              <w:t>73%</w:t>
            </w:r>
          </w:p>
        </w:tc>
        <w:tc>
          <w:tcPr>
            <w:tcW w:w="1540" w:type="dxa"/>
            <w:vAlign w:val="bottom"/>
            <w:shd w:val="clear" w:color="auto" w:fill="CFF0FC"/>
          </w:tcPr>
          <w:p>
            <w:pPr>
              <w:jc w:val="center"/>
              <w:ind w:left="56"/>
              <w:spacing w:after="0"/>
              <w:rPr>
                <w:sz w:val="20"/>
                <w:szCs w:val="20"/>
                <w:color w:val="auto"/>
              </w:rPr>
            </w:pPr>
            <w:r>
              <w:rPr>
                <w:rFonts w:ascii="Arial" w:cs="Arial" w:eastAsia="Arial" w:hAnsi="Arial"/>
                <w:sz w:val="18"/>
                <w:szCs w:val="18"/>
                <w:color w:val="auto"/>
                <w:w w:val="88"/>
              </w:rPr>
              <w:t>80%</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Expected option life</w:t>
            </w:r>
          </w:p>
        </w:tc>
        <w:tc>
          <w:tcPr>
            <w:tcW w:w="1560" w:type="dxa"/>
            <w:vAlign w:val="bottom"/>
          </w:tcPr>
          <w:p>
            <w:pPr>
              <w:jc w:val="center"/>
              <w:ind w:right="16"/>
              <w:spacing w:after="0"/>
              <w:rPr>
                <w:sz w:val="20"/>
                <w:szCs w:val="20"/>
                <w:color w:val="auto"/>
              </w:rPr>
            </w:pPr>
            <w:r>
              <w:rPr>
                <w:rFonts w:ascii="Arial" w:cs="Arial" w:eastAsia="Arial" w:hAnsi="Arial"/>
                <w:sz w:val="18"/>
                <w:szCs w:val="18"/>
                <w:color w:val="auto"/>
                <w:w w:val="89"/>
              </w:rPr>
              <w:t>3 - 3.5 years</w:t>
            </w:r>
          </w:p>
        </w:tc>
        <w:tc>
          <w:tcPr>
            <w:tcW w:w="1540" w:type="dxa"/>
            <w:vAlign w:val="bottom"/>
          </w:tcPr>
          <w:p>
            <w:pPr>
              <w:jc w:val="center"/>
              <w:ind w:left="56"/>
              <w:spacing w:after="0"/>
              <w:rPr>
                <w:sz w:val="20"/>
                <w:szCs w:val="20"/>
                <w:color w:val="auto"/>
              </w:rPr>
            </w:pPr>
            <w:r>
              <w:rPr>
                <w:rFonts w:ascii="Arial" w:cs="Arial" w:eastAsia="Arial" w:hAnsi="Arial"/>
                <w:sz w:val="18"/>
                <w:szCs w:val="18"/>
                <w:color w:val="auto"/>
                <w:w w:val="89"/>
              </w:rPr>
              <w:t>3 - 5 years</w:t>
            </w:r>
          </w:p>
        </w:tc>
      </w:tr>
    </w:tbl>
    <w:p>
      <w:pPr>
        <w:spacing w:after="0" w:line="28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As permitted under ASC 718, the Company has made an accounting policy choice to account for forfeitures when they occur.</w:t>
      </w:r>
    </w:p>
    <w:p>
      <w:pPr>
        <w:spacing w:after="0" w:line="131" w:lineRule="exact"/>
        <w:rPr>
          <w:sz w:val="20"/>
          <w:szCs w:val="20"/>
          <w:color w:val="auto"/>
        </w:rPr>
      </w:pPr>
    </w:p>
    <w:p>
      <w:pPr>
        <w:ind w:left="992" w:right="100"/>
        <w:spacing w:after="0" w:line="293" w:lineRule="auto"/>
        <w:rPr>
          <w:sz w:val="20"/>
          <w:szCs w:val="20"/>
          <w:color w:val="auto"/>
        </w:rPr>
      </w:pPr>
      <w:r>
        <w:rPr>
          <w:rFonts w:ascii="Arial" w:cs="Arial" w:eastAsia="Arial" w:hAnsi="Arial"/>
          <w:sz w:val="18"/>
          <w:szCs w:val="18"/>
          <w:color w:val="auto"/>
        </w:rPr>
        <w:t>The following table summarizes the number of non-vested RSU awards as of June 30, 2021 and December 31, 2020 and the changes during the six months ended June 30, 2021:</w:t>
      </w:r>
    </w:p>
    <w:p>
      <w:pPr>
        <w:spacing w:after="0" w:line="229" w:lineRule="exact"/>
        <w:rPr>
          <w:sz w:val="20"/>
          <w:szCs w:val="20"/>
          <w:color w:val="auto"/>
        </w:rPr>
      </w:pPr>
    </w:p>
    <w:tbl>
      <w:tblPr>
        <w:tblLayout w:type="fixed"/>
        <w:tblInd w:w="1692"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5"/>
                <w:szCs w:val="15"/>
                <w:color w:val="auto"/>
              </w:rPr>
            </w:pPr>
          </w:p>
        </w:tc>
      </w:tr>
      <w:tr>
        <w:trPr>
          <w:trHeight w:val="175"/>
        </w:trPr>
        <w:tc>
          <w:tcPr>
            <w:tcW w:w="4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80" w:type="dxa"/>
            <w:vAlign w:val="bottom"/>
          </w:tcPr>
          <w:p>
            <w:pPr>
              <w:spacing w:after="0"/>
              <w:rPr>
                <w:sz w:val="15"/>
                <w:szCs w:val="15"/>
                <w:color w:val="auto"/>
              </w:rPr>
            </w:pPr>
          </w:p>
        </w:tc>
      </w:tr>
      <w:tr>
        <w:trPr>
          <w:trHeight w:val="192"/>
        </w:trPr>
        <w:tc>
          <w:tcPr>
            <w:tcW w:w="47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Number of Shares</w:t>
            </w: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6"/>
                <w:szCs w:val="16"/>
                <w:color w:val="auto"/>
              </w:rPr>
            </w:pPr>
          </w:p>
        </w:tc>
      </w:tr>
      <w:tr>
        <w:trPr>
          <w:trHeight w:val="25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Nonvested Shares at December 31, 2020</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689,340</w:t>
            </w:r>
          </w:p>
        </w:tc>
        <w:tc>
          <w:tcPr>
            <w:tcW w:w="80" w:type="dxa"/>
            <w:vAlign w:val="bottom"/>
            <w:shd w:val="clear" w:color="auto" w:fill="CFF0FC"/>
          </w:tcPr>
          <w:p>
            <w:pPr>
              <w:spacing w:after="0"/>
              <w:rPr>
                <w:sz w:val="22"/>
                <w:szCs w:val="22"/>
                <w:color w:val="auto"/>
              </w:rPr>
            </w:pPr>
          </w:p>
        </w:tc>
        <w:tc>
          <w:tcPr>
            <w:tcW w:w="1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80" w:type="dxa"/>
            <w:vAlign w:val="bottom"/>
            <w:shd w:val="clear" w:color="auto" w:fill="CFF0FC"/>
          </w:tcPr>
          <w:p>
            <w:pPr>
              <w:spacing w:after="0"/>
              <w:rPr>
                <w:sz w:val="22"/>
                <w:szCs w:val="22"/>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89,666</w:t>
            </w:r>
          </w:p>
        </w:tc>
        <w:tc>
          <w:tcPr>
            <w:tcW w:w="8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38.37</w:t>
            </w:r>
          </w:p>
        </w:tc>
        <w:tc>
          <w:tcPr>
            <w:tcW w:w="80" w:type="dxa"/>
            <w:vAlign w:val="bottom"/>
          </w:tcPr>
          <w:p>
            <w:pPr>
              <w:spacing w:after="0"/>
              <w:rPr>
                <w:sz w:val="21"/>
                <w:szCs w:val="21"/>
                <w:color w:val="auto"/>
              </w:rPr>
            </w:pPr>
          </w:p>
        </w:tc>
      </w:tr>
      <w:tr>
        <w:trPr>
          <w:trHeight w:val="26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(79,502 )</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FF0FC"/>
          </w:tcPr>
          <w:p>
            <w:pPr>
              <w:spacing w:after="0"/>
              <w:rPr>
                <w:sz w:val="22"/>
                <w:szCs w:val="22"/>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(307,768 )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Pr>
          <w:p>
            <w:pPr>
              <w:spacing w:after="0"/>
              <w:rPr>
                <w:sz w:val="21"/>
                <w:szCs w:val="21"/>
                <w:color w:val="auto"/>
              </w:rPr>
            </w:pPr>
          </w:p>
        </w:tc>
      </w:tr>
      <w:tr>
        <w:trPr>
          <w:trHeight w:val="25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Nonvested Shares at June 30,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391,736</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ind w:left="992"/>
        <w:spacing w:after="0"/>
        <w:rPr>
          <w:sz w:val="20"/>
          <w:szCs w:val="20"/>
          <w:color w:val="auto"/>
        </w:rPr>
      </w:pPr>
      <w:r>
        <w:rPr>
          <w:rFonts w:ascii="Arial" w:cs="Arial" w:eastAsia="Arial" w:hAnsi="Arial"/>
          <w:sz w:val="17"/>
          <w:szCs w:val="17"/>
          <w:color w:val="auto"/>
        </w:rPr>
        <w:t>The following table summarizes the weighted average grant date fair value and total fair value of RSUs vested for the six months ended</w:t>
      </w:r>
    </w:p>
    <w:p>
      <w:pPr>
        <w:spacing w:after="0" w:line="35" w:lineRule="exact"/>
        <w:rPr>
          <w:sz w:val="20"/>
          <w:szCs w:val="20"/>
          <w:color w:val="auto"/>
        </w:rPr>
      </w:pPr>
    </w:p>
    <w:p>
      <w:pPr>
        <w:ind w:left="992"/>
        <w:spacing w:after="0"/>
        <w:rPr>
          <w:sz w:val="20"/>
          <w:szCs w:val="20"/>
          <w:color w:val="auto"/>
        </w:rPr>
      </w:pPr>
      <w:r>
        <w:rPr>
          <w:rFonts w:ascii="Arial" w:cs="Arial" w:eastAsia="Arial" w:hAnsi="Arial"/>
          <w:sz w:val="18"/>
          <w:szCs w:val="18"/>
          <w:color w:val="auto"/>
        </w:rPr>
        <w:t>June 30, 2021 and 2020:</w:t>
      </w:r>
    </w:p>
    <w:p>
      <w:pPr>
        <w:spacing w:after="0" w:line="297" w:lineRule="exact"/>
        <w:rPr>
          <w:sz w:val="20"/>
          <w:szCs w:val="20"/>
          <w:color w:val="auto"/>
        </w:rPr>
      </w:pPr>
    </w:p>
    <w:tbl>
      <w:tblPr>
        <w:tblLayout w:type="fixed"/>
        <w:tblInd w:w="572"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2"/>
              </w:rPr>
              <w:t>Six Months Ended 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r>
      <w:tr>
        <w:trPr>
          <w:trHeight w:val="242"/>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4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of granted (C$)</w:t>
            </w:r>
          </w:p>
        </w:tc>
        <w:tc>
          <w:tcPr>
            <w:tcW w:w="1440" w:type="dxa"/>
            <w:vAlign w:val="bottom"/>
            <w:shd w:val="clear" w:color="auto" w:fill="CFF0FC"/>
          </w:tcPr>
          <w:p>
            <w:pPr>
              <w:jc w:val="center"/>
              <w:ind w:left="990"/>
              <w:spacing w:after="0"/>
              <w:rPr>
                <w:sz w:val="20"/>
                <w:szCs w:val="20"/>
                <w:color w:val="auto"/>
              </w:rPr>
            </w:pPr>
            <w:r>
              <w:rPr>
                <w:rFonts w:ascii="Arial" w:cs="Arial" w:eastAsia="Arial" w:hAnsi="Arial"/>
                <w:sz w:val="18"/>
                <w:szCs w:val="18"/>
                <w:color w:val="auto"/>
                <w:w w:val="86"/>
              </w:rPr>
              <w:t>C$</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1200" w:type="dxa"/>
            <w:vAlign w:val="bottom"/>
            <w:gridSpan w:val="2"/>
            <w:shd w:val="clear" w:color="auto" w:fill="CFF0FC"/>
          </w:tcPr>
          <w:p>
            <w:pPr>
              <w:jc w:val="center"/>
              <w:ind w:right="660"/>
              <w:spacing w:after="0"/>
              <w:rPr>
                <w:sz w:val="20"/>
                <w:szCs w:val="20"/>
                <w:color w:val="auto"/>
              </w:rPr>
            </w:pPr>
            <w:r>
              <w:rPr>
                <w:rFonts w:ascii="Arial" w:cs="Arial" w:eastAsia="Arial" w:hAnsi="Arial"/>
                <w:sz w:val="18"/>
                <w:szCs w:val="18"/>
                <w:color w:val="auto"/>
                <w:w w:val="95"/>
              </w:rPr>
              <w:t>C$</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FF0FC"/>
          </w:tcPr>
          <w:p>
            <w:pPr>
              <w:spacing w:after="0"/>
              <w:rPr>
                <w:sz w:val="21"/>
                <w:szCs w:val="2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18"/>
                <w:szCs w:val="18"/>
                <w:color w:val="auto"/>
              </w:rPr>
              <w:t>Intrinsic value of RSUs vested, using market</w:t>
            </w:r>
          </w:p>
        </w:tc>
        <w:tc>
          <w:tcPr>
            <w:tcW w:w="1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price at vest date (US$)</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9,254,928</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650,463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72"/>
          </w:cols>
          <w:pgMar w:left="328" w:top="135" w:right="399" w:bottom="1440" w:gutter="0" w:footer="0" w:header="0"/>
        </w:sectPr>
      </w:pPr>
    </w:p>
    <w:p>
      <w:pPr>
        <w:spacing w:after="0" w:line="312"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35" w:right="39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20" w:hanging="468"/>
        <w:spacing w:after="0"/>
        <w:tabs>
          <w:tab w:leader="none" w:pos="10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stock-based compensation expense for the three and six months ended June 30, 2021 and 2020 was as follows:</w:t>
      </w:r>
    </w:p>
    <w:p>
      <w:pPr>
        <w:spacing w:after="0" w:line="200" w:lineRule="exact"/>
        <w:rPr>
          <w:sz w:val="20"/>
          <w:szCs w:val="20"/>
          <w:color w:val="auto"/>
        </w:rPr>
      </w:pPr>
    </w:p>
    <w:p>
      <w:pPr>
        <w:spacing w:after="0" w:line="300"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5"/>
              </w:rPr>
              <w:t>For the Three Months Ended June 30,</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6"/>
              </w:rPr>
              <w:t>For the Six Months Ended June 30,</w:t>
            </w:r>
          </w:p>
        </w:tc>
        <w:tc>
          <w:tcPr>
            <w:tcW w:w="80" w:type="dxa"/>
            <w:vAlign w:val="bottom"/>
          </w:tcPr>
          <w:p>
            <w:pPr>
              <w:spacing w:after="0"/>
              <w:rPr>
                <w:sz w:val="16"/>
                <w:szCs w:val="16"/>
                <w:color w:val="auto"/>
              </w:rPr>
            </w:pPr>
          </w:p>
        </w:tc>
      </w:tr>
      <w:tr>
        <w:trPr>
          <w:trHeight w:val="196"/>
        </w:trPr>
        <w:tc>
          <w:tcPr>
            <w:tcW w:w="4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3,709,080</w:t>
            </w: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2,904,127</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6,337,938</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5,595,284</w:t>
            </w:r>
          </w:p>
        </w:tc>
        <w:tc>
          <w:tcPr>
            <w:tcW w:w="80" w:type="dxa"/>
            <w:vAlign w:val="bottom"/>
            <w:shd w:val="clear" w:color="auto" w:fill="CFF0FC"/>
          </w:tcPr>
          <w:p>
            <w:pPr>
              <w:spacing w:after="0"/>
              <w:rPr>
                <w:sz w:val="22"/>
                <w:szCs w:val="22"/>
                <w:color w:val="auto"/>
              </w:rPr>
            </w:pPr>
          </w:p>
        </w:tc>
      </w:tr>
      <w:tr>
        <w:trPr>
          <w:trHeight w:val="250"/>
        </w:trPr>
        <w:tc>
          <w:tcPr>
            <w:tcW w:w="40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1,963,603</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2,796,017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3,365,400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5,178,602</w:t>
            </w:r>
          </w:p>
        </w:tc>
        <w:tc>
          <w:tcPr>
            <w:tcW w:w="80" w:type="dxa"/>
            <w:vAlign w:val="bottom"/>
          </w:tcPr>
          <w:p>
            <w:pPr>
              <w:spacing w:after="0"/>
              <w:rPr>
                <w:sz w:val="21"/>
                <w:szCs w:val="21"/>
                <w:color w:val="auto"/>
              </w:rPr>
            </w:pPr>
          </w:p>
        </w:tc>
      </w:tr>
      <w:tr>
        <w:trPr>
          <w:trHeight w:val="290"/>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 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5,672,683</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5,700,144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9,703,338</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10,773,886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1289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1289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1797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1797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1289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289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-24765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left="1000" w:right="300"/>
        <w:spacing w:after="0" w:line="293" w:lineRule="auto"/>
        <w:rPr>
          <w:sz w:val="20"/>
          <w:szCs w:val="20"/>
          <w:color w:val="auto"/>
        </w:rPr>
      </w:pPr>
      <w:r>
        <w:rPr>
          <w:rFonts w:ascii="Arial" w:cs="Arial" w:eastAsia="Arial" w:hAnsi="Arial"/>
          <w:sz w:val="18"/>
          <w:szCs w:val="18"/>
          <w:color w:val="auto"/>
        </w:rPr>
        <w:t>As of June 30, 2021, $28,327,907 of total unrecognized expense related to stock-based compensation awards is expected to be recognized over a weighted-average period of 2.05 years.</w:t>
      </w:r>
    </w:p>
    <w:p>
      <w:pPr>
        <w:spacing w:after="0" w:line="166"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income tax expense and effective tax rates for the three and six months ended June 30, 2021 and 2020:</w:t>
      </w:r>
    </w:p>
    <w:p>
      <w:pPr>
        <w:spacing w:after="0" w:line="388"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27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38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2"/>
                <w:szCs w:val="22"/>
                <w:color w:val="auto"/>
              </w:rPr>
            </w:pPr>
          </w:p>
        </w:tc>
      </w:tr>
      <w:tr>
        <w:trPr>
          <w:trHeight w:val="25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53,301,523</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3,614,778</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95,612,669</w:t>
            </w: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13,000,218</w:t>
            </w:r>
          </w:p>
        </w:tc>
        <w:tc>
          <w:tcPr>
            <w:tcW w:w="220" w:type="dxa"/>
            <w:vAlign w:val="bottom"/>
            <w:shd w:val="clear" w:color="auto" w:fill="CFF0FC"/>
          </w:tcPr>
          <w:p>
            <w:pPr>
              <w:spacing w:after="0"/>
              <w:rPr>
                <w:sz w:val="22"/>
                <w:szCs w:val="22"/>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30,026,732</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15,378,715</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60,882,910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28,527,715</w:t>
            </w:r>
          </w:p>
        </w:tc>
        <w:tc>
          <w:tcPr>
            <w:tcW w:w="22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56.3 %</w:t>
            </w: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425.4 %</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63.7 %</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219.4 %</w:t>
            </w:r>
          </w:p>
        </w:tc>
      </w:tr>
    </w:tbl>
    <w:p>
      <w:pPr>
        <w:spacing w:after="0" w:line="269"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spacing w:after="0" w:line="170"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color w:val="auto"/>
        </w:rPr>
        <w:t>Due to its cannabis operations, the Company is subject to the limitations of Internal Revenue Code (“</w:t>
      </w:r>
      <w:r>
        <w:rPr>
          <w:rFonts w:ascii="Arial" w:cs="Arial" w:eastAsia="Arial" w:hAnsi="Arial"/>
          <w:sz w:val="18"/>
          <w:szCs w:val="18"/>
          <w:b w:val="1"/>
          <w:bCs w:val="1"/>
          <w:color w:val="auto"/>
        </w:rPr>
        <w:t>IRC</w:t>
      </w:r>
      <w:r>
        <w:rPr>
          <w:rFonts w:ascii="Arial" w:cs="Arial" w:eastAsia="Arial" w:hAnsi="Arial"/>
          <w:sz w:val="18"/>
          <w:szCs w:val="18"/>
          <w:color w:val="auto"/>
        </w:rPr>
        <w:t>”)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1"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color w:val="auto"/>
        </w:rPr>
        <w:t>The effective tax rate for the three and six months ended June 30, 2021 varies widely from the three and six months ended June 30, 2020, primarily due to the reduction in non deductible expenses as a proportion of total expenses in the current year. The Company incurs expenses that are not deductible due to IRC Section 280E limitations which results in significant income tax expense.</w:t>
      </w:r>
    </w:p>
    <w:p>
      <w:pPr>
        <w:spacing w:after="0" w:line="183" w:lineRule="exact"/>
        <w:rPr>
          <w:sz w:val="20"/>
          <w:szCs w:val="20"/>
          <w:color w:val="auto"/>
        </w:rPr>
      </w:pPr>
    </w:p>
    <w:p>
      <w:pPr>
        <w:ind w:right="300"/>
        <w:spacing w:after="0" w:line="303" w:lineRule="auto"/>
        <w:rPr>
          <w:sz w:val="20"/>
          <w:szCs w:val="20"/>
          <w:color w:val="auto"/>
        </w:rPr>
      </w:pPr>
      <w:r>
        <w:rPr>
          <w:rFonts w:ascii="Arial" w:cs="Arial" w:eastAsia="Arial" w:hAnsi="Arial"/>
          <w:sz w:val="17"/>
          <w:szCs w:val="17"/>
          <w:color w:val="auto"/>
        </w:rPr>
        <w:t>The Company is subject to income taxes in the United States and Canada. Significant judgment is required in evaluating the Company’s uncertain tax positions and determining the provision for income taxes. The Company’s gross unrecognized tax benefits were approximately $16.8 million and $10.3 million as of June 30, 2021 and December 31, 2020, respectively, recorded within Deferred Income Taxes.</w:t>
      </w:r>
    </w:p>
    <w:p>
      <w:pPr>
        <w:spacing w:after="0" w:line="56"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federal statute of limitation remains open for the 2017 tax year to the present. The state income tax returns generally remain open for the 2016 tax year through the present. Net operating losses arising prior to these years are also open to examination if and when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Taxes paid during the six months ended June 30, 2021 and 2020 were $75,454,693 and $541,264, respectively.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and 2020 other income (expense) was comprised of the following:</w:t>
      </w:r>
    </w:p>
    <w:p>
      <w:pPr>
        <w:spacing w:after="0" w:line="30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4"/>
              </w:rPr>
              <w:t>For the Three Months Ended June</w:t>
            </w:r>
          </w:p>
        </w:tc>
        <w:tc>
          <w:tcPr>
            <w:tcW w:w="260" w:type="dxa"/>
            <w:vAlign w:val="bottom"/>
          </w:tcPr>
          <w:p>
            <w:pPr>
              <w:spacing w:after="0"/>
              <w:rPr>
                <w:sz w:val="19"/>
                <w:szCs w:val="19"/>
                <w:color w:val="auto"/>
              </w:rPr>
            </w:pPr>
          </w:p>
        </w:tc>
        <w:tc>
          <w:tcPr>
            <w:tcW w:w="27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4"/>
              </w:rPr>
              <w:t>For the Six Months Ended June</w:t>
            </w:r>
          </w:p>
        </w:tc>
      </w:tr>
      <w:tr>
        <w:trPr>
          <w:trHeight w:val="241"/>
        </w:trPr>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3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48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adjustments on equity investments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18,287,762</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198,572</w:t>
            </w:r>
          </w:p>
        </w:tc>
        <w:tc>
          <w:tcPr>
            <w:tcW w:w="160" w:type="dxa"/>
            <w:vAlign w:val="bottom"/>
            <w:shd w:val="clear" w:color="auto" w:fill="CFF0FC"/>
          </w:tcPr>
          <w:p>
            <w:pPr>
              <w:spacing w:after="0"/>
              <w:rPr>
                <w:sz w:val="24"/>
                <w:szCs w:val="2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18,679,321</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(17,035 )</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(9,881,847 )</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(9,881,847 )</w:t>
            </w:r>
          </w:p>
        </w:tc>
        <w:tc>
          <w:tcPr>
            <w:tcW w:w="14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w w:val="97"/>
              </w:rPr>
              <w:t>Fair value adjustments on variable note receivable</w:t>
            </w:r>
          </w:p>
        </w:tc>
        <w:tc>
          <w:tcPr>
            <w:tcW w:w="4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(5,600 )</w:t>
            </w:r>
          </w:p>
        </w:tc>
        <w:tc>
          <w:tcPr>
            <w:tcW w:w="2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(815,937 )</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Fair value adjustments on warrants issued</w:t>
            </w:r>
          </w:p>
        </w:tc>
        <w:tc>
          <w:tcPr>
            <w:tcW w:w="4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(2,160,079 )</w:t>
            </w:r>
          </w:p>
        </w:tc>
        <w:tc>
          <w:tcPr>
            <w:tcW w:w="24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(6,262,500 )</w:t>
            </w:r>
          </w:p>
        </w:tc>
        <w:tc>
          <w:tcPr>
            <w:tcW w:w="2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(8,010,750 )</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1,120,343</w:t>
            </w:r>
          </w:p>
        </w:tc>
        <w:tc>
          <w:tcPr>
            <w:tcW w:w="100" w:type="dxa"/>
            <w:vAlign w:val="bottom"/>
          </w:tcPr>
          <w:p>
            <w:pPr>
              <w:spacing w:after="0"/>
              <w:rPr>
                <w:sz w:val="21"/>
                <w:szCs w:val="21"/>
                <w:color w:val="auto"/>
              </w:rPr>
            </w:pPr>
          </w:p>
        </w:tc>
      </w:tr>
      <w:tr>
        <w:trPr>
          <w:trHeight w:val="26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w w:val="96"/>
              </w:rPr>
              <w:t>Fair value adjustments on contingent consideration</w:t>
            </w:r>
          </w:p>
        </w:tc>
        <w:tc>
          <w:tcPr>
            <w:tcW w:w="4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(188,555 )</w:t>
            </w:r>
          </w:p>
        </w:tc>
        <w:tc>
          <w:tcPr>
            <w:tcW w:w="2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(412,949 )</w:t>
            </w:r>
          </w:p>
        </w:tc>
        <w:tc>
          <w:tcPr>
            <w:tcW w:w="1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(17,565 )</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1,023,280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1,646,373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r>
      <w:tr>
        <w:trPr>
          <w:trHeight w:val="26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(438,839 )</w:t>
            </w: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240,656</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(339,688 )</w:t>
            </w: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248,877</w:t>
            </w:r>
          </w:p>
        </w:tc>
        <w:tc>
          <w:tcPr>
            <w:tcW w:w="100" w:type="dxa"/>
            <w:vAlign w:val="bottom"/>
            <w:shd w:val="clear" w:color="auto" w:fill="CFF0FC"/>
          </w:tcPr>
          <w:p>
            <w:pPr>
              <w:spacing w:after="0"/>
              <w:rPr>
                <w:sz w:val="22"/>
                <w:szCs w:val="22"/>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6,830,277</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(5,717,427 )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1,680,460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1,068,683</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-193675</wp:posOffset>
            </wp:positionV>
            <wp:extent cx="22288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-193675</wp:posOffset>
            </wp:positionV>
            <wp:extent cx="13716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13716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-193675</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86"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79" w:lineRule="exact"/>
        <w:rPr>
          <w:sz w:val="20"/>
          <w:szCs w:val="20"/>
          <w:color w:val="auto"/>
        </w:rPr>
      </w:pPr>
    </w:p>
    <w:p>
      <w:pPr>
        <w:ind w:left="880" w:hanging="432"/>
        <w:spacing w:after="0"/>
        <w:tabs>
          <w:tab w:leader="none" w:pos="8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880"/>
        <w:spacing w:after="0" w:line="292"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While management believes that the Company is in compliance with applicable local and state regulations at June 30, 2021 and December 31, 2020, cannabis and other regulations continue to evolve and are subject to differing interpretations. As a result, the Company may be subject to regulatory fines, penalties, or restrictions in the future.</w:t>
      </w:r>
    </w:p>
    <w:p>
      <w:pPr>
        <w:spacing w:after="0" w:line="62" w:lineRule="exact"/>
        <w:rPr>
          <w:rFonts w:ascii="Arial" w:cs="Arial" w:eastAsia="Arial" w:hAnsi="Arial"/>
          <w:sz w:val="18"/>
          <w:szCs w:val="18"/>
          <w:b w:val="1"/>
          <w:bCs w:val="1"/>
          <w:color w:val="auto"/>
        </w:rPr>
      </w:pPr>
    </w:p>
    <w:p>
      <w:pPr>
        <w:ind w:left="880" w:hanging="432"/>
        <w:spacing w:after="0"/>
        <w:tabs>
          <w:tab w:leader="none" w:pos="8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34" w:lineRule="exact"/>
        <w:rPr>
          <w:rFonts w:ascii="Arial" w:cs="Arial" w:eastAsia="Arial" w:hAnsi="Arial"/>
          <w:sz w:val="18"/>
          <w:szCs w:val="18"/>
          <w:b w:val="1"/>
          <w:bCs w:val="1"/>
          <w:color w:val="auto"/>
        </w:rPr>
      </w:pPr>
    </w:p>
    <w:p>
      <w:pPr>
        <w:ind w:left="880"/>
        <w:spacing w:after="0" w:line="296"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June 30, 2021 and December 31, 2020,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57" w:lineRule="exact"/>
        <w:rPr>
          <w:rFonts w:ascii="Arial" w:cs="Arial" w:eastAsia="Arial" w:hAnsi="Arial"/>
          <w:sz w:val="18"/>
          <w:szCs w:val="18"/>
          <w:b w:val="1"/>
          <w:bCs w:val="1"/>
          <w:color w:val="auto"/>
        </w:rPr>
      </w:pPr>
    </w:p>
    <w:p>
      <w:pPr>
        <w:ind w:left="880" w:hanging="432"/>
        <w:spacing w:after="0"/>
        <w:tabs>
          <w:tab w:leader="none" w:pos="8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34" w:lineRule="exact"/>
        <w:rPr>
          <w:rFonts w:ascii="Arial" w:cs="Arial" w:eastAsia="Arial" w:hAnsi="Arial"/>
          <w:sz w:val="18"/>
          <w:szCs w:val="18"/>
          <w:b w:val="1"/>
          <w:bCs w:val="1"/>
          <w:color w:val="auto"/>
        </w:rPr>
      </w:pPr>
    </w:p>
    <w:p>
      <w:pPr>
        <w:ind w:left="880" w:right="80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As of June 30, 2021, the Company held approximately $48,510,000 of open construction commitments to contractors on work being performed.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2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1" w:lineRule="exact"/>
        <w:rPr>
          <w:sz w:val="20"/>
          <w:szCs w:val="20"/>
          <w:color w:val="auto"/>
        </w:rPr>
      </w:pPr>
    </w:p>
    <w:p>
      <w:pPr>
        <w:ind w:right="980"/>
        <w:spacing w:after="0" w:line="359"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that are observable for the asset or liability, either directly or indirectly; and</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for the asset or liability that are not based on observable market data.</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Instruments</w:t>
      </w:r>
    </w:p>
    <w:p>
      <w:pPr>
        <w:spacing w:after="0" w:line="135"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170" w:lineRule="exact"/>
        <w:rPr>
          <w:sz w:val="20"/>
          <w:szCs w:val="20"/>
          <w:color w:val="auto"/>
        </w:rPr>
      </w:pPr>
    </w:p>
    <w:p>
      <w:pPr>
        <w:ind w:left="440" w:right="180"/>
        <w:spacing w:after="0" w:line="275" w:lineRule="auto"/>
        <w:rPr>
          <w:sz w:val="20"/>
          <w:szCs w:val="20"/>
          <w:color w:val="auto"/>
        </w:rPr>
      </w:pPr>
      <w:r>
        <w:rPr>
          <w:rFonts w:ascii="Arial" w:cs="Arial" w:eastAsia="Arial" w:hAnsi="Arial"/>
          <w:sz w:val="18"/>
          <w:szCs w:val="18"/>
          <w:color w:val="auto"/>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June 30, 2021 and December 31, 2020 was $197,617,846 and $99,054,979, which includes $581,436 and $341,983, respectively, of short-term debt due within one year.</w:t>
      </w:r>
    </w:p>
    <w:p>
      <w:pPr>
        <w:spacing w:after="0" w:line="185" w:lineRule="exact"/>
        <w:rPr>
          <w:sz w:val="20"/>
          <w:szCs w:val="20"/>
          <w:color w:val="auto"/>
        </w:rPr>
      </w:pPr>
    </w:p>
    <w:p>
      <w:pPr>
        <w:ind w:left="440" w:right="720"/>
        <w:spacing w:after="0" w:line="359" w:lineRule="auto"/>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0"/>
              </w:rPr>
              <w:t>As of June 30, 2021</w:t>
            </w: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2"/>
              </w:rPr>
              <w:t>Level 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5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359,188,735</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90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359,188,735</w:t>
            </w:r>
          </w:p>
        </w:tc>
        <w:tc>
          <w:tcPr>
            <w:tcW w:w="100" w:type="dxa"/>
            <w:vAlign w:val="bottom"/>
            <w:shd w:val="clear" w:color="auto" w:fill="CFF0FC"/>
          </w:tcPr>
          <w:p>
            <w:pPr>
              <w:spacing w:after="0"/>
              <w:rPr>
                <w:sz w:val="22"/>
                <w:szCs w:val="22"/>
                <w:color w:val="auto"/>
              </w:rPr>
            </w:pPr>
          </w:p>
        </w:tc>
      </w:tr>
      <w:tr>
        <w:trPr>
          <w:trHeight w:val="250"/>
        </w:trPr>
        <w:tc>
          <w:tcPr>
            <w:tcW w:w="388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33,667,924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8,057,479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41,725,403</w:t>
            </w:r>
          </w:p>
        </w:tc>
        <w:tc>
          <w:tcPr>
            <w:tcW w:w="100" w:type="dxa"/>
            <w:vAlign w:val="bottom"/>
          </w:tcPr>
          <w:p>
            <w:pPr>
              <w:spacing w:after="0"/>
              <w:rPr>
                <w:sz w:val="21"/>
                <w:szCs w:val="21"/>
                <w:color w:val="auto"/>
              </w:rPr>
            </w:pPr>
          </w:p>
        </w:tc>
      </w:tr>
      <w:tr>
        <w:trPr>
          <w:trHeight w:val="26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Payable</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7"/>
              </w:rPr>
              <w:t>(14,850,000 )</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(14,850,000 )</w:t>
            </w:r>
          </w:p>
        </w:tc>
      </w:tr>
      <w:tr>
        <w:trPr>
          <w:trHeight w:val="250"/>
        </w:trPr>
        <w:tc>
          <w:tcPr>
            <w:tcW w:w="3880" w:type="dxa"/>
            <w:vAlign w:val="bottom"/>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(47,464,750 )</w:t>
            </w:r>
          </w:p>
        </w:tc>
        <w:tc>
          <w:tcPr>
            <w:tcW w:w="2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(47,464,750 )</w:t>
            </w:r>
          </w:p>
        </w:tc>
      </w:tr>
      <w:tr>
        <w:trPr>
          <w:trHeight w:val="20"/>
        </w:trPr>
        <w:tc>
          <w:tcPr>
            <w:tcW w:w="3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88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392,856,659</w:t>
            </w:r>
          </w:p>
        </w:tc>
        <w:tc>
          <w:tcPr>
            <w:tcW w:w="26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ind w:left="900"/>
              <w:spacing w:after="0"/>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FF0FC"/>
          </w:tcPr>
          <w:p>
            <w:pPr>
              <w:spacing w:after="0"/>
              <w:rPr>
                <w:sz w:val="23"/>
                <w:szCs w:val="23"/>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87"/>
              </w:rPr>
              <w:t>(54,257,271 )</w:t>
            </w:r>
          </w:p>
        </w:tc>
        <w:tc>
          <w:tcPr>
            <w:tcW w:w="260" w:type="dxa"/>
            <w:vAlign w:val="bottom"/>
            <w:shd w:val="clear" w:color="auto" w:fill="CFF0FC"/>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338,599,388</w:t>
            </w:r>
          </w:p>
        </w:tc>
        <w:tc>
          <w:tcPr>
            <w:tcW w:w="100" w:type="dxa"/>
            <w:vAlign w:val="bottom"/>
            <w:shd w:val="clear" w:color="auto" w:fill="CFF0FC"/>
          </w:tcPr>
          <w:p>
            <w:pPr>
              <w:spacing w:after="0"/>
              <w:rPr>
                <w:sz w:val="23"/>
                <w:szCs w:val="23"/>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3"/>
        </w:trPr>
        <w:tc>
          <w:tcPr>
            <w:tcW w:w="3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As of December 31, 2020</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8"/>
              </w:rPr>
              <w:t>Level 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5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83,757,785</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9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83,757,785</w:t>
            </w:r>
          </w:p>
        </w:tc>
        <w:tc>
          <w:tcPr>
            <w:tcW w:w="100" w:type="dxa"/>
            <w:vAlign w:val="bottom"/>
            <w:shd w:val="clear" w:color="auto" w:fill="CFF0FC"/>
          </w:tcPr>
          <w:p>
            <w:pPr>
              <w:spacing w:after="0"/>
              <w:rPr>
                <w:sz w:val="22"/>
                <w:szCs w:val="22"/>
                <w:color w:val="auto"/>
              </w:rPr>
            </w:pPr>
          </w:p>
        </w:tc>
      </w:tr>
      <w:tr>
        <w:trPr>
          <w:trHeight w:val="250"/>
        </w:trPr>
        <w:tc>
          <w:tcPr>
            <w:tcW w:w="388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923,581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39,871,225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40,794,806</w:t>
            </w:r>
          </w:p>
        </w:tc>
        <w:tc>
          <w:tcPr>
            <w:tcW w:w="100" w:type="dxa"/>
            <w:vAlign w:val="bottom"/>
          </w:tcPr>
          <w:p>
            <w:pPr>
              <w:spacing w:after="0"/>
              <w:rPr>
                <w:sz w:val="21"/>
                <w:szCs w:val="21"/>
                <w:color w:val="auto"/>
              </w:rPr>
            </w:pPr>
          </w:p>
        </w:tc>
      </w:tr>
      <w:tr>
        <w:trPr>
          <w:trHeight w:val="26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Payable</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7"/>
              </w:rPr>
              <w:t>(27,100,000 )</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(27,100,000 )</w:t>
            </w:r>
          </w:p>
        </w:tc>
      </w:tr>
      <w:tr>
        <w:trPr>
          <w:trHeight w:val="250"/>
        </w:trPr>
        <w:tc>
          <w:tcPr>
            <w:tcW w:w="3880" w:type="dxa"/>
            <w:vAlign w:val="bottom"/>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(39,454,000 )</w:t>
            </w:r>
          </w:p>
        </w:tc>
        <w:tc>
          <w:tcPr>
            <w:tcW w:w="2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(39,454,000 )</w:t>
            </w:r>
          </w:p>
        </w:tc>
      </w:tr>
      <w:tr>
        <w:trPr>
          <w:trHeight w:val="20"/>
        </w:trPr>
        <w:tc>
          <w:tcPr>
            <w:tcW w:w="3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88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84,681,366</w:t>
            </w:r>
          </w:p>
        </w:tc>
        <w:tc>
          <w:tcPr>
            <w:tcW w:w="26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FF0FC"/>
          </w:tcPr>
          <w:p>
            <w:pPr>
              <w:spacing w:after="0"/>
              <w:rPr>
                <w:sz w:val="23"/>
                <w:szCs w:val="23"/>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87"/>
              </w:rPr>
              <w:t>(26,682,775 )</w:t>
            </w:r>
          </w:p>
        </w:tc>
        <w:tc>
          <w:tcPr>
            <w:tcW w:w="260" w:type="dxa"/>
            <w:vAlign w:val="bottom"/>
            <w:shd w:val="clear" w:color="auto" w:fill="CFF0FC"/>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57,998,591</w:t>
            </w:r>
          </w:p>
        </w:tc>
        <w:tc>
          <w:tcPr>
            <w:tcW w:w="100" w:type="dxa"/>
            <w:vAlign w:val="bottom"/>
            <w:shd w:val="clear" w:color="auto" w:fill="CFF0FC"/>
          </w:tcPr>
          <w:p>
            <w:pPr>
              <w:spacing w:after="0"/>
              <w:rPr>
                <w:sz w:val="23"/>
                <w:szCs w:val="23"/>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-1319530</wp:posOffset>
            </wp:positionV>
            <wp:extent cx="1714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-1302385</wp:posOffset>
            </wp:positionV>
            <wp:extent cx="1714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-1319530</wp:posOffset>
            </wp:positionV>
            <wp:extent cx="1543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-1302385</wp:posOffset>
            </wp:positionV>
            <wp:extent cx="1543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-1319530</wp:posOffset>
            </wp:positionV>
            <wp:extent cx="1543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-1302385</wp:posOffset>
            </wp:positionV>
            <wp:extent cx="1543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-1319530</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-1302385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1714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1714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1543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1543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1543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543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left="440" w:right="40"/>
        <w:spacing w:after="0" w:line="275" w:lineRule="auto"/>
        <w:rPr>
          <w:sz w:val="20"/>
          <w:szCs w:val="20"/>
          <w:color w:val="auto"/>
        </w:rPr>
      </w:pPr>
      <w:r>
        <w:rPr>
          <w:rFonts w:ascii="Arial" w:cs="Arial" w:eastAsia="Arial" w:hAnsi="Arial"/>
          <w:sz w:val="18"/>
          <w:szCs w:val="18"/>
          <w:color w:val="auto"/>
        </w:rPr>
        <w:t>As of December 31, 2020, the Company held an investment in a privately held entity that became a publicly traded company during the three months ended June 30, 2021. As a result, the Company received shares of the publicly traded entity in exchange for the shares in the privately held entity. The transaction resulted in a transfer of the investment from Level 3 to Level 1. As of June 30, 2021 and December 31, 2020 the fair value of the investment was $32,653,878 and $37,249,189, respectively.</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fair value levels during the six months ended June 30, 2020.</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following table presents the summarized financial information about the Company’s consolidated variable interest entities (“</w:t>
      </w:r>
      <w:r>
        <w:rPr>
          <w:rFonts w:ascii="Arial" w:cs="Arial" w:eastAsia="Arial" w:hAnsi="Arial"/>
          <w:sz w:val="16"/>
          <w:szCs w:val="16"/>
          <w:b w:val="1"/>
          <w:bCs w:val="1"/>
          <w:color w:val="auto"/>
        </w:rPr>
        <w:t>VIEs</w:t>
      </w:r>
      <w:r>
        <w:rPr>
          <w:rFonts w:ascii="Arial" w:cs="Arial" w:eastAsia="Arial" w:hAnsi="Arial"/>
          <w:sz w:val="16"/>
          <w:szCs w:val="16"/>
          <w:color w:val="auto"/>
        </w:rPr>
        <w:t>”) which are included in the unaudited interim condensed consolidated balance sheet as of June 30, 2021 and the consolidated balance sheet as of December 31, 2020. All of these entities were determined to be VIEs as the Company possesses the power to direct activities through management services agreements (“</w:t>
      </w:r>
      <w:r>
        <w:rPr>
          <w:rFonts w:ascii="Arial" w:cs="Arial" w:eastAsia="Arial" w:hAnsi="Arial"/>
          <w:sz w:val="16"/>
          <w:szCs w:val="16"/>
          <w:b w:val="1"/>
          <w:bCs w:val="1"/>
          <w:color w:val="auto"/>
        </w:rPr>
        <w:t>MSAs</w:t>
      </w:r>
      <w:r>
        <w:rPr>
          <w:rFonts w:ascii="Arial" w:cs="Arial" w:eastAsia="Arial" w:hAnsi="Arial"/>
          <w:sz w:val="16"/>
          <w:szCs w:val="16"/>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Chesapeake</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8"/>
              </w:rPr>
              <w:t>Chesapeake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r>
      <w:tr>
        <w:trPr>
          <w:trHeight w:val="186"/>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Alternatives,</w:t>
            </w:r>
          </w:p>
        </w:tc>
        <w:tc>
          <w:tcPr>
            <w:tcW w:w="1120" w:type="dxa"/>
            <w:vAlign w:val="bottom"/>
          </w:tcPr>
          <w:p>
            <w:pPr>
              <w:jc w:val="right"/>
              <w:ind w:right="376"/>
              <w:spacing w:after="0"/>
              <w:rPr>
                <w:sz w:val="20"/>
                <w:szCs w:val="20"/>
                <w:color w:val="auto"/>
              </w:rPr>
            </w:pPr>
            <w:r>
              <w:rPr>
                <w:rFonts w:ascii="Arial" w:cs="Arial" w:eastAsia="Arial" w:hAnsi="Arial"/>
                <w:sz w:val="14"/>
                <w:szCs w:val="14"/>
                <w:b w:val="1"/>
                <w:bCs w:val="1"/>
                <w:color w:val="auto"/>
              </w:rPr>
              <w:t>Illinois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Non-material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Alternatives,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6"/>
              <w:spacing w:after="0"/>
              <w:rPr>
                <w:sz w:val="20"/>
                <w:szCs w:val="20"/>
                <w:color w:val="auto"/>
              </w:rPr>
            </w:pPr>
            <w:r>
              <w:rPr>
                <w:rFonts w:ascii="Arial" w:cs="Arial" w:eastAsia="Arial" w:hAnsi="Arial"/>
                <w:sz w:val="14"/>
                <w:szCs w:val="14"/>
                <w:b w:val="1"/>
                <w:bCs w:val="1"/>
                <w:color w:val="auto"/>
                <w:w w:val="99"/>
              </w:rPr>
              <w:t>Illinois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Non-material</w:t>
            </w:r>
          </w:p>
        </w:tc>
        <w:tc>
          <w:tcPr>
            <w:tcW w:w="100" w:type="dxa"/>
            <w:vAlign w:val="bottom"/>
          </w:tcPr>
          <w:p>
            <w:pPr>
              <w:spacing w:after="0"/>
              <w:rPr>
                <w:sz w:val="16"/>
                <w:szCs w:val="16"/>
                <w:color w:val="auto"/>
              </w:rPr>
            </w:pPr>
          </w:p>
        </w:tc>
      </w:tr>
      <w:tr>
        <w:trPr>
          <w:trHeight w:val="209"/>
        </w:trPr>
        <w:tc>
          <w:tcPr>
            <w:tcW w:w="2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Disp, LLC</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VIEs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7"/>
              </w:rPr>
              <w:t>Disp, LLC</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VIEs</w:t>
            </w:r>
          </w:p>
        </w:tc>
        <w:tc>
          <w:tcPr>
            <w:tcW w:w="100" w:type="dxa"/>
            <w:vAlign w:val="bottom"/>
          </w:tcPr>
          <w:p>
            <w:pPr>
              <w:spacing w:after="0"/>
              <w:rPr>
                <w:sz w:val="18"/>
                <w:szCs w:val="18"/>
                <w:color w:val="auto"/>
              </w:rPr>
            </w:pPr>
          </w:p>
        </w:tc>
      </w:tr>
      <w:tr>
        <w:trPr>
          <w:trHeight w:val="256"/>
        </w:trPr>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ind w:left="72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5,048,014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2,456,440</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32,307,718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3,738,868</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2,362,572</w:t>
            </w:r>
          </w:p>
        </w:tc>
        <w:tc>
          <w:tcPr>
            <w:tcW w:w="100" w:type="dxa"/>
            <w:vAlign w:val="bottom"/>
            <w:shd w:val="clear" w:color="auto" w:fill="CFF0FC"/>
          </w:tcPr>
          <w:p>
            <w:pPr>
              <w:spacing w:after="0"/>
              <w:rPr>
                <w:sz w:val="22"/>
                <w:szCs w:val="22"/>
                <w:color w:val="auto"/>
              </w:rPr>
            </w:pPr>
          </w:p>
        </w:tc>
      </w:tr>
      <w:tr>
        <w:trPr>
          <w:trHeight w:val="250"/>
        </w:trPr>
        <w:tc>
          <w:tcPr>
            <w:tcW w:w="2640" w:type="dxa"/>
            <w:vAlign w:val="bottom"/>
          </w:tcPr>
          <w:p>
            <w:pPr>
              <w:ind w:left="140"/>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21"/>
                <w:szCs w:val="21"/>
                <w:color w:val="auto"/>
              </w:rPr>
            </w:pPr>
          </w:p>
        </w:tc>
        <w:tc>
          <w:tcPr>
            <w:tcW w:w="12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3,465,136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2,140,394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3,367,360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3,657,392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2,281,839</w:t>
            </w:r>
          </w:p>
        </w:tc>
        <w:tc>
          <w:tcPr>
            <w:tcW w:w="100" w:type="dxa"/>
            <w:vAlign w:val="bottom"/>
          </w:tcPr>
          <w:p>
            <w:pPr>
              <w:spacing w:after="0"/>
              <w:rPr>
                <w:sz w:val="21"/>
                <w:szCs w:val="21"/>
                <w:color w:val="auto"/>
              </w:rPr>
            </w:pPr>
          </w:p>
        </w:tc>
      </w:tr>
      <w:tr>
        <w:trPr>
          <w:trHeight w:val="263"/>
        </w:trPr>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22"/>
                <w:szCs w:val="22"/>
                <w:color w:val="auto"/>
              </w:rPr>
            </w:pPr>
          </w:p>
        </w:tc>
        <w:tc>
          <w:tcPr>
            <w:tcW w:w="1260" w:type="dxa"/>
            <w:vAlign w:val="bottom"/>
            <w:gridSpan w:val="3"/>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1,194,653</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425,822</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23,362,255</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336,970</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1,563,224</w:t>
            </w:r>
          </w:p>
        </w:tc>
        <w:tc>
          <w:tcPr>
            <w:tcW w:w="100" w:type="dxa"/>
            <w:vAlign w:val="bottom"/>
            <w:shd w:val="clear" w:color="auto" w:fill="CFF0FC"/>
          </w:tcPr>
          <w:p>
            <w:pPr>
              <w:spacing w:after="0"/>
              <w:rPr>
                <w:sz w:val="22"/>
                <w:szCs w:val="22"/>
                <w:color w:val="auto"/>
              </w:rPr>
            </w:pPr>
          </w:p>
        </w:tc>
      </w:tr>
      <w:tr>
        <w:trPr>
          <w:trHeight w:val="250"/>
        </w:trPr>
        <w:tc>
          <w:tcPr>
            <w:tcW w:w="2640" w:type="dxa"/>
            <w:vAlign w:val="bottom"/>
          </w:tcPr>
          <w:p>
            <w:pPr>
              <w:ind w:left="14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21"/>
                <w:szCs w:val="21"/>
                <w:color w:val="auto"/>
              </w:rPr>
            </w:pPr>
          </w:p>
        </w:tc>
        <w:tc>
          <w:tcPr>
            <w:tcW w:w="12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741,753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768,573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461,926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783,356</w:t>
            </w:r>
          </w:p>
        </w:tc>
        <w:tc>
          <w:tcPr>
            <w:tcW w:w="100" w:type="dxa"/>
            <w:vAlign w:val="bottom"/>
          </w:tcPr>
          <w:p>
            <w:pPr>
              <w:spacing w:after="0"/>
              <w:rPr>
                <w:sz w:val="21"/>
                <w:szCs w:val="21"/>
                <w:color w:val="auto"/>
              </w:rPr>
            </w:pPr>
          </w:p>
        </w:tc>
      </w:tr>
      <w:tr>
        <w:trPr>
          <w:trHeight w:val="263"/>
        </w:trPr>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FF0FC"/>
          </w:tcPr>
          <w:p>
            <w:pPr>
              <w:spacing w:after="0"/>
              <w:rPr>
                <w:sz w:val="22"/>
                <w:szCs w:val="22"/>
                <w:color w:val="auto"/>
              </w:rPr>
            </w:pPr>
          </w:p>
        </w:tc>
        <w:tc>
          <w:tcPr>
            <w:tcW w:w="1260" w:type="dxa"/>
            <w:vAlign w:val="bottom"/>
            <w:gridSpan w:val="3"/>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3,440,142</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509,624</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3,173,683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267,289</w:t>
            </w:r>
          </w:p>
        </w:tc>
        <w:tc>
          <w:tcPr>
            <w:tcW w:w="100" w:type="dxa"/>
            <w:vAlign w:val="bottom"/>
            <w:shd w:val="clear" w:color="auto" w:fill="CFF0FC"/>
          </w:tcPr>
          <w:p>
            <w:pPr>
              <w:spacing w:after="0"/>
              <w:rPr>
                <w:sz w:val="22"/>
                <w:szCs w:val="22"/>
                <w:color w:val="auto"/>
              </w:rPr>
            </w:pPr>
          </w:p>
        </w:tc>
      </w:tr>
      <w:tr>
        <w:trPr>
          <w:trHeight w:val="242"/>
        </w:trPr>
        <w:tc>
          <w:tcPr>
            <w:tcW w:w="2640" w:type="dxa"/>
            <w:vAlign w:val="bottom"/>
          </w:tcPr>
          <w:p>
            <w:pPr>
              <w:ind w:left="140"/>
              <w:spacing w:after="0"/>
              <w:rPr>
                <w:sz w:val="20"/>
                <w:szCs w:val="20"/>
                <w:color w:val="auto"/>
              </w:rPr>
            </w:pPr>
            <w:r>
              <w:rPr>
                <w:rFonts w:ascii="Arial" w:cs="Arial" w:eastAsia="Arial" w:hAnsi="Arial"/>
                <w:sz w:val="18"/>
                <w:szCs w:val="18"/>
                <w:color w:val="auto"/>
              </w:rPr>
              <w:t>Equity attributable to Green</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Thumb Industries Inc.</w:t>
            </w:r>
          </w:p>
        </w:tc>
        <w:tc>
          <w:tcPr>
            <w:tcW w:w="100" w:type="dxa"/>
            <w:vAlign w:val="bottom"/>
          </w:tcPr>
          <w:p>
            <w:pPr>
              <w:spacing w:after="0"/>
              <w:rPr>
                <w:sz w:val="20"/>
                <w:szCs w:val="20"/>
                <w:color w:val="auto"/>
              </w:rPr>
            </w:pPr>
          </w:p>
        </w:tc>
        <w:tc>
          <w:tcPr>
            <w:tcW w:w="12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3,440,142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2,919,635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11,544,250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3,173,683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2,030,542</w:t>
            </w:r>
          </w:p>
        </w:tc>
        <w:tc>
          <w:tcPr>
            <w:tcW w:w="10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the MSA for Chesapeake Alternatives, LLC was amended and restated to make GTI Maryland, LLC, the sole member of the entity.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result, the remaining equity associated with the noncontrolling interest was closed to share capital of Green Thumb as of December 31, 2020.</w:t>
      </w:r>
    </w:p>
    <w:p>
      <w:pPr>
        <w:spacing w:after="0" w:line="249"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The Following tables presents the summarized financial information about the Company’s VIEs which are included in the unaudited interim condensed consolidated statements of operations for the three and six months ended June 30, 2021 and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Chesapeake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Chesapeake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Alternatives,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Non-material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Alternatives,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Non-material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7"/>
              </w:rPr>
              <w:t>Disp, LLC</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VIEs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7"/>
              </w:rPr>
              <w:t>Disp, LLC</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VIEs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6,216,536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3,822,263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4,799,732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5,164,316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2,370,069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858,411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364,389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139,386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909,302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96,880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20"/>
              <w:spacing w:after="0"/>
              <w:rPr>
                <w:sz w:val="20"/>
                <w:szCs w:val="20"/>
                <w:color w:val="auto"/>
              </w:rPr>
            </w:pPr>
            <w:r>
              <w:rPr>
                <w:rFonts w:ascii="Arial" w:cs="Arial" w:eastAsia="Arial" w:hAnsi="Arial"/>
                <w:sz w:val="18"/>
                <w:szCs w:val="18"/>
                <w:color w:val="auto"/>
                <w:w w:val="97"/>
              </w:rPr>
              <w:t>Net income attributable to Green</w:t>
            </w:r>
          </w:p>
        </w:tc>
        <w:tc>
          <w:tcPr>
            <w:tcW w:w="100" w:type="dxa"/>
            <w:vAlign w:val="bottom"/>
          </w:tcPr>
          <w:p>
            <w:pPr>
              <w:spacing w:after="0"/>
              <w:rPr>
                <w:sz w:val="21"/>
                <w:szCs w:val="21"/>
                <w:color w:val="auto"/>
              </w:rPr>
            </w:pPr>
          </w:p>
        </w:tc>
        <w:tc>
          <w:tcPr>
            <w:tcW w:w="900" w:type="dxa"/>
            <w:vAlign w:val="bottom"/>
            <w:vMerge w:val="restart"/>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858,411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473,408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1,639,408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909,301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306,999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Thumb Industries Inc.</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1,716,822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837,797</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1,778,794</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1,818,603</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403,879</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Chesapeake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Chesapeake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Alternatives,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Non-material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Alternatives,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Non-material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7"/>
              </w:rPr>
              <w:t>Disp, LLC</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VIEs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7"/>
              </w:rPr>
              <w:t>Disp, LLC</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VIEs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11,943,810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7,133,546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9,108,361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7,945,931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4,082,719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1,641,459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667,643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180,795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1,273,418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134,059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80" w:type="dxa"/>
            <w:vAlign w:val="bottom"/>
          </w:tcPr>
          <w:p>
            <w:pPr>
              <w:ind w:left="20"/>
              <w:spacing w:after="0"/>
              <w:rPr>
                <w:sz w:val="20"/>
                <w:szCs w:val="20"/>
                <w:color w:val="auto"/>
              </w:rPr>
            </w:pPr>
            <w:r>
              <w:rPr>
                <w:rFonts w:ascii="Arial" w:cs="Arial" w:eastAsia="Arial" w:hAnsi="Arial"/>
                <w:sz w:val="18"/>
                <w:szCs w:val="18"/>
                <w:color w:val="auto"/>
                <w:w w:val="97"/>
              </w:rPr>
              <w:t>Net income attributable to Green</w:t>
            </w:r>
          </w:p>
        </w:tc>
        <w:tc>
          <w:tcPr>
            <w:tcW w:w="100" w:type="dxa"/>
            <w:vAlign w:val="bottom"/>
          </w:tcPr>
          <w:p>
            <w:pPr>
              <w:spacing w:after="0"/>
              <w:rPr>
                <w:sz w:val="21"/>
                <w:szCs w:val="21"/>
                <w:color w:val="auto"/>
              </w:rPr>
            </w:pPr>
          </w:p>
        </w:tc>
        <w:tc>
          <w:tcPr>
            <w:tcW w:w="900" w:type="dxa"/>
            <w:vAlign w:val="bottom"/>
            <w:vMerge w:val="restart"/>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1,641,458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889,096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2,778,471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1,273,418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366,372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Thumb Industries Inc.</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3,282,917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1,556,739</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2,959,266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2,546,836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500,431</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-1807845</wp:posOffset>
            </wp:positionV>
            <wp:extent cx="4714875" cy="8401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14875" cy="84010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-8255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As of June 30, 2021 and 2020, and December 31, 2020, VIEs included in the Other Non-material VIEs are Bluepoint Wellness of Westport LLC and Meshow,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39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w:t>
      </w:r>
      <w:r>
        <w:rPr>
          <w:rFonts w:ascii="Arial" w:cs="Arial" w:eastAsia="Arial" w:hAnsi="Arial"/>
          <w:sz w:val="18"/>
          <w:szCs w:val="18"/>
          <w:b w:val="1"/>
          <w:bCs w:val="1"/>
          <w:color w:val="auto"/>
        </w:rPr>
        <w:t>Consumer Packaged Goods</w:t>
      </w:r>
      <w:r>
        <w:rPr>
          <w:rFonts w:ascii="Arial" w:cs="Arial" w:eastAsia="Arial" w:hAnsi="Arial"/>
          <w:sz w:val="18"/>
          <w:szCs w:val="18"/>
          <w:color w:val="auto"/>
        </w:rPr>
        <w:t>”) and retailing of cannabis to patients and consumers (“</w:t>
      </w:r>
      <w:r>
        <w:rPr>
          <w:rFonts w:ascii="Arial" w:cs="Arial" w:eastAsia="Arial" w:hAnsi="Arial"/>
          <w:sz w:val="18"/>
          <w:szCs w:val="18"/>
          <w:b w:val="1"/>
          <w:bCs w:val="1"/>
          <w:color w:val="auto"/>
        </w:rPr>
        <w:t>Retail</w:t>
      </w:r>
      <w:r>
        <w:rPr>
          <w:rFonts w:ascii="Arial" w:cs="Arial" w:eastAsia="Arial" w:hAnsi="Arial"/>
          <w:sz w:val="18"/>
          <w:szCs w:val="18"/>
          <w:color w:val="auto"/>
        </w:rPr>
        <w:t>”).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presents revenues by type for the three and six months ended June 30, 2021 and 2020:</w:t>
      </w:r>
    </w:p>
    <w:p>
      <w:pPr>
        <w:spacing w:after="0" w:line="302"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6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197"/>
        </w:trPr>
        <w:tc>
          <w:tcPr>
            <w:tcW w:w="32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Revenues, Net of Discounts</w:t>
            </w:r>
          </w:p>
        </w:tc>
        <w:tc>
          <w:tcPr>
            <w:tcW w:w="4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color w:val="auto"/>
              </w:rPr>
              <w:t>Consumer Packaged Goods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117,863,490</w:t>
            </w:r>
          </w:p>
        </w:tc>
        <w:tc>
          <w:tcPr>
            <w:tcW w:w="3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56,331,517</w:t>
            </w:r>
          </w:p>
        </w:tc>
        <w:tc>
          <w:tcPr>
            <w:tcW w:w="3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221,940,928</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102,653,545</w:t>
            </w:r>
          </w:p>
        </w:tc>
        <w:tc>
          <w:tcPr>
            <w:tcW w:w="100" w:type="dxa"/>
            <w:vAlign w:val="bottom"/>
          </w:tcPr>
          <w:p>
            <w:pPr>
              <w:spacing w:after="0"/>
              <w:rPr>
                <w:sz w:val="21"/>
                <w:szCs w:val="21"/>
                <w:color w:val="auto"/>
              </w:rPr>
            </w:pP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w:t>
            </w:r>
          </w:p>
        </w:tc>
        <w:tc>
          <w:tcPr>
            <w:tcW w:w="4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150,115,879</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87,541,572</w:t>
            </w:r>
          </w:p>
        </w:tc>
        <w:tc>
          <w:tcPr>
            <w:tcW w:w="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280,224,597</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163,503,022</w:t>
            </w:r>
          </w:p>
        </w:tc>
        <w:tc>
          <w:tcPr>
            <w:tcW w:w="100" w:type="dxa"/>
            <w:vAlign w:val="bottom"/>
            <w:shd w:val="clear" w:color="auto" w:fill="CFF0FC"/>
          </w:tcPr>
          <w:p>
            <w:pPr>
              <w:spacing w:after="0"/>
              <w:rPr>
                <w:sz w:val="22"/>
                <w:szCs w:val="22"/>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420" w:type="dxa"/>
            <w:vAlign w:val="bottom"/>
          </w:tcPr>
          <w:p>
            <w:pPr>
              <w:spacing w:after="0"/>
              <w:rPr>
                <w:sz w:val="22"/>
                <w:szCs w:val="22"/>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(46,107,557 )</w:t>
            </w:r>
          </w:p>
        </w:tc>
        <w:tc>
          <w:tcPr>
            <w:tcW w:w="380" w:type="dxa"/>
            <w:vAlign w:val="bottom"/>
          </w:tcPr>
          <w:p>
            <w:pPr>
              <w:spacing w:after="0"/>
              <w:rPr>
                <w:sz w:val="22"/>
                <w:szCs w:val="2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(24,233,165 )</w:t>
            </w:r>
          </w:p>
        </w:tc>
        <w:tc>
          <w:tcPr>
            <w:tcW w:w="28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(85,863,129 )</w:t>
            </w:r>
          </w:p>
        </w:tc>
        <w:tc>
          <w:tcPr>
            <w:tcW w:w="30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(43,914,041 )</w:t>
            </w:r>
          </w:p>
        </w:tc>
      </w:tr>
      <w:tr>
        <w:trPr>
          <w:trHeight w:val="290"/>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Revenues, net of discounts</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221,871,812</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119,639,924</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416,302,396</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222,242,526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Depreciation and Amortization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Packaged Goods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8,412,964</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7,571,575</w:t>
            </w:r>
          </w:p>
        </w:tc>
        <w:tc>
          <w:tcPr>
            <w:tcW w:w="3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16,413,911</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15,165,941</w:t>
            </w:r>
          </w:p>
        </w:tc>
        <w:tc>
          <w:tcPr>
            <w:tcW w:w="100" w:type="dxa"/>
            <w:vAlign w:val="bottom"/>
            <w:shd w:val="clear" w:color="auto" w:fill="CFF0FC"/>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color w:val="auto"/>
              </w:rPr>
              <w:t>Retail</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6,660,028</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6,668,338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13,652,502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11,779,144</w:t>
            </w:r>
          </w:p>
        </w:tc>
        <w:tc>
          <w:tcPr>
            <w:tcW w:w="100" w:type="dxa"/>
            <w:vAlign w:val="bottom"/>
          </w:tcPr>
          <w:p>
            <w:pPr>
              <w:spacing w:after="0"/>
              <w:rPr>
                <w:sz w:val="21"/>
                <w:szCs w:val="21"/>
                <w:color w:val="auto"/>
              </w:rPr>
            </w:pP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Intersegment Eliminations</w:t>
            </w:r>
          </w:p>
        </w:tc>
        <w:tc>
          <w:tcPr>
            <w:tcW w:w="4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2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Depreciation and Amortization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15,072,992</w:t>
            </w:r>
          </w:p>
        </w:tc>
        <w:tc>
          <w:tcPr>
            <w:tcW w:w="34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14,239,913</w:t>
            </w:r>
          </w:p>
        </w:tc>
        <w:tc>
          <w:tcPr>
            <w:tcW w:w="3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30,066,413</w:t>
            </w:r>
          </w:p>
        </w:tc>
        <w:tc>
          <w:tcPr>
            <w:tcW w:w="32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26,945,085</w:t>
            </w:r>
          </w:p>
        </w:tc>
        <w:tc>
          <w:tcPr>
            <w:tcW w:w="100" w:type="dxa"/>
            <w:vAlign w:val="bottom"/>
            <w:tcBorders>
              <w:top w:val="single" w:sz="8" w:color="CFF0FC"/>
            </w:tcBorders>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Income Taxes</w:t>
            </w:r>
          </w:p>
        </w:tc>
        <w:tc>
          <w:tcPr>
            <w:tcW w:w="4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color w:val="auto"/>
              </w:rPr>
              <w:t>Consumer Packaged Goods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13,206,447</w:t>
            </w:r>
          </w:p>
        </w:tc>
        <w:tc>
          <w:tcPr>
            <w:tcW w:w="3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6,398,000</w:t>
            </w:r>
          </w:p>
        </w:tc>
        <w:tc>
          <w:tcPr>
            <w:tcW w:w="3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30,493,541</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10,625,000</w:t>
            </w:r>
          </w:p>
        </w:tc>
        <w:tc>
          <w:tcPr>
            <w:tcW w:w="100" w:type="dxa"/>
            <w:vAlign w:val="bottom"/>
          </w:tcPr>
          <w:p>
            <w:pPr>
              <w:spacing w:after="0"/>
              <w:rPr>
                <w:sz w:val="21"/>
                <w:szCs w:val="21"/>
                <w:color w:val="auto"/>
              </w:rPr>
            </w:pP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w:t>
            </w:r>
          </w:p>
        </w:tc>
        <w:tc>
          <w:tcPr>
            <w:tcW w:w="4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16,820,285</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8,980,715</w:t>
            </w:r>
          </w:p>
        </w:tc>
        <w:tc>
          <w:tcPr>
            <w:tcW w:w="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30,389,369</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17,902,715</w:t>
            </w:r>
          </w:p>
        </w:tc>
        <w:tc>
          <w:tcPr>
            <w:tcW w:w="100" w:type="dxa"/>
            <w:vAlign w:val="bottom"/>
            <w:shd w:val="clear" w:color="auto" w:fill="CFF0FC"/>
          </w:tcPr>
          <w:p>
            <w:pPr>
              <w:spacing w:after="0"/>
              <w:rPr>
                <w:sz w:val="22"/>
                <w:szCs w:val="22"/>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420" w:type="dxa"/>
            <w:vAlign w:val="bottom"/>
          </w:tcPr>
          <w:p>
            <w:pPr>
              <w:spacing w:after="0"/>
              <w:rPr>
                <w:sz w:val="22"/>
                <w:szCs w:val="22"/>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90"/>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Income Taxes</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30,026,732</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15,378,715</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60,882,910</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28,527,715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-1722120</wp:posOffset>
            </wp:positionV>
            <wp:extent cx="2228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-1705610</wp:posOffset>
            </wp:positionV>
            <wp:extent cx="2228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-1722120</wp:posOffset>
            </wp:positionV>
            <wp:extent cx="2057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-1705610</wp:posOffset>
            </wp:positionV>
            <wp:extent cx="2057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-1722120</wp:posOffset>
            </wp:positionV>
            <wp:extent cx="1968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-1705610</wp:posOffset>
            </wp:positionV>
            <wp:extent cx="1968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-1722120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-1705610</wp:posOffset>
            </wp:positionV>
            <wp:extent cx="596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-1042035</wp:posOffset>
            </wp:positionV>
            <wp:extent cx="22288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-1042035</wp:posOffset>
            </wp:positionV>
            <wp:extent cx="2057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-1042035</wp:posOffset>
            </wp:positionV>
            <wp:extent cx="19685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-1042035</wp:posOffset>
            </wp:positionV>
            <wp:extent cx="5969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2228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2228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2057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2057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1968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968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Goodwill assigned to the Consumer Packaged Goods segment as of June 30, 2021 and December 31, 2020 was $284,130,932 and $252,016,532, respectively. Intangible assets, net assigned to the Consumer Packaged Goods segment as of June 30, 2021 and December 31, 2020 was $222,098,783 and $211,303,718, respectively.</w:t>
      </w:r>
    </w:p>
    <w:p>
      <w:pPr>
        <w:spacing w:after="0" w:line="183"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Goodwill assigned to the Retail segment as of June 30, 2021 and December 31, 2020 was $138,709,535 and $130,680,935, respectively. Intangible assets, net assigned to the Retail segment as of June 30, 2021 and December 31, 2020 was $189,439,317 and $194,938,316, respectively.</w:t>
      </w:r>
    </w:p>
    <w:p>
      <w:pPr>
        <w:spacing w:after="0" w:line="12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22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Virginia</w:t>
      </w:r>
    </w:p>
    <w:p>
      <w:pPr>
        <w:spacing w:after="0" w:line="252" w:lineRule="exact"/>
        <w:rPr>
          <w:sz w:val="20"/>
          <w:szCs w:val="20"/>
          <w:color w:val="auto"/>
        </w:rPr>
      </w:pPr>
    </w:p>
    <w:p>
      <w:pPr>
        <w:ind w:left="440"/>
        <w:spacing w:after="0" w:line="273" w:lineRule="auto"/>
        <w:rPr>
          <w:sz w:val="20"/>
          <w:szCs w:val="20"/>
          <w:color w:val="auto"/>
        </w:rPr>
      </w:pPr>
      <w:r>
        <w:rPr>
          <w:rFonts w:ascii="Arial" w:cs="Arial" w:eastAsia="Arial" w:hAnsi="Arial"/>
          <w:sz w:val="18"/>
          <w:szCs w:val="18"/>
          <w:color w:val="auto"/>
        </w:rPr>
        <w:t>On July 1, 2021, the Company acquired Dharma Pharmaceuticals LLC ("</w:t>
      </w:r>
      <w:r>
        <w:rPr>
          <w:rFonts w:ascii="Arial" w:cs="Arial" w:eastAsia="Arial" w:hAnsi="Arial"/>
          <w:sz w:val="18"/>
          <w:szCs w:val="18"/>
          <w:b w:val="1"/>
          <w:bCs w:val="1"/>
          <w:color w:val="auto"/>
        </w:rPr>
        <w:t>Dharma</w:t>
      </w:r>
      <w:r>
        <w:rPr>
          <w:rFonts w:ascii="Arial" w:cs="Arial" w:eastAsia="Arial" w:hAnsi="Arial"/>
          <w:sz w:val="18"/>
          <w:szCs w:val="18"/>
          <w:color w:val="auto"/>
        </w:rPr>
        <w:t xml:space="preserve">") a Virginia-based medical cannabis cultivator, processor and retailer for approximately $17 million in cash and 2,298,779 Subordinate Voting Shares valued at approximately $76 million (including 229,878 deferred shares) based on the fair value of the securities on their date of issuance, which was the closing price of Green Thumb's Subordinate Voting Shares as traded on the CSE on the date of the transaction. In addition, the purchase agreement also included </w:t>
      </w:r>
      <w:r>
        <w:rPr>
          <w:rFonts w:ascii="Arial" w:cs="Arial" w:eastAsia="Arial" w:hAnsi="Arial"/>
          <w:sz w:val="16"/>
          <w:szCs w:val="16"/>
          <w:color w:val="auto"/>
        </w:rPr>
        <w:t>contingent consideration up to $65 million</w:t>
      </w:r>
      <w:r>
        <w:rPr>
          <w:rFonts w:ascii="Arial" w:cs="Arial" w:eastAsia="Arial" w:hAnsi="Arial"/>
          <w:sz w:val="18"/>
          <w:szCs w:val="18"/>
          <w:color w:val="auto"/>
        </w:rPr>
        <w:t xml:space="preserve"> </w:t>
      </w:r>
      <w:r>
        <w:rPr>
          <w:rFonts w:ascii="Arial" w:cs="Arial" w:eastAsia="Arial" w:hAnsi="Arial"/>
          <w:sz w:val="16"/>
          <w:szCs w:val="16"/>
          <w:color w:val="auto"/>
        </w:rPr>
        <w:t xml:space="preserve">in shares of Green Thumb and is dependent upon the achievement of certain milestones. To date, the Company has issued $6 million in shares to the former owners of Dharma associated with the achievement of one of the milestones. </w:t>
      </w:r>
      <w:r>
        <w:rPr>
          <w:rFonts w:ascii="Arial" w:cs="Arial" w:eastAsia="Arial" w:hAnsi="Arial"/>
          <w:sz w:val="17"/>
          <w:szCs w:val="17"/>
          <w:color w:val="auto"/>
        </w:rPr>
        <w:t>The Company has not yet completed the valuation of the acquired entity or related</w:t>
      </w:r>
      <w:r>
        <w:rPr>
          <w:rFonts w:ascii="Arial" w:cs="Arial" w:eastAsia="Arial" w:hAnsi="Arial"/>
          <w:sz w:val="16"/>
          <w:szCs w:val="16"/>
          <w:color w:val="auto"/>
        </w:rPr>
        <w:t xml:space="preserve"> </w:t>
      </w:r>
      <w:r>
        <w:rPr>
          <w:rFonts w:ascii="Arial" w:cs="Arial" w:eastAsia="Arial" w:hAnsi="Arial"/>
          <w:sz w:val="17"/>
          <w:szCs w:val="17"/>
          <w:color w:val="auto"/>
        </w:rPr>
        <w:t>purchase accounting for the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Rhode Island</w:t>
      </w:r>
    </w:p>
    <w:p>
      <w:pPr>
        <w:spacing w:after="0" w:line="256" w:lineRule="exact"/>
        <w:rPr>
          <w:sz w:val="20"/>
          <w:szCs w:val="20"/>
          <w:color w:val="auto"/>
        </w:rPr>
      </w:pPr>
    </w:p>
    <w:p>
      <w:pPr>
        <w:ind w:left="440" w:right="140"/>
        <w:spacing w:after="0" w:line="271" w:lineRule="auto"/>
        <w:rPr>
          <w:sz w:val="20"/>
          <w:szCs w:val="20"/>
          <w:color w:val="auto"/>
        </w:rPr>
      </w:pPr>
      <w:r>
        <w:rPr>
          <w:rFonts w:ascii="Arial" w:cs="Arial" w:eastAsia="Arial" w:hAnsi="Arial"/>
          <w:sz w:val="18"/>
          <w:szCs w:val="18"/>
          <w:color w:val="auto"/>
        </w:rPr>
        <w:t>On August 1, 2021, the Company acquired Mobley Pain Management and Wellness Center LLC and Canwell Processing LLC, both of which have contractual interests in Summit Medical Compassion Center, Inc. a non-profit with vertically integrated cannabis operations in Rhode Island. Green Thumb exchanged 2,387,807 Subordinate Voting Shares valued at approximately $71 million (including 303,599 deferred shares) based on the fair value of the securities on their date of issuance, which was the closing price of Green Thumb's Subordinate Voting Shares as traded on the CSE on the date of the transaction. The Company has not yet completed the valuation of the acquired entity or related purchase accounting for the transaction.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9" w:name="page30"/>
    <w:bookmarkEnd w:id="29"/>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 DISCUSSION AND ANALYSIS OF FINANCIAL CONDITION AND RESULTS OF OPERATION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management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of the financial condition and results of operations of Green Thumb Industries Inc.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Green Thumb</w:t>
      </w:r>
      <w:r>
        <w:rPr>
          <w:rFonts w:ascii="Arial" w:cs="Arial" w:eastAsia="Arial" w:hAnsi="Arial"/>
          <w:sz w:val="16"/>
          <w:szCs w:val="16"/>
          <w:color w:val="auto"/>
        </w:rPr>
        <w:t>”) is for the three and six months ended June 30, 2021 and 2020. It is supplemental to, and should be read in conjunction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the Company’s unaudited interim condensed consolidated financial statements as of June 30, 2021 and the consolidated financial statements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2020 included in the Company’s Annual Report on Form 10-K for the year ended December 31, 2020 filed with the U.S.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on March 18, 2021 (the “</w:t>
      </w:r>
      <w:r>
        <w:rPr>
          <w:rFonts w:ascii="Arial" w:cs="Arial" w:eastAsia="Arial" w:hAnsi="Arial"/>
          <w:sz w:val="16"/>
          <w:szCs w:val="16"/>
          <w:b w:val="1"/>
          <w:bCs w:val="1"/>
          <w:color w:val="auto"/>
        </w:rPr>
        <w:t>2020 Form 10-K</w:t>
      </w:r>
      <w:r>
        <w:rPr>
          <w:rFonts w:ascii="Arial" w:cs="Arial" w:eastAsia="Arial" w:hAnsi="Arial"/>
          <w:sz w:val="16"/>
          <w:szCs w:val="16"/>
          <w:color w:val="auto"/>
        </w:rPr>
        <w:t>”) and the accompanying notes for each respective period.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are prepared in accordance with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Financial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in this MD&amp;A is presented in United States dollars (“</w:t>
      </w:r>
      <w:r>
        <w:rPr>
          <w:rFonts w:ascii="Arial" w:cs="Arial" w:eastAsia="Arial" w:hAnsi="Arial"/>
          <w:sz w:val="18"/>
          <w:szCs w:val="18"/>
          <w:b w:val="1"/>
          <w:bCs w:val="1"/>
          <w:color w:val="auto"/>
        </w:rPr>
        <w:t>$</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unless otherwise indicated.</w:t>
      </w:r>
    </w:p>
    <w:p>
      <w:pPr>
        <w:spacing w:after="0" w:line="238" w:lineRule="exact"/>
        <w:rPr>
          <w:sz w:val="20"/>
          <w:szCs w:val="20"/>
          <w:color w:val="auto"/>
        </w:rPr>
      </w:pPr>
    </w:p>
    <w:p>
      <w:pPr>
        <w:ind w:right="300" w:firstLine="441"/>
        <w:spacing w:after="0" w:line="319" w:lineRule="auto"/>
        <w:rPr>
          <w:sz w:val="20"/>
          <w:szCs w:val="20"/>
          <w:color w:val="auto"/>
        </w:rPr>
      </w:pPr>
      <w:r>
        <w:rPr>
          <w:rFonts w:ascii="Arial" w:cs="Arial" w:eastAsia="Arial" w:hAnsi="Arial"/>
          <w:sz w:val="16"/>
          <w:szCs w:val="16"/>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As a result of many factors, the Company’s actual results may differ materially from those anticipated in these forward-looking statements and information.</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127" w:lineRule="exact"/>
        <w:rPr>
          <w:sz w:val="20"/>
          <w:szCs w:val="20"/>
          <w:color w:val="auto"/>
        </w:rPr>
      </w:pPr>
    </w:p>
    <w:p>
      <w:pPr>
        <w:ind w:firstLine="441"/>
        <w:spacing w:after="0" w:line="276" w:lineRule="auto"/>
        <w:rPr>
          <w:sz w:val="20"/>
          <w:szCs w:val="20"/>
          <w:color w:val="auto"/>
        </w:rPr>
      </w:pPr>
      <w:r>
        <w:rPr>
          <w:rFonts w:ascii="Arial" w:cs="Arial" w:eastAsia="Arial" w:hAnsi="Arial"/>
          <w:sz w:val="18"/>
          <w:szCs w:val="18"/>
          <w:color w:val="auto"/>
        </w:rPr>
        <w:t>In March 2020, the World Health Organization categorized coronavirus disease 2019 (together with its variants “</w:t>
      </w:r>
      <w:r>
        <w:rPr>
          <w:rFonts w:ascii="Arial" w:cs="Arial" w:eastAsia="Arial" w:hAnsi="Arial"/>
          <w:sz w:val="18"/>
          <w:szCs w:val="18"/>
          <w:b w:val="1"/>
          <w:bCs w:val="1"/>
          <w:color w:val="auto"/>
        </w:rPr>
        <w:t>COVID-19</w:t>
      </w:r>
      <w:r>
        <w:rPr>
          <w:rFonts w:ascii="Arial" w:cs="Arial" w:eastAsia="Arial" w:hAnsi="Arial"/>
          <w:sz w:val="18"/>
          <w:szCs w:val="18"/>
          <w:color w:val="auto"/>
        </w:rPr>
        <w:t>”) as a pandemic. COVID-19 continues to spread throughout the U.S. and other countries across the world, and the duration and severity of its effects and those of its variants are currently unknown. The Company continues to implement and evaluate actions to strengthen its financial position and support the continuity of its business and operations in the face of this pandemic and other events.</w:t>
      </w:r>
    </w:p>
    <w:p>
      <w:pPr>
        <w:spacing w:after="0" w:line="186" w:lineRule="exact"/>
        <w:rPr>
          <w:sz w:val="20"/>
          <w:szCs w:val="20"/>
          <w:color w:val="auto"/>
        </w:rPr>
      </w:pPr>
    </w:p>
    <w:p>
      <w:pPr>
        <w:ind w:firstLine="441"/>
        <w:spacing w:after="0" w:line="292" w:lineRule="auto"/>
        <w:rPr>
          <w:sz w:val="20"/>
          <w:szCs w:val="20"/>
          <w:color w:val="auto"/>
        </w:rPr>
      </w:pPr>
      <w:r>
        <w:rPr>
          <w:rFonts w:ascii="Arial" w:cs="Arial" w:eastAsia="Arial" w:hAnsi="Arial"/>
          <w:sz w:val="17"/>
          <w:szCs w:val="17"/>
          <w:color w:val="auto"/>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 However, given the Company’s operations have to date been deemed “essential” services in the states in which it does business, the Company believes that there will continue to be strong demand for Green Thumb products.</w:t>
      </w:r>
    </w:p>
    <w:p>
      <w:pPr>
        <w:spacing w:after="0" w:line="174" w:lineRule="exact"/>
        <w:rPr>
          <w:sz w:val="20"/>
          <w:szCs w:val="20"/>
          <w:color w:val="auto"/>
        </w:rPr>
      </w:pPr>
    </w:p>
    <w:p>
      <w:pPr>
        <w:ind w:firstLine="441"/>
        <w:spacing w:after="0" w:line="272" w:lineRule="auto"/>
        <w:rPr>
          <w:sz w:val="20"/>
          <w:szCs w:val="20"/>
          <w:color w:val="auto"/>
        </w:rPr>
      </w:pPr>
      <w:r>
        <w:rPr>
          <w:rFonts w:ascii="Arial" w:cs="Arial" w:eastAsia="Arial" w:hAnsi="Arial"/>
          <w:sz w:val="18"/>
          <w:szCs w:val="18"/>
          <w:color w:val="auto"/>
        </w:rPr>
        <w:t>Operations of the Company are currently ongoing as the cultivation, processing and sale of cannabis products is currently considered an “essential” business by all states in which the Company operates with respect to all customers. The Company’s ability to continue to operate without any significant negative operational impact from the COVID-19 pandemic and any of its variants will in part depend on the Company’s ability to protect its employees, customers and supply chain and its continued designation as “essential” in states where it does business that currently or in the future impose restrictions on business operations.</w:t>
      </w:r>
    </w:p>
    <w:p>
      <w:pPr>
        <w:spacing w:after="0" w:line="191" w:lineRule="exact"/>
        <w:rPr>
          <w:sz w:val="20"/>
          <w:szCs w:val="20"/>
          <w:color w:val="auto"/>
        </w:rPr>
      </w:pPr>
    </w:p>
    <w:p>
      <w:pPr>
        <w:ind w:right="180" w:firstLine="441"/>
        <w:spacing w:after="0" w:line="275" w:lineRule="auto"/>
        <w:rPr>
          <w:sz w:val="20"/>
          <w:szCs w:val="20"/>
          <w:color w:val="auto"/>
        </w:rPr>
      </w:pPr>
      <w:r>
        <w:rPr>
          <w:rFonts w:ascii="Arial" w:cs="Arial" w:eastAsia="Arial" w:hAnsi="Arial"/>
          <w:sz w:val="18"/>
          <w:szCs w:val="18"/>
          <w:color w:val="auto"/>
        </w:rPr>
        <w:t>The pandemic has not materially impacted the Company’s business operations or liquidity position to date. The Company continues to generate operating cash flows to meet its short-term liquidity needs. In all locations where applicable regulations limiting in-store retail activity have been enacted by governmental authorities, the Company has expanded consumer delivery options and curbside pickup to help further protect the health and safety of Green Thumb employees and customers.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ind w:right="40" w:firstLine="441"/>
        <w:spacing w:after="0" w:line="296" w:lineRule="auto"/>
        <w:rPr>
          <w:sz w:val="20"/>
          <w:szCs w:val="20"/>
          <w:color w:val="auto"/>
        </w:rPr>
      </w:pPr>
      <w:r>
        <w:rPr>
          <w:rFonts w:ascii="Arial" w:cs="Arial" w:eastAsia="Arial" w:hAnsi="Arial"/>
          <w:sz w:val="17"/>
          <w:szCs w:val="17"/>
          <w:color w:val="auto"/>
        </w:rPr>
        <w:t>During the first six months of 2021 the Company’s revenue, gross profit and operating income were not negatively impacted by COVID-19 and the Company generally maintained the consistency of its operations. However, the uncertain nature of the spread of COVID-19 and its variants may impact its business operations for reasons including the potential quarantine of Green Thumb employees or those of its supply chain partners and its continued designation as “essential” in states where it does business that currently or in the future impose restrictions on business operations.</w:t>
      </w:r>
    </w:p>
    <w:p>
      <w:pPr>
        <w:spacing w:after="0" w:line="183" w:lineRule="exact"/>
        <w:rPr>
          <w:sz w:val="20"/>
          <w:szCs w:val="20"/>
          <w:color w:val="auto"/>
        </w:rPr>
      </w:pPr>
    </w:p>
    <w:p>
      <w:pPr>
        <w:ind w:right="480" w:firstLine="441"/>
        <w:spacing w:after="0" w:line="293"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Green Thumb’s results, please refer to “Risk Factors” in Part II, Item 1A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135" w:lineRule="exact"/>
        <w:rPr>
          <w:sz w:val="20"/>
          <w:szCs w:val="20"/>
          <w:color w:val="auto"/>
        </w:rPr>
      </w:pPr>
    </w:p>
    <w:p>
      <w:pPr>
        <w:ind w:right="180" w:firstLine="441"/>
        <w:spacing w:after="0" w:line="329" w:lineRule="auto"/>
        <w:rPr>
          <w:sz w:val="20"/>
          <w:szCs w:val="20"/>
          <w:color w:val="auto"/>
        </w:rPr>
      </w:pPr>
      <w:r>
        <w:rPr>
          <w:rFonts w:ascii="Arial" w:cs="Arial" w:eastAsia="Arial" w:hAnsi="Arial"/>
          <w:sz w:val="16"/>
          <w:szCs w:val="16"/>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June 30, 2021, Green Thumb has operations across 12 U.S. markets, employs approximately 2,850 people and serves millions of patients and customers annually.</w:t>
      </w:r>
    </w:p>
    <w:p>
      <w:pPr>
        <w:spacing w:after="0" w:line="148" w:lineRule="exact"/>
        <w:rPr>
          <w:sz w:val="20"/>
          <w:szCs w:val="20"/>
          <w:color w:val="auto"/>
        </w:rPr>
      </w:pPr>
    </w:p>
    <w:p>
      <w:pPr>
        <w:jc w:val="both"/>
        <w:ind w:right="140" w:firstLine="441"/>
        <w:spacing w:after="0" w:line="275" w:lineRule="auto"/>
        <w:rPr>
          <w:sz w:val="20"/>
          <w:szCs w:val="20"/>
          <w:color w:val="auto"/>
        </w:rPr>
      </w:pPr>
      <w:r>
        <w:rPr>
          <w:rFonts w:ascii="Arial" w:cs="Arial" w:eastAsia="Arial" w:hAnsi="Arial"/>
          <w:sz w:val="18"/>
          <w:szCs w:val="18"/>
          <w:color w:val="auto"/>
        </w:rPr>
        <w:t>Green Thumb’s core business is manufacturing, distributing and marketing a portfolio of owned cannabis consumer packaged goods brands (which we refer to as our Consumer Packaged Goods business), including Beboe, Dogwalkers, Dr. Solomon’s,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85" w:lineRule="exact"/>
        <w:rPr>
          <w:sz w:val="20"/>
          <w:szCs w:val="20"/>
          <w:color w:val="auto"/>
        </w:rPr>
      </w:pPr>
    </w:p>
    <w:p>
      <w:pPr>
        <w:ind w:firstLine="441"/>
        <w:spacing w:after="0" w:line="292" w:lineRule="auto"/>
        <w:rPr>
          <w:sz w:val="20"/>
          <w:szCs w:val="20"/>
          <w:color w:val="auto"/>
        </w:rPr>
      </w:pPr>
      <w:r>
        <w:rPr>
          <w:rFonts w:ascii="Arial" w:cs="Arial" w:eastAsia="Arial" w:hAnsi="Arial"/>
          <w:sz w:val="17"/>
          <w:szCs w:val="17"/>
          <w:color w:val="auto"/>
        </w:rPr>
        <w:t>The Company’s Consumer Packaged Goods portfolio is primarily generated from plant material that Green Thumb grows and processes itself, which we use to produce our consumer packaged goods in 14 manufacturing facilities. This portfolio consists of stock keeping units (“</w:t>
      </w:r>
      <w:r>
        <w:rPr>
          <w:rFonts w:ascii="Arial" w:cs="Arial" w:eastAsia="Arial" w:hAnsi="Arial"/>
          <w:sz w:val="17"/>
          <w:szCs w:val="17"/>
          <w:b w:val="1"/>
          <w:bCs w:val="1"/>
          <w:color w:val="auto"/>
        </w:rPr>
        <w:t>SKUs</w:t>
      </w:r>
      <w:r>
        <w:rPr>
          <w:rFonts w:ascii="Arial" w:cs="Arial" w:eastAsia="Arial" w:hAnsi="Arial"/>
          <w:sz w:val="17"/>
          <w:szCs w:val="17"/>
          <w:color w:val="auto"/>
        </w:rPr>
        <w:t>”)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12 U.S. markets Green Thumb operates including Green Thumb’s own Rise and Essence dispensaries.</w:t>
      </w:r>
    </w:p>
    <w:p>
      <w:pPr>
        <w:spacing w:after="0" w:line="166"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Green Thumb owns and operates a national cannabis retail chain called Rise</w:t>
      </w:r>
      <w:r>
        <w:rPr>
          <w:rFonts w:ascii="Arial" w:cs="Arial" w:eastAsia="Arial" w:hAnsi="Arial"/>
          <w:sz w:val="21"/>
          <w:szCs w:val="21"/>
          <w:color w:val="auto"/>
          <w:vertAlign w:val="superscript"/>
        </w:rPr>
        <w:t>™</w:t>
      </w:r>
      <w:r>
        <w:rPr>
          <w:rFonts w:ascii="Arial" w:cs="Arial" w:eastAsia="Arial" w:hAnsi="Arial"/>
          <w:sz w:val="16"/>
          <w:szCs w:val="16"/>
          <w:color w:val="auto"/>
        </w:rPr>
        <w:t>, and in the Las Vegas, Nevada and Pasadena, California areas,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eight of the states in which we operate (including Nevada). The Essence stores were acquired in connection with the 2019 acquisition of Integral Associates and are located in Nevada and beginning in March 2021, California. The Essence stores differ from the Rise stores mainly in geographic location. As of June 30, 2021, the Company had 58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COVID-19 as described above and under the heading “Liquidity, Financing Activities During the Period, and Capital Resources”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31" w:lineRule="exact"/>
        <w:rPr>
          <w:sz w:val="20"/>
          <w:szCs w:val="20"/>
          <w:color w:val="auto"/>
        </w:rPr>
      </w:pPr>
    </w:p>
    <w:p>
      <w:pPr>
        <w:ind w:right="100" w:firstLine="441"/>
        <w:spacing w:after="0" w:line="296" w:lineRule="auto"/>
        <w:rPr>
          <w:sz w:val="20"/>
          <w:szCs w:val="20"/>
          <w:color w:val="auto"/>
        </w:rPr>
      </w:pPr>
      <w:r>
        <w:rPr>
          <w:rFonts w:ascii="Arial" w:cs="Arial" w:eastAsia="Arial" w:hAnsi="Arial"/>
          <w:sz w:val="17"/>
          <w:szCs w:val="17"/>
          <w:color w:val="auto"/>
        </w:rPr>
        <w:t>The following table sets forth the Company’s selected consolidated financial results for the periods, and as of the dates, indicated. The (i) unaudited condensed consolidated statements of operations for the three and six months ended June 30, 2021 and 2020 and (ii) unaudited interim condensed consolidated balance sheet as of June 30, 2021 and December 31, 2020 have been derived from, and should be read in conjunction with the unaudited interim condensed consolidated financial statements and accompanying notes presented in Item 1 of this Report.</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1" w:name="page32"/>
    <w:bookmarkEnd w:id="31"/>
    <w:p>
      <w:pPr>
        <w:ind w:right="180" w:firstLine="441"/>
        <w:spacing w:after="0" w:line="359" w:lineRule="auto"/>
        <w:rPr>
          <w:sz w:val="20"/>
          <w:szCs w:val="20"/>
          <w:color w:val="auto"/>
        </w:rPr>
      </w:pPr>
      <w:r>
        <w:rPr>
          <w:rFonts w:ascii="Arial" w:cs="Arial" w:eastAsia="Arial" w:hAnsi="Arial"/>
          <w:sz w:val="16"/>
          <w:szCs w:val="16"/>
          <w:color w:val="auto"/>
        </w:rPr>
        <w:t>The Company’s unaudited interim condensed consolidated financial statements have been prepared in accordance with U.S. GAAP and on a going-concern basis that contemplates continuity of operations and realization of assets and liquidation of liabilities in the ordinary course of business.</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Three Months Ended June 30,</w:t>
            </w:r>
          </w:p>
        </w:tc>
        <w:tc>
          <w:tcPr>
            <w:tcW w:w="240" w:type="dxa"/>
            <w:vAlign w:val="bottom"/>
          </w:tcPr>
          <w:p>
            <w:pPr>
              <w:spacing w:after="0"/>
              <w:rPr>
                <w:sz w:val="16"/>
                <w:szCs w:val="16"/>
                <w:color w:val="auto"/>
              </w:rPr>
            </w:pPr>
          </w:p>
        </w:tc>
        <w:tc>
          <w:tcPr>
            <w:tcW w:w="2080" w:type="dxa"/>
            <w:vAlign w:val="bottom"/>
            <w:gridSpan w:val="9"/>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1560" w:type="dxa"/>
            <w:vAlign w:val="bottom"/>
            <w:gridSpan w:val="4"/>
          </w:tcPr>
          <w:p>
            <w:pPr>
              <w:ind w:left="320"/>
              <w:spacing w:after="0"/>
              <w:rPr>
                <w:sz w:val="20"/>
                <w:szCs w:val="20"/>
                <w:color w:val="auto"/>
              </w:rPr>
            </w:pPr>
            <w:r>
              <w:rPr>
                <w:rFonts w:ascii="Arial" w:cs="Arial" w:eastAsia="Arial" w:hAnsi="Arial"/>
                <w:sz w:val="14"/>
                <w:szCs w:val="14"/>
                <w:b w:val="1"/>
                <w:bCs w:val="1"/>
                <w:color w:val="auto"/>
              </w:rPr>
              <w:t>QTD Change</w:t>
            </w:r>
          </w:p>
        </w:tc>
        <w:tc>
          <w:tcPr>
            <w:tcW w:w="240" w:type="dxa"/>
            <w:vAlign w:val="bottom"/>
          </w:tcPr>
          <w:p>
            <w:pPr>
              <w:spacing w:after="0"/>
              <w:rPr>
                <w:sz w:val="16"/>
                <w:szCs w:val="16"/>
                <w:color w:val="auto"/>
              </w:rPr>
            </w:pPr>
          </w:p>
        </w:tc>
        <w:tc>
          <w:tcPr>
            <w:tcW w:w="1560" w:type="dxa"/>
            <w:vAlign w:val="bottom"/>
            <w:gridSpan w:val="3"/>
          </w:tcPr>
          <w:p>
            <w:pPr>
              <w:ind w:left="280"/>
              <w:spacing w:after="0"/>
              <w:rPr>
                <w:sz w:val="20"/>
                <w:szCs w:val="20"/>
                <w:color w:val="auto"/>
              </w:rPr>
            </w:pPr>
            <w:r>
              <w:rPr>
                <w:rFonts w:ascii="Arial" w:cs="Arial" w:eastAsia="Arial" w:hAnsi="Arial"/>
                <w:sz w:val="14"/>
                <w:szCs w:val="14"/>
                <w:b w:val="1"/>
                <w:bCs w:val="1"/>
                <w:color w:val="auto"/>
              </w:rPr>
              <w:t>YTD Change</w:t>
            </w: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Revenues, net of discounts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221,871,812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119,639,924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9"/>
              </w:rPr>
              <w:t>416,302,396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222,242,526</w:t>
            </w:r>
          </w:p>
        </w:tc>
        <w:tc>
          <w:tcPr>
            <w:tcW w:w="1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102,231,888</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85%</w:t>
            </w:r>
          </w:p>
        </w:tc>
        <w:tc>
          <w:tcPr>
            <w:tcW w:w="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194,059,870</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87%</w:t>
            </w:r>
          </w:p>
        </w:tc>
        <w:tc>
          <w:tcPr>
            <w:tcW w:w="0" w:type="dxa"/>
            <w:vAlign w:val="bottom"/>
          </w:tcPr>
          <w:p>
            <w:pPr>
              <w:spacing w:after="0"/>
              <w:rPr>
                <w:sz w:val="1"/>
                <w:szCs w:val="1"/>
                <w:color w:val="auto"/>
              </w:rPr>
            </w:pPr>
          </w:p>
        </w:tc>
      </w:tr>
      <w:tr>
        <w:trPr>
          <w:trHeight w:val="197"/>
        </w:trPr>
        <w:tc>
          <w:tcPr>
            <w:tcW w:w="2900" w:type="dxa"/>
            <w:vAlign w:val="bottom"/>
            <w:gridSpan w:val="2"/>
          </w:tcPr>
          <w:p>
            <w:pPr>
              <w:spacing w:after="0"/>
              <w:rPr>
                <w:sz w:val="20"/>
                <w:szCs w:val="20"/>
                <w:color w:val="auto"/>
              </w:rPr>
            </w:pPr>
            <w:r>
              <w:rPr>
                <w:rFonts w:ascii="Arial" w:cs="Arial" w:eastAsia="Arial" w:hAnsi="Arial"/>
                <w:sz w:val="14"/>
                <w:szCs w:val="14"/>
                <w:color w:val="auto"/>
              </w:rPr>
              <w:t>Cost of Goods Sold, net</w:t>
            </w: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(98,960,988 )</w:t>
            </w: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(55,946,010 )</w:t>
            </w:r>
          </w:p>
        </w:tc>
        <w:tc>
          <w:tcPr>
            <w:tcW w:w="2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w w:val="96"/>
              </w:rPr>
              <w:t>(182,526,072 )</w:t>
            </w:r>
          </w:p>
        </w:tc>
        <w:tc>
          <w:tcPr>
            <w:tcW w:w="180" w:type="dxa"/>
            <w:vAlign w:val="bottom"/>
          </w:tcPr>
          <w:p>
            <w:pPr>
              <w:spacing w:after="0"/>
              <w:rPr>
                <w:sz w:val="17"/>
                <w:szCs w:val="17"/>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4"/>
                <w:szCs w:val="14"/>
                <w:color w:val="auto"/>
                <w:w w:val="96"/>
              </w:rPr>
              <w:t>(105,561,198 )</w:t>
            </w:r>
          </w:p>
        </w:tc>
        <w:tc>
          <w:tcPr>
            <w:tcW w:w="18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(43,014,978 )</w:t>
            </w: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(77)%</w:t>
            </w: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(76,964,874 )</w:t>
            </w: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(73)%</w:t>
            </w: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Gross Profit</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122,910,824</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63,693,914</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233,776,324</w:t>
            </w: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4"/>
                <w:szCs w:val="14"/>
                <w:color w:val="auto"/>
              </w:rPr>
              <w:t>116,681,328</w:t>
            </w:r>
          </w:p>
        </w:tc>
        <w:tc>
          <w:tcPr>
            <w:tcW w:w="1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59,216,910</w:t>
            </w:r>
          </w:p>
        </w:tc>
        <w:tc>
          <w:tcPr>
            <w:tcW w:w="1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9"/>
              </w:rPr>
              <w:t>93%</w:t>
            </w: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117,094,996</w:t>
            </w:r>
          </w:p>
        </w:tc>
        <w:tc>
          <w:tcPr>
            <w:tcW w:w="1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196"/>
        </w:trPr>
        <w:tc>
          <w:tcPr>
            <w:tcW w:w="2900" w:type="dxa"/>
            <w:vAlign w:val="bottom"/>
            <w:gridSpan w:val="2"/>
          </w:tcPr>
          <w:p>
            <w:pPr>
              <w:ind w:left="180"/>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72,055,473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49,643,211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131,386,724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95,077,968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22,412,262</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45%</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36,308,756</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50,855,351</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14,050,703</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102,389,600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4"/>
                <w:szCs w:val="14"/>
                <w:color w:val="auto"/>
              </w:rPr>
              <w:t>21,603,360</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36,804,648</w:t>
            </w:r>
          </w:p>
        </w:tc>
        <w:tc>
          <w:tcPr>
            <w:tcW w:w="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262%</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80,786,240</w:t>
            </w:r>
          </w:p>
        </w:tc>
        <w:tc>
          <w:tcPr>
            <w:tcW w:w="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4"/>
              </w:rPr>
              <w:t>374%</w:t>
            </w:r>
          </w:p>
        </w:tc>
        <w:tc>
          <w:tcPr>
            <w:tcW w:w="0" w:type="dxa"/>
            <w:vAlign w:val="bottom"/>
          </w:tcPr>
          <w:p>
            <w:pPr>
              <w:spacing w:after="0"/>
              <w:rPr>
                <w:sz w:val="1"/>
                <w:szCs w:val="1"/>
                <w:color w:val="auto"/>
              </w:rPr>
            </w:pPr>
          </w:p>
        </w:tc>
      </w:tr>
      <w:tr>
        <w:trPr>
          <w:trHeight w:val="196"/>
        </w:trPr>
        <w:tc>
          <w:tcPr>
            <w:tcW w:w="2900" w:type="dxa"/>
            <w:vAlign w:val="bottom"/>
            <w:gridSpan w:val="2"/>
          </w:tcPr>
          <w:p>
            <w:pPr>
              <w:ind w:left="180"/>
              <w:spacing w:after="0"/>
              <w:rPr>
                <w:sz w:val="20"/>
                <w:szCs w:val="20"/>
                <w:color w:val="auto"/>
              </w:rPr>
            </w:pPr>
            <w:r>
              <w:rPr>
                <w:rFonts w:ascii="Arial" w:cs="Arial" w:eastAsia="Arial" w:hAnsi="Arial"/>
                <w:sz w:val="14"/>
                <w:szCs w:val="14"/>
                <w:color w:val="auto"/>
              </w:rPr>
              <w:t>Total Other Income (Expense)</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2,446,172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(10,435,925 )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(6,776,931 )</w:t>
            </w:r>
          </w:p>
        </w:tc>
        <w:tc>
          <w:tcPr>
            <w:tcW w:w="180" w:type="dxa"/>
            <w:vAlign w:val="bottom"/>
          </w:tcPr>
          <w:p>
            <w:pPr>
              <w:spacing w:after="0"/>
              <w:rPr>
                <w:sz w:val="17"/>
                <w:szCs w:val="17"/>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4"/>
                <w:szCs w:val="14"/>
                <w:color w:val="auto"/>
              </w:rPr>
              <w:t>(8,603,142 )</w:t>
            </w:r>
          </w:p>
        </w:tc>
        <w:tc>
          <w:tcPr>
            <w:tcW w:w="1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12,882,097</w:t>
            </w:r>
          </w:p>
        </w:tc>
        <w:tc>
          <w:tcPr>
            <w:tcW w:w="1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123%</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1,826,211</w:t>
            </w:r>
          </w:p>
        </w:tc>
        <w:tc>
          <w:tcPr>
            <w:tcW w:w="1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183"/>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8"/>
              </w:rPr>
              <w:t>Income Before Provision for Income Taxes and</w:t>
            </w:r>
          </w:p>
        </w:tc>
        <w:tc>
          <w:tcPr>
            <w:tcW w:w="1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53,301,523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3,614,778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95,612,669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13,000,218</w:t>
            </w:r>
          </w:p>
        </w:tc>
        <w:tc>
          <w:tcPr>
            <w:tcW w:w="10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49,686,745</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1,375%</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82,612,451</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635%</w:t>
            </w:r>
          </w:p>
        </w:tc>
        <w:tc>
          <w:tcPr>
            <w:tcW w:w="0" w:type="dxa"/>
            <w:vAlign w:val="bottom"/>
          </w:tcPr>
          <w:p>
            <w:pPr>
              <w:spacing w:after="0"/>
              <w:rPr>
                <w:sz w:val="1"/>
                <w:szCs w:val="1"/>
                <w:color w:val="auto"/>
              </w:rPr>
            </w:pPr>
          </w:p>
        </w:tc>
      </w:tr>
      <w:tr>
        <w:trPr>
          <w:trHeight w:val="197"/>
        </w:trPr>
        <w:tc>
          <w:tcPr>
            <w:tcW w:w="290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30,026,732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15,378,715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60,882,910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28,527,715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14,648,017</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95%</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32,355,195</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113%</w:t>
            </w:r>
          </w:p>
        </w:tc>
        <w:tc>
          <w:tcPr>
            <w:tcW w:w="0" w:type="dxa"/>
            <w:vAlign w:val="bottom"/>
          </w:tcPr>
          <w:p>
            <w:pPr>
              <w:spacing w:after="0"/>
              <w:rPr>
                <w:sz w:val="1"/>
                <w:szCs w:val="1"/>
                <w:color w:val="auto"/>
              </w:rPr>
            </w:pPr>
          </w:p>
        </w:tc>
      </w:tr>
      <w:tr>
        <w:trPr>
          <w:trHeight w:val="183"/>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(Loss) Before Non-Controlling</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23,274,791</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(11,763,937 )</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34,729,759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5"/>
            <w:shd w:val="clear" w:color="auto" w:fill="CFF0FC"/>
          </w:tcPr>
          <w:p>
            <w:pPr>
              <w:jc w:val="right"/>
              <w:ind w:right="40"/>
              <w:spacing w:after="0"/>
              <w:rPr>
                <w:sz w:val="20"/>
                <w:szCs w:val="20"/>
                <w:color w:val="auto"/>
              </w:rPr>
            </w:pPr>
            <w:r>
              <w:rPr>
                <w:rFonts w:ascii="Arial" w:cs="Arial" w:eastAsia="Arial" w:hAnsi="Arial"/>
                <w:sz w:val="14"/>
                <w:szCs w:val="14"/>
                <w:color w:val="auto"/>
              </w:rPr>
              <w:t>(15,527,497 )</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35,038,728</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298%</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50,257,256</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324%</w:t>
            </w:r>
          </w:p>
        </w:tc>
        <w:tc>
          <w:tcPr>
            <w:tcW w:w="0" w:type="dxa"/>
            <w:vAlign w:val="bottom"/>
          </w:tcPr>
          <w:p>
            <w:pPr>
              <w:spacing w:after="0"/>
              <w:rPr>
                <w:sz w:val="1"/>
                <w:szCs w:val="1"/>
                <w:color w:val="auto"/>
              </w:rPr>
            </w:pPr>
          </w:p>
        </w:tc>
      </w:tr>
      <w:tr>
        <w:trPr>
          <w:trHeight w:val="184"/>
        </w:trPr>
        <w:tc>
          <w:tcPr>
            <w:tcW w:w="290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1,222,800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1,145,568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2,309,102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w w:val="93"/>
              </w:rPr>
              <w:t>1,588,272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77,232</w:t>
            </w:r>
          </w:p>
        </w:tc>
        <w:tc>
          <w:tcPr>
            <w:tcW w:w="1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8"/>
              </w:rPr>
              <w:t>7%</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720,830</w:t>
            </w:r>
          </w:p>
        </w:tc>
        <w:tc>
          <w:tcPr>
            <w:tcW w:w="1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2"/>
              </w:rPr>
              <w:t>45%</w:t>
            </w:r>
          </w:p>
        </w:tc>
        <w:tc>
          <w:tcPr>
            <w:tcW w:w="0" w:type="dxa"/>
            <w:vAlign w:val="bottom"/>
          </w:tcPr>
          <w:p>
            <w:pPr>
              <w:spacing w:after="0"/>
              <w:rPr>
                <w:sz w:val="1"/>
                <w:szCs w:val="1"/>
                <w:color w:val="auto"/>
              </w:rPr>
            </w:pPr>
          </w:p>
        </w:tc>
      </w:tr>
      <w:tr>
        <w:trPr>
          <w:trHeight w:val="181"/>
        </w:trPr>
        <w:tc>
          <w:tcPr>
            <w:tcW w:w="290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7"/>
              </w:rPr>
              <w:t>Net Income (Loss) Attributable to Green Thumb</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22,051,991</w:t>
            </w:r>
          </w:p>
        </w:tc>
        <w:tc>
          <w:tcPr>
            <w:tcW w:w="12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(12,909,505 )</w:t>
            </w:r>
          </w:p>
        </w:tc>
        <w:tc>
          <w:tcPr>
            <w:tcW w:w="2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32,420,657</w:t>
            </w:r>
          </w:p>
        </w:tc>
        <w:tc>
          <w:tcPr>
            <w:tcW w:w="12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6"/>
            <w:vMerge w:val="restart"/>
            <w:shd w:val="clear" w:color="auto" w:fill="CFF0FC"/>
          </w:tcPr>
          <w:p>
            <w:pPr>
              <w:jc w:val="right"/>
              <w:ind w:right="19"/>
              <w:spacing w:after="0"/>
              <w:rPr>
                <w:sz w:val="20"/>
                <w:szCs w:val="20"/>
                <w:color w:val="auto"/>
              </w:rPr>
            </w:pPr>
            <w:r>
              <w:rPr>
                <w:rFonts w:ascii="Arial" w:cs="Arial" w:eastAsia="Arial" w:hAnsi="Arial"/>
                <w:sz w:val="14"/>
                <w:szCs w:val="14"/>
                <w:color w:val="auto"/>
              </w:rPr>
              <w:t>(17,115,769 ) $</w:t>
            </w: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34,961,496</w:t>
            </w: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89"/>
              </w:rPr>
              <w:t>271%</w:t>
            </w:r>
          </w:p>
        </w:tc>
        <w:tc>
          <w:tcPr>
            <w:tcW w:w="2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49,536,426</w:t>
            </w: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4"/>
              </w:rPr>
              <w:t>289%</w:t>
            </w:r>
          </w:p>
        </w:tc>
        <w:tc>
          <w:tcPr>
            <w:tcW w:w="0" w:type="dxa"/>
            <w:vAlign w:val="bottom"/>
          </w:tcPr>
          <w:p>
            <w:pPr>
              <w:spacing w:after="0"/>
              <w:rPr>
                <w:sz w:val="1"/>
                <w:szCs w:val="1"/>
                <w:color w:val="auto"/>
              </w:rPr>
            </w:pPr>
          </w:p>
        </w:tc>
      </w:tr>
      <w:tr>
        <w:trPr>
          <w:trHeight w:val="174"/>
        </w:trPr>
        <w:tc>
          <w:tcPr>
            <w:tcW w:w="2900" w:type="dxa"/>
            <w:vAlign w:val="bottom"/>
            <w:gridSpan w:val="2"/>
            <w:shd w:val="clear" w:color="auto" w:fill="CFF0FC"/>
          </w:tcPr>
          <w:p>
            <w:pPr>
              <w:spacing w:after="0" w:line="154" w:lineRule="exact"/>
              <w:rPr>
                <w:sz w:val="20"/>
                <w:szCs w:val="20"/>
                <w:color w:val="auto"/>
              </w:rPr>
            </w:pPr>
            <w:r>
              <w:rPr>
                <w:rFonts w:ascii="Arial" w:cs="Arial" w:eastAsia="Arial" w:hAnsi="Arial"/>
                <w:sz w:val="14"/>
                <w:szCs w:val="14"/>
                <w:color w:val="auto"/>
              </w:rPr>
              <w:t>Industries Inc.</w:t>
            </w:r>
          </w:p>
        </w:tc>
        <w:tc>
          <w:tcPr>
            <w:tcW w:w="120" w:type="dxa"/>
            <w:vAlign w:val="bottom"/>
            <w:vMerge w:val="continue"/>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120" w:type="dxa"/>
            <w:vAlign w:val="bottom"/>
            <w:gridSpan w:val="6"/>
            <w:vMerge w:val="continue"/>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00" w:type="dxa"/>
            <w:vAlign w:val="bottom"/>
            <w:gridSpan w:val="2"/>
          </w:tcPr>
          <w:p>
            <w:pPr>
              <w:spacing w:after="0"/>
              <w:rPr>
                <w:sz w:val="20"/>
                <w:szCs w:val="20"/>
                <w:color w:val="auto"/>
              </w:rPr>
            </w:pPr>
            <w:r>
              <w:rPr>
                <w:rFonts w:ascii="Arial" w:cs="Arial" w:eastAsia="Arial" w:hAnsi="Arial"/>
                <w:sz w:val="14"/>
                <w:szCs w:val="14"/>
                <w:color w:val="auto"/>
              </w:rPr>
              <w:t>Net Income (Loss) per share – basic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(0.06 )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right"/>
              <w:ind w:right="19"/>
              <w:spacing w:after="0"/>
              <w:rPr>
                <w:sz w:val="20"/>
                <w:szCs w:val="20"/>
                <w:color w:val="auto"/>
              </w:rPr>
            </w:pPr>
            <w:r>
              <w:rPr>
                <w:rFonts w:ascii="Arial" w:cs="Arial" w:eastAsia="Arial" w:hAnsi="Arial"/>
                <w:sz w:val="14"/>
                <w:szCs w:val="14"/>
                <w:color w:val="auto"/>
                <w:w w:val="91"/>
              </w:rPr>
              <w:t>(0.08 ) $</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263%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282%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(Loss) per share –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(0.06 )</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w w:val="91"/>
              </w:rPr>
              <w:t>(0.08 ) $</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259%</w:t>
            </w:r>
          </w:p>
        </w:tc>
        <w:tc>
          <w:tcPr>
            <w:tcW w:w="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278%</w:t>
            </w:r>
          </w:p>
        </w:tc>
        <w:tc>
          <w:tcPr>
            <w:tcW w:w="0" w:type="dxa"/>
            <w:vAlign w:val="bottom"/>
          </w:tcPr>
          <w:p>
            <w:pPr>
              <w:spacing w:after="0"/>
              <w:rPr>
                <w:sz w:val="1"/>
                <w:szCs w:val="1"/>
                <w:color w:val="auto"/>
              </w:rPr>
            </w:pPr>
          </w:p>
        </w:tc>
      </w:tr>
      <w:tr>
        <w:trPr>
          <w:trHeight w:val="170"/>
        </w:trPr>
        <w:tc>
          <w:tcPr>
            <w:tcW w:w="2900" w:type="dxa"/>
            <w:vAlign w:val="bottom"/>
            <w:tcBorders>
              <w:top w:val="single" w:sz="8" w:color="CFF0FC"/>
            </w:tcBorders>
            <w:gridSpan w:val="2"/>
          </w:tcPr>
          <w:p>
            <w:pPr>
              <w:spacing w:after="0"/>
              <w:rPr>
                <w:sz w:val="20"/>
                <w:szCs w:val="20"/>
                <w:color w:val="auto"/>
              </w:rPr>
            </w:pPr>
            <w:r>
              <w:rPr>
                <w:rFonts w:ascii="Arial" w:cs="Arial" w:eastAsia="Arial" w:hAnsi="Arial"/>
                <w:sz w:val="14"/>
                <w:szCs w:val="14"/>
                <w:color w:val="auto"/>
                <w:w w:val="91"/>
              </w:rPr>
              <w:t>Weighted average number of shares outstanding –</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220,323,622</w:t>
            </w:r>
          </w:p>
        </w:tc>
        <w:tc>
          <w:tcPr>
            <w:tcW w:w="12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209,902,732</w:t>
            </w:r>
          </w:p>
        </w:tc>
        <w:tc>
          <w:tcPr>
            <w:tcW w:w="1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89"/>
              </w:rPr>
              <w:t>218,276,376</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color w:val="auto"/>
              </w:rPr>
              <w:t>209,185,544</w:t>
            </w: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basic</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90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1"/>
              </w:rPr>
              <w:t>Weighted average number of shares outstanding –</w:t>
            </w:r>
          </w:p>
        </w:tc>
        <w:tc>
          <w:tcPr>
            <w:tcW w:w="1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224,843,155</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209,902,732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89"/>
              </w:rPr>
              <w:t>222,927,120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4"/>
            <w:vMerge w:val="restart"/>
            <w:shd w:val="clear" w:color="auto" w:fill="CFF0FC"/>
          </w:tcPr>
          <w:p>
            <w:pPr>
              <w:jc w:val="right"/>
              <w:spacing w:after="0"/>
              <w:rPr>
                <w:sz w:val="20"/>
                <w:szCs w:val="20"/>
                <w:color w:val="auto"/>
              </w:rPr>
            </w:pPr>
            <w:r>
              <w:rPr>
                <w:rFonts w:ascii="Arial" w:cs="Arial" w:eastAsia="Arial" w:hAnsi="Arial"/>
                <w:sz w:val="14"/>
                <w:szCs w:val="14"/>
                <w:color w:val="auto"/>
              </w:rPr>
              <w:t>209,185,544</w:t>
            </w:r>
          </w:p>
        </w:tc>
        <w:tc>
          <w:tcPr>
            <w:tcW w:w="1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00" w:type="dxa"/>
            <w:vAlign w:val="bottom"/>
            <w:tcBorders>
              <w:bottom w:val="single" w:sz="8" w:color="CFF0FC"/>
            </w:tcBorders>
            <w:gridSpan w:val="2"/>
            <w:shd w:val="clear" w:color="auto" w:fill="CFF0FC"/>
          </w:tcPr>
          <w:p>
            <w:pPr>
              <w:spacing w:after="0" w:line="154" w:lineRule="exact"/>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gridSpan w:val="4"/>
            <w:vMerge w:val="continue"/>
            <w:shd w:val="clear" w:color="auto" w:fill="CFF0FC"/>
          </w:tcPr>
          <w:p>
            <w:pPr>
              <w:spacing w:after="0"/>
              <w:rPr>
                <w:sz w:val="16"/>
                <w:szCs w:val="16"/>
                <w:color w:val="auto"/>
              </w:rPr>
            </w:pPr>
          </w:p>
        </w:tc>
        <w:tc>
          <w:tcPr>
            <w:tcW w:w="100" w:type="dxa"/>
            <w:vAlign w:val="bottom"/>
            <w:tcBorders>
              <w:bottom w:val="single" w:sz="8" w:color="CFF0FC"/>
              <w:right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3"/>
              </w:rPr>
              <w:t>December 30, 2020</w:t>
            </w:r>
          </w:p>
        </w:tc>
        <w:tc>
          <w:tcPr>
            <w:tcW w:w="2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520" w:type="dxa"/>
            <w:vAlign w:val="bottom"/>
          </w:tcPr>
          <w:p>
            <w:pPr>
              <w:spacing w:after="0"/>
              <w:rPr>
                <w:sz w:val="22"/>
                <w:szCs w:val="22"/>
                <w:color w:val="auto"/>
              </w:rPr>
            </w:pPr>
          </w:p>
        </w:tc>
        <w:tc>
          <w:tcPr>
            <w:tcW w:w="15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1,792,634,415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1,358,549,162</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Arial" w:cs="Arial" w:eastAsia="Arial" w:hAnsi="Arial"/>
                <w:sz w:val="18"/>
                <w:szCs w:val="18"/>
                <w:color w:val="auto"/>
              </w:rPr>
              <w:t>Long-Term Liabilities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458,115,004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7"/>
              </w:rPr>
              <w:t>325,101,386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-2653665</wp:posOffset>
            </wp:positionV>
            <wp:extent cx="7683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-2653665</wp:posOffset>
            </wp:positionV>
            <wp:extent cx="7747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-2653665</wp:posOffset>
            </wp:positionV>
            <wp:extent cx="685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-2653665</wp:posOffset>
            </wp:positionV>
            <wp:extent cx="6858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-2653665</wp:posOffset>
            </wp:positionV>
            <wp:extent cx="685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-2653665</wp:posOffset>
            </wp:positionV>
            <wp:extent cx="685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-1439545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-1422400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-1439545</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-1422400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-1439545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-1422400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-1439545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-1422400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-1439545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-1422400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-1439545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-1422400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-1130935</wp:posOffset>
            </wp:positionV>
            <wp:extent cx="76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-1113790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-1130935</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-1113790</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-1130935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-1113790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-1130935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-1113790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-1130935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-1113790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-1130935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-1113790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-650875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-633730</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-650875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-633730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-650875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-633730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-650875</wp:posOffset>
            </wp:positionV>
            <wp:extent cx="7112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-633730</wp:posOffset>
            </wp:positionV>
            <wp:extent cx="7112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17" w:lineRule="exact"/>
        <w:rPr>
          <w:sz w:val="20"/>
          <w:szCs w:val="20"/>
          <w:color w:val="auto"/>
        </w:rPr>
      </w:pPr>
    </w:p>
    <w:p>
      <w:pPr>
        <w:ind w:right="4580"/>
        <w:spacing w:after="0" w:line="391" w:lineRule="auto"/>
        <w:rPr>
          <w:sz w:val="20"/>
          <w:szCs w:val="20"/>
          <w:color w:val="auto"/>
        </w:rPr>
      </w:pPr>
      <w:r>
        <w:rPr>
          <w:rFonts w:ascii="Arial" w:cs="Arial" w:eastAsia="Arial" w:hAnsi="Arial"/>
          <w:sz w:val="18"/>
          <w:szCs w:val="18"/>
          <w:b w:val="1"/>
          <w:bCs w:val="1"/>
          <w:i w:val="1"/>
          <w:iCs w:val="1"/>
          <w:color w:val="auto"/>
        </w:rPr>
        <w:t xml:space="preserve">Three Months Ended June 30, 2021 Compared to the Three Months Ended June 30, 2020 </w:t>
      </w:r>
      <w:r>
        <w:rPr>
          <w:rFonts w:ascii="Arial" w:cs="Arial" w:eastAsia="Arial" w:hAnsi="Arial"/>
          <w:sz w:val="18"/>
          <w:szCs w:val="18"/>
          <w:i w:val="1"/>
          <w:iCs w:val="1"/>
          <w:color w:val="auto"/>
        </w:rPr>
        <w:t>Revenues, net of Discounts</w:t>
      </w:r>
    </w:p>
    <w:p>
      <w:pPr>
        <w:spacing w:after="0" w:line="1" w:lineRule="exact"/>
        <w:rPr>
          <w:sz w:val="20"/>
          <w:szCs w:val="20"/>
          <w:color w:val="auto"/>
        </w:rPr>
      </w:pPr>
    </w:p>
    <w:p>
      <w:pPr>
        <w:ind w:right="160" w:firstLine="441"/>
        <w:spacing w:after="0" w:line="287" w:lineRule="auto"/>
        <w:rPr>
          <w:sz w:val="20"/>
          <w:szCs w:val="20"/>
          <w:color w:val="auto"/>
        </w:rPr>
      </w:pPr>
      <w:r>
        <w:rPr>
          <w:rFonts w:ascii="Arial" w:cs="Arial" w:eastAsia="Arial" w:hAnsi="Arial"/>
          <w:sz w:val="17"/>
          <w:szCs w:val="17"/>
          <w:color w:val="auto"/>
        </w:rPr>
        <w:t>Revenue for the three months ended June 30, 2021 was $221,871,812, up 85% from $119,639,924 for the three months ended June 30, 2020 driven by contributions from both Retail and Consumer Packaged Goods, largely due to continued growth in Illinois and Pennsylvania. Key performance drivers for the quarter are: launch of Cookies brand of cannabis products in Nevada, increased store traffic to Green Thumb’s open and operating retail stores, particularly in Illinois, and Pennsylvania and new store openings including acquired stores, particularly in Pennsylvania, Illinois and Connecticut. The Company generated revenue from 58 Retail locations during the quarter compared to 48 in the same quarter of the prior year. During the three months ended June 30, 2021, the Company acquired two new stores in Massachusetts. Since June 30, 2020, the Company acquired one retail store in Connecticut and two in Massachusetts that contributed to the increase in Retail revenues and opened seven new Retail locations in Pennsylvania, Illinois, California, Florida and New Jersey.</w:t>
      </w:r>
    </w:p>
    <w:p>
      <w:pPr>
        <w:spacing w:after="0" w:line="182" w:lineRule="exact"/>
        <w:rPr>
          <w:sz w:val="20"/>
          <w:szCs w:val="20"/>
          <w:color w:val="auto"/>
        </w:rPr>
      </w:pPr>
    </w:p>
    <w:p>
      <w:pPr>
        <w:ind w:firstLine="441"/>
        <w:spacing w:after="0" w:line="319" w:lineRule="auto"/>
        <w:rPr>
          <w:sz w:val="20"/>
          <w:szCs w:val="20"/>
          <w:color w:val="auto"/>
        </w:rPr>
      </w:pPr>
      <w:r>
        <w:rPr>
          <w:rFonts w:ascii="Arial" w:cs="Arial" w:eastAsia="Arial" w:hAnsi="Arial"/>
          <w:sz w:val="16"/>
          <w:szCs w:val="16"/>
          <w:color w:val="auto"/>
        </w:rPr>
        <w:t>The key driver for the Consumer Packaged Goods revenue increase was the opening of one cultivation and processing facility in Illinois as well as the expansion of sales of Green Thumb’s branded product portfolio to third-party retailers through the Company’s existing Consumer Packaged Goods cultivation and processing facilities in Illinois, Pennsylvania, Massachusetts, Maryland, Nevada, New Jersey and Connecticut due to increased scale and efficiency. The Company also added one cultivation and processing facility through the acquisition of Liberty during the three months ended June 30, 2021.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net</w:t>
      </w:r>
    </w:p>
    <w:p>
      <w:pPr>
        <w:spacing w:after="0" w:line="131" w:lineRule="exact"/>
        <w:rPr>
          <w:sz w:val="20"/>
          <w:szCs w:val="20"/>
          <w:color w:val="auto"/>
        </w:rPr>
      </w:pPr>
    </w:p>
    <w:p>
      <w:pPr>
        <w:ind w:right="40" w:firstLine="441"/>
        <w:spacing w:after="0" w:line="272" w:lineRule="auto"/>
        <w:rPr>
          <w:sz w:val="20"/>
          <w:szCs w:val="20"/>
          <w:color w:val="auto"/>
        </w:rPr>
      </w:pPr>
      <w:r>
        <w:rPr>
          <w:rFonts w:ascii="Arial" w:cs="Arial" w:eastAsia="Arial" w:hAnsi="Arial"/>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three months ended June 30, 2021 was $(98,960,988), up (77)% from $(55,946,010) for the three months ended June 30, 2020, driven by increased volume in open and operating retail stores; new and acquired retail store openings in Pennsylvania, Illinois and Connecticut and expansion of the consumer products sales primarily in Illinois, Pennsylvania, Massachusetts, Maryland, Nevada and Connecticut as described above.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Gross Profit</w:t>
      </w:r>
    </w:p>
    <w:p>
      <w:pPr>
        <w:spacing w:after="0" w:line="131" w:lineRule="exact"/>
        <w:rPr>
          <w:sz w:val="20"/>
          <w:szCs w:val="20"/>
          <w:color w:val="auto"/>
        </w:rPr>
      </w:pPr>
    </w:p>
    <w:p>
      <w:pPr>
        <w:jc w:val="both"/>
        <w:ind w:right="320" w:firstLine="441"/>
        <w:spacing w:after="0" w:line="272" w:lineRule="auto"/>
        <w:rPr>
          <w:sz w:val="20"/>
          <w:szCs w:val="20"/>
          <w:color w:val="auto"/>
        </w:rPr>
      </w:pPr>
      <w:r>
        <w:rPr>
          <w:rFonts w:ascii="Arial" w:cs="Arial" w:eastAsia="Arial" w:hAnsi="Arial"/>
          <w:sz w:val="18"/>
          <w:szCs w:val="18"/>
          <w:color w:val="auto"/>
        </w:rPr>
        <w:t>Gross profit for the three months ended June 30, 2021 was $122,910,824, representing a gross margin on the sale of branded cannabis flower and processed and packaged products including concentrates, edibles, topicals and other cannabis products, of 55%. This is compared to gross profit for the three months ended June 30, 2020 of $63,693,914 or a 53% gross margin. The Company’s increase in gross margin percentage was mainly attributed to expanded capacity in the Company’s Consumer Packaged Goods segment. The increase in gross profit (dollars) was directly attributable to the revenue increase as described above.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31" w:lineRule="exact"/>
        <w:rPr>
          <w:sz w:val="20"/>
          <w:szCs w:val="20"/>
          <w:color w:val="auto"/>
        </w:rPr>
      </w:pPr>
    </w:p>
    <w:p>
      <w:pPr>
        <w:ind w:right="740" w:firstLine="441"/>
        <w:spacing w:after="0" w:line="359" w:lineRule="auto"/>
        <w:rPr>
          <w:sz w:val="20"/>
          <w:szCs w:val="20"/>
          <w:color w:val="auto"/>
        </w:rPr>
      </w:pPr>
      <w:r>
        <w:rPr>
          <w:rFonts w:ascii="Arial" w:cs="Arial" w:eastAsia="Arial" w:hAnsi="Arial"/>
          <w:sz w:val="16"/>
          <w:szCs w:val="16"/>
          <w:color w:val="auto"/>
        </w:rPr>
        <w:t>Total expenses for the three months ended June 30, 2021 were $72,055,473 or 32% of revenues, net of discounts, resulting in an increase of $22,412,262. Total expenses for the three months ended June 30, 2020 were $49,643,211 or 41% of revenues, net of discounts.</w:t>
      </w:r>
    </w:p>
    <w:p>
      <w:pPr>
        <w:spacing w:after="0" w:line="125" w:lineRule="exact"/>
        <w:rPr>
          <w:sz w:val="20"/>
          <w:szCs w:val="20"/>
          <w:color w:val="auto"/>
        </w:rPr>
      </w:pPr>
    </w:p>
    <w:p>
      <w:pPr>
        <w:ind w:firstLine="441"/>
        <w:spacing w:after="0" w:line="272"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the Company’s addition of seven new and three acquired retail facilities over the prior year period. In addition, an increase in intangible amortization expense and corporate staff salaries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131" w:lineRule="exact"/>
        <w:rPr>
          <w:sz w:val="20"/>
          <w:szCs w:val="20"/>
          <w:color w:val="auto"/>
        </w:rPr>
      </w:pPr>
    </w:p>
    <w:p>
      <w:pPr>
        <w:ind w:right="180" w:firstLine="441"/>
        <w:spacing w:after="0" w:line="293" w:lineRule="auto"/>
        <w:rPr>
          <w:sz w:val="20"/>
          <w:szCs w:val="20"/>
          <w:color w:val="auto"/>
        </w:rPr>
      </w:pPr>
      <w:r>
        <w:rPr>
          <w:rFonts w:ascii="Arial" w:cs="Arial" w:eastAsia="Arial" w:hAnsi="Arial"/>
          <w:sz w:val="18"/>
          <w:szCs w:val="18"/>
          <w:color w:val="auto"/>
        </w:rPr>
        <w:t>Total other income (expense) for three months ended June 30, 2021 was $2,446,172, a change of $12,882,097, mainly due to unfavorable fair value adjustments associated with the Company’s warrant liability during the three months ended June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31" w:lineRule="exact"/>
        <w:rPr>
          <w:sz w:val="20"/>
          <w:szCs w:val="20"/>
          <w:color w:val="auto"/>
        </w:rPr>
      </w:pPr>
    </w:p>
    <w:p>
      <w:pPr>
        <w:ind w:right="420" w:firstLine="441"/>
        <w:spacing w:after="0" w:line="293" w:lineRule="auto"/>
        <w:rPr>
          <w:sz w:val="20"/>
          <w:szCs w:val="20"/>
          <w:color w:val="auto"/>
        </w:rPr>
      </w:pPr>
      <w:r>
        <w:rPr>
          <w:rFonts w:ascii="Arial" w:cs="Arial" w:eastAsia="Arial" w:hAnsi="Arial"/>
          <w:sz w:val="18"/>
          <w:szCs w:val="18"/>
          <w:color w:val="auto"/>
        </w:rPr>
        <w:t>Net operating income before provision for income taxes and non-controlling interest for three months ended June 30, 2021 was $53,301,523, an increase of $49,686,745 compared to the three months ended June 30, 2020.</w:t>
      </w:r>
    </w:p>
    <w:p>
      <w:pPr>
        <w:spacing w:after="0" w:line="170" w:lineRule="exact"/>
        <w:rPr>
          <w:sz w:val="20"/>
          <w:szCs w:val="20"/>
          <w:color w:val="auto"/>
        </w:rPr>
      </w:pPr>
    </w:p>
    <w:p>
      <w:pPr>
        <w:ind w:right="580" w:firstLine="441"/>
        <w:spacing w:after="0" w:line="359" w:lineRule="auto"/>
        <w:rPr>
          <w:sz w:val="20"/>
          <w:szCs w:val="20"/>
          <w:color w:val="auto"/>
        </w:rPr>
      </w:pPr>
      <w:r>
        <w:rPr>
          <w:rFonts w:ascii="Arial" w:cs="Arial" w:eastAsia="Arial" w:hAnsi="Arial"/>
          <w:sz w:val="16"/>
          <w:szCs w:val="16"/>
          <w:color w:val="auto"/>
        </w:rPr>
        <w:t>As presented under the heading “Non-GAAP Measures” below, after adjusting for non-cash equity incentive compensation of $5,672,683 and $5,700,144, adjusted operating EBITDA was $79,284,415 and $35,412,711 for the three months ended June 30, 2021 and 2020,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ind w:right="460" w:firstLine="441"/>
        <w:spacing w:after="0" w:line="279"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June 30, 2021, federal and state income tax expense totaled $30,026,732 compared to expense of $15,378,715 for the three months ended June 30, 2020.</w:t>
      </w:r>
    </w:p>
    <w:p>
      <w:pPr>
        <w:spacing w:after="0" w:line="304" w:lineRule="exact"/>
        <w:rPr>
          <w:sz w:val="20"/>
          <w:szCs w:val="20"/>
          <w:color w:val="auto"/>
        </w:rPr>
      </w:pPr>
    </w:p>
    <w:p>
      <w:pPr>
        <w:ind w:right="4980"/>
        <w:spacing w:after="0" w:line="391" w:lineRule="auto"/>
        <w:rPr>
          <w:sz w:val="20"/>
          <w:szCs w:val="20"/>
          <w:color w:val="auto"/>
        </w:rPr>
      </w:pPr>
      <w:r>
        <w:rPr>
          <w:rFonts w:ascii="Arial" w:cs="Arial" w:eastAsia="Arial" w:hAnsi="Arial"/>
          <w:sz w:val="18"/>
          <w:szCs w:val="18"/>
          <w:b w:val="1"/>
          <w:bCs w:val="1"/>
          <w:i w:val="1"/>
          <w:iCs w:val="1"/>
          <w:color w:val="auto"/>
        </w:rPr>
        <w:t xml:space="preserve">Six Months Ended June 30, 2021 Compared to the Six Months Ended June 30, 2020 </w:t>
      </w:r>
      <w:r>
        <w:rPr>
          <w:rFonts w:ascii="Arial" w:cs="Arial" w:eastAsia="Arial" w:hAnsi="Arial"/>
          <w:sz w:val="18"/>
          <w:szCs w:val="18"/>
          <w:i w:val="1"/>
          <w:iCs w:val="1"/>
          <w:color w:val="auto"/>
        </w:rPr>
        <w:t>Revenues, net of Discounts</w:t>
      </w:r>
    </w:p>
    <w:p>
      <w:pPr>
        <w:spacing w:after="0" w:line="1" w:lineRule="exact"/>
        <w:rPr>
          <w:sz w:val="20"/>
          <w:szCs w:val="20"/>
          <w:color w:val="auto"/>
        </w:rPr>
      </w:pPr>
    </w:p>
    <w:p>
      <w:pPr>
        <w:ind w:right="100" w:firstLine="441"/>
        <w:spacing w:after="0" w:line="309" w:lineRule="auto"/>
        <w:rPr>
          <w:sz w:val="20"/>
          <w:szCs w:val="20"/>
          <w:color w:val="auto"/>
        </w:rPr>
      </w:pPr>
      <w:r>
        <w:rPr>
          <w:rFonts w:ascii="Arial" w:cs="Arial" w:eastAsia="Arial" w:hAnsi="Arial"/>
          <w:sz w:val="16"/>
          <w:szCs w:val="16"/>
          <w:color w:val="auto"/>
        </w:rPr>
        <w:t>Revenue for the six months ended June 30, 2021 was $416,302,396, up 87% from $222,242,526 for the six months ended June 30, 2020 driven by contributions from both Retail and Consumer Packaged Goods, largely due to growth in Illinois and Pennsylvania. Key performance drivers for the period are: launch of Cookies brand of cannabis products in Nevada and increased store traffic to Green Thumb’s open and operating retail stores, particularly in Illinois and Pennsylvania and new and acquired store openings, particularly in Pennsylvania, Illinois and Connecticut. The Company generated revenue from 58 Retail locations during the quarter compared to 48 in the same quarter of the prior year. During the six months ended June 30, 2021, the Company opened five new stores and acquired two stores. Since June 30, 2020, the Company acquired one retail store in Connecticut and two in Massachusetts that contributed to the increase in Retail revenues and opened seven new Retail locations in Pennsylvania, Illinois, California, Florida, and New Jersey.</w:t>
      </w:r>
    </w:p>
    <w:p>
      <w:pPr>
        <w:spacing w:after="0" w:line="164" w:lineRule="exact"/>
        <w:rPr>
          <w:sz w:val="20"/>
          <w:szCs w:val="20"/>
          <w:color w:val="auto"/>
        </w:rPr>
      </w:pPr>
    </w:p>
    <w:p>
      <w:pPr>
        <w:ind w:right="100" w:firstLine="441"/>
        <w:spacing w:after="0" w:line="319" w:lineRule="auto"/>
        <w:rPr>
          <w:sz w:val="20"/>
          <w:szCs w:val="20"/>
          <w:color w:val="auto"/>
        </w:rPr>
      </w:pPr>
      <w:r>
        <w:rPr>
          <w:rFonts w:ascii="Arial" w:cs="Arial" w:eastAsia="Arial" w:hAnsi="Arial"/>
          <w:sz w:val="16"/>
          <w:szCs w:val="16"/>
          <w:color w:val="auto"/>
        </w:rPr>
        <w:t>The key driver for the Consumer Packaged Goods revenue increase was the opening of one cultivation and processing facility in Illinois as well as expansion of sales of Green Thumb’s branded product portfolio to third-party retailers through the Company’s existing Consumer Packaged Goods cultivation and processing facilities in Illinois, Pennsylvania, Massachusetts, Maryland, Nevada and New Jersey due to increased scale and efficiency. The Company also added one cultivation and processing facility through the acquisition of Liberty during the three months ended June 30, 2021.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Cost of Goods Sold, net</w:t>
      </w:r>
    </w:p>
    <w:p>
      <w:pPr>
        <w:spacing w:after="0" w:line="131" w:lineRule="exact"/>
        <w:rPr>
          <w:sz w:val="20"/>
          <w:szCs w:val="20"/>
          <w:color w:val="auto"/>
        </w:rPr>
      </w:pPr>
    </w:p>
    <w:p>
      <w:pPr>
        <w:ind w:right="40" w:firstLine="441"/>
        <w:spacing w:after="0" w:line="272" w:lineRule="auto"/>
        <w:rPr>
          <w:sz w:val="20"/>
          <w:szCs w:val="20"/>
          <w:color w:val="auto"/>
        </w:rPr>
      </w:pPr>
      <w:r>
        <w:rPr>
          <w:rFonts w:ascii="Arial" w:cs="Arial" w:eastAsia="Arial" w:hAnsi="Arial"/>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six months ended June 30, 2021 was $182,526,072, up 73% from $105,561,198 for the six months ended June 30, 2020, driven by increased volume in open and operating retail stores; new retail store openings in Pennsylvania and Illinois and expansion of the consumer products sales primarily in Illinois, Pennsylvania, Massachusetts, Maryland, Nevada and Connecticut as described above.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31" w:lineRule="exact"/>
        <w:rPr>
          <w:sz w:val="20"/>
          <w:szCs w:val="20"/>
          <w:color w:val="auto"/>
        </w:rPr>
      </w:pPr>
    </w:p>
    <w:p>
      <w:pPr>
        <w:ind w:right="80" w:firstLine="441"/>
        <w:spacing w:after="0" w:line="272" w:lineRule="auto"/>
        <w:rPr>
          <w:sz w:val="20"/>
          <w:szCs w:val="20"/>
          <w:color w:val="auto"/>
        </w:rPr>
      </w:pPr>
      <w:r>
        <w:rPr>
          <w:rFonts w:ascii="Arial" w:cs="Arial" w:eastAsia="Arial" w:hAnsi="Arial"/>
          <w:sz w:val="18"/>
          <w:szCs w:val="18"/>
          <w:color w:val="auto"/>
        </w:rPr>
        <w:t>Gross profit for the six months ended June 30, 2021 was $233,776,324, representing a gross margin on the sale of branded cannabis flower and processed and packaged products including concentrates, edibles, topicals and other cannabis products, of 56%. This is compared to gross profit for the six months ended June 30, 2020 of $116,681,328 or a 53% gross margin. The Company’s increase in gross margin percentage was mainly attributed to expanded capacity in the Company’s Consumer Packaged Goods segment. The increase in gross profit was directly attributable to the revenue increase as described above.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31" w:lineRule="exact"/>
        <w:rPr>
          <w:sz w:val="20"/>
          <w:szCs w:val="20"/>
          <w:color w:val="auto"/>
        </w:rPr>
      </w:pPr>
    </w:p>
    <w:p>
      <w:pPr>
        <w:ind w:right="800" w:firstLine="441"/>
        <w:spacing w:after="0" w:line="324" w:lineRule="auto"/>
        <w:rPr>
          <w:sz w:val="20"/>
          <w:szCs w:val="20"/>
          <w:color w:val="auto"/>
        </w:rPr>
      </w:pPr>
      <w:r>
        <w:rPr>
          <w:rFonts w:ascii="Arial" w:cs="Arial" w:eastAsia="Arial" w:hAnsi="Arial"/>
          <w:sz w:val="17"/>
          <w:szCs w:val="17"/>
          <w:color w:val="auto"/>
        </w:rPr>
        <w:t>Total expenses for the six months ended June 30, 2021 were $131,386,724 or 32% of revenues, net of discounts, resulting in an increase of $36,308,756. Total expenses for the six months ended June 30, 2020 were $95,077,968 or 43% of revenues, net of discounts.</w:t>
      </w:r>
    </w:p>
    <w:p>
      <w:pPr>
        <w:spacing w:after="0" w:line="147" w:lineRule="exact"/>
        <w:rPr>
          <w:sz w:val="20"/>
          <w:szCs w:val="20"/>
          <w:color w:val="auto"/>
        </w:rPr>
      </w:pPr>
    </w:p>
    <w:p>
      <w:pPr>
        <w:ind w:firstLine="441"/>
        <w:spacing w:after="0" w:line="272"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the Company’s addition of seven new and three acquired retail facilities over the prior year period. In addition, an increase in intangible amortization expense and corporate staff salaries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131" w:lineRule="exact"/>
        <w:rPr>
          <w:sz w:val="20"/>
          <w:szCs w:val="20"/>
          <w:color w:val="auto"/>
        </w:rPr>
      </w:pPr>
    </w:p>
    <w:p>
      <w:pPr>
        <w:ind w:right="500" w:firstLine="441"/>
        <w:spacing w:after="0" w:line="359" w:lineRule="auto"/>
        <w:rPr>
          <w:sz w:val="20"/>
          <w:szCs w:val="20"/>
          <w:color w:val="auto"/>
        </w:rPr>
      </w:pPr>
      <w:r>
        <w:rPr>
          <w:rFonts w:ascii="Arial" w:cs="Arial" w:eastAsia="Arial" w:hAnsi="Arial"/>
          <w:sz w:val="16"/>
          <w:szCs w:val="16"/>
          <w:color w:val="auto"/>
        </w:rPr>
        <w:t>Total other income (expense) for six months ended June 30, 2021 was $6,776,931 a change of $1,826,211, mainly due to a reduction in interest expense as a result of the Company's April 30, 2021 refinancing and an increase in earnings on the Company's equity method investments.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31" w:lineRule="exact"/>
        <w:rPr>
          <w:sz w:val="20"/>
          <w:szCs w:val="20"/>
          <w:color w:val="auto"/>
        </w:rPr>
      </w:pPr>
    </w:p>
    <w:p>
      <w:pPr>
        <w:ind w:right="580" w:firstLine="441"/>
        <w:spacing w:after="0" w:line="293" w:lineRule="auto"/>
        <w:rPr>
          <w:sz w:val="20"/>
          <w:szCs w:val="20"/>
          <w:color w:val="auto"/>
        </w:rPr>
      </w:pPr>
      <w:r>
        <w:rPr>
          <w:rFonts w:ascii="Arial" w:cs="Arial" w:eastAsia="Arial" w:hAnsi="Arial"/>
          <w:sz w:val="18"/>
          <w:szCs w:val="18"/>
          <w:color w:val="auto"/>
        </w:rPr>
        <w:t>Net operating income before provision for income taxes and non-controlling interest for six months ended June 30, 2021 was $95,612,669, an increase of $82,612,451 compared to the six months ended June 30,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presented under the heading “Non-GAAP Measures” below, after adjusting for non-cash equity incentive compensation of $9,703,338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$10,773,886, adjusted operating EBITDA was $150,639,696 and $60,957,635 for the three and six months ended June 30, 2021 and 2020, respectively.</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Provision for Income Taxes</w:t>
      </w:r>
    </w:p>
    <w:p>
      <w:pPr>
        <w:spacing w:after="0" w:line="347"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six months ended June 30, 2021, federal and state income tax expense totaled $60,882,910 compared to expense of $28,527,715 for the six months ended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 by Segment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revenues net of sales discounts by segment for the three and six months ended June 30, 2021 and 2020:</w:t>
      </w: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Change</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Packaged Goods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117,863,490</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56,331,517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61,531,973</w:t>
            </w: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150,115,879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87,541,572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62,574,307</w:t>
            </w: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5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Intersegment Eliminations</w:t>
            </w:r>
          </w:p>
        </w:tc>
        <w:tc>
          <w:tcPr>
            <w:tcW w:w="2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(46,107,557 )</w:t>
            </w:r>
          </w:p>
        </w:tc>
        <w:tc>
          <w:tcPr>
            <w:tcW w:w="2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(24,233,165 )</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(21,874,392 )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Total Revenues, Net of Discounts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221,871,812</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119,639,924</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102,231,888</w:t>
            </w: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Change</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Packaged Goods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221,940,928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102,653,545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119,287,383</w:t>
            </w: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280,224,597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163,503,022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116,721,575</w:t>
            </w: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5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Intersegment Eliminations</w:t>
            </w:r>
          </w:p>
        </w:tc>
        <w:tc>
          <w:tcPr>
            <w:tcW w:w="2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(85,863,129 )</w:t>
            </w:r>
          </w:p>
        </w:tc>
        <w:tc>
          <w:tcPr>
            <w:tcW w:w="2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(43,914,041 )</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(41,949,088 )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Total Revenues, Net of Discounts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416,302,396</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222,242,526</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194,059,870</w:t>
            </w: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87 %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-1539240</wp:posOffset>
            </wp:positionV>
            <wp:extent cx="15430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-1539240</wp:posOffset>
            </wp:positionV>
            <wp:extent cx="15430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-1539240</wp:posOffset>
            </wp:positionV>
            <wp:extent cx="13716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-1539240</wp:posOffset>
            </wp:positionV>
            <wp:extent cx="12890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-193675</wp:posOffset>
            </wp:positionV>
            <wp:extent cx="15430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-193675</wp:posOffset>
            </wp:positionV>
            <wp:extent cx="15430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wp:posOffset>
            </wp:positionV>
            <wp:extent cx="13716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-193675</wp:posOffset>
            </wp:positionV>
            <wp:extent cx="12890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with the Three Months Ended June 30, 2020</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net of discounts for the Retail segment were $150,115,879, an increase of $62,574,307 or 71%, compared to the three months ended</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June 30, 2020. The increase in Retail revenues, net of discounts, was primarily driven by increased store traffic to Green Thumb’s open and operating retail stores, particularly in Illinois, Nevada and Pennsylvania, as well as new store openings particularly in Pennsylvania.</w:t>
      </w:r>
    </w:p>
    <w:p>
      <w:pPr>
        <w:spacing w:after="0" w:line="170" w:lineRule="exact"/>
        <w:rPr>
          <w:sz w:val="20"/>
          <w:szCs w:val="20"/>
          <w:color w:val="auto"/>
        </w:rPr>
      </w:pPr>
    </w:p>
    <w:p>
      <w:pPr>
        <w:ind w:right="80" w:firstLine="441"/>
        <w:spacing w:after="0" w:line="279" w:lineRule="auto"/>
        <w:rPr>
          <w:sz w:val="20"/>
          <w:szCs w:val="20"/>
          <w:color w:val="auto"/>
        </w:rPr>
      </w:pPr>
      <w:r>
        <w:rPr>
          <w:rFonts w:ascii="Arial" w:cs="Arial" w:eastAsia="Arial" w:hAnsi="Arial"/>
          <w:sz w:val="18"/>
          <w:szCs w:val="18"/>
          <w:color w:val="auto"/>
        </w:rPr>
        <w:t>Revenues, net of discounts for the Consumer Packaged Goods Segment were $117,863,490, an increase of $61,531,973 or 109%, compared to the three months ended June 30, 2020. The increase in Consumer Packaged Goods revenues, net of discounts, was primarily driven by increased sales volume in established markets such as Illinois, Pennsylvania, Massachusetts and Nevada.</w:t>
      </w:r>
    </w:p>
    <w:p>
      <w:pPr>
        <w:spacing w:after="0" w:line="183" w:lineRule="exact"/>
        <w:rPr>
          <w:sz w:val="20"/>
          <w:szCs w:val="20"/>
          <w:color w:val="auto"/>
        </w:rPr>
      </w:pPr>
    </w:p>
    <w:p>
      <w:pPr>
        <w:ind w:right="320" w:firstLine="441"/>
        <w:spacing w:after="0" w:line="293"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with the Six Months Ended June 30, 2020</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net of discounts for the Retail segment were $280,224,597, an increase of $116,721,575 or 71%,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2020. The increase in Retail revenues, net of discounts, was primarily driven by increased store traffic to Green Thumb’s open and operating retail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stores, particularly in Pennsylvania and Illinois, as well as new store openings particularly in Pennsylvania and Illinois.</w:t>
      </w:r>
    </w:p>
    <w:p>
      <w:pPr>
        <w:spacing w:after="0" w:line="238" w:lineRule="exact"/>
        <w:rPr>
          <w:sz w:val="20"/>
          <w:szCs w:val="20"/>
          <w:color w:val="auto"/>
        </w:rPr>
      </w:pPr>
    </w:p>
    <w:p>
      <w:pPr>
        <w:ind w:right="40" w:firstLine="441"/>
        <w:spacing w:after="0" w:line="279" w:lineRule="auto"/>
        <w:rPr>
          <w:sz w:val="20"/>
          <w:szCs w:val="20"/>
          <w:color w:val="auto"/>
        </w:rPr>
      </w:pPr>
      <w:r>
        <w:rPr>
          <w:rFonts w:ascii="Arial" w:cs="Arial" w:eastAsia="Arial" w:hAnsi="Arial"/>
          <w:sz w:val="18"/>
          <w:szCs w:val="18"/>
          <w:color w:val="auto"/>
        </w:rPr>
        <w:t>Revenues, net of discounts for the Consumer Packaged Goods Segment were $221,940,928, an increase of $119,287,383 or 116%, compared to the six months ended June 30, 2020. The increase in Consumer Packaged Goods revenues, net of discounts, was primarily driven by increased sales volume in established markets such as Illinois, Pennsylvania, Massachusetts, Nevada and New Jersey.</w:t>
      </w:r>
    </w:p>
    <w:p>
      <w:pPr>
        <w:spacing w:after="0" w:line="183" w:lineRule="exact"/>
        <w:rPr>
          <w:sz w:val="20"/>
          <w:szCs w:val="20"/>
          <w:color w:val="auto"/>
        </w:rPr>
      </w:pPr>
    </w:p>
    <w:p>
      <w:pPr>
        <w:ind w:right="320" w:firstLine="441"/>
        <w:spacing w:after="0" w:line="293"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Drivers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firstLine="441"/>
        <w:spacing w:after="0" w:line="272" w:lineRule="auto"/>
        <w:rPr>
          <w:sz w:val="20"/>
          <w:szCs w:val="20"/>
          <w:color w:val="auto"/>
        </w:rPr>
      </w:pPr>
      <w:r>
        <w:rPr>
          <w:rFonts w:ascii="Arial" w:cs="Arial" w:eastAsia="Arial" w:hAnsi="Arial"/>
          <w:sz w:val="18"/>
          <w:szCs w:val="18"/>
          <w:color w:val="auto"/>
        </w:rPr>
        <w:t>The Company derives its revenue from two revenue streams: a Consumer Packaged Goods business in which it manufactures, sells and distributes its portfolio of consumer packaged goods brands including Beboe, Dogwalkers, Dr. Solomon’s, incredibles, and Rythm,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91" w:lineRule="exact"/>
        <w:rPr>
          <w:sz w:val="20"/>
          <w:szCs w:val="20"/>
          <w:color w:val="auto"/>
        </w:rPr>
      </w:pPr>
    </w:p>
    <w:p>
      <w:pPr>
        <w:ind w:right="400" w:firstLine="441"/>
        <w:spacing w:after="0" w:line="324" w:lineRule="auto"/>
        <w:rPr>
          <w:sz w:val="20"/>
          <w:szCs w:val="20"/>
          <w:color w:val="auto"/>
        </w:rPr>
      </w:pPr>
      <w:r>
        <w:rPr>
          <w:rFonts w:ascii="Arial" w:cs="Arial" w:eastAsia="Arial" w:hAnsi="Arial"/>
          <w:sz w:val="17"/>
          <w:szCs w:val="17"/>
          <w:color w:val="auto"/>
        </w:rPr>
        <w:t>For the three and six months ended June 30, 2021, revenue was contributed from Consumer Packaged Goods and Retail sales across California, Colorado, Connecticut, Florida, Illinois, Maryland, Massachusetts, Nevada, New Jersey, New York, Ohio and Pennsylvania.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31" w:lineRule="exact"/>
        <w:rPr>
          <w:sz w:val="20"/>
          <w:szCs w:val="20"/>
          <w:color w:val="auto"/>
        </w:rPr>
      </w:pPr>
    </w:p>
    <w:p>
      <w:pPr>
        <w:ind w:right="100" w:firstLine="441"/>
        <w:spacing w:after="0" w:line="272" w:lineRule="auto"/>
        <w:rPr>
          <w:sz w:val="20"/>
          <w:szCs w:val="20"/>
          <w:color w:val="auto"/>
        </w:rPr>
      </w:pPr>
      <w:r>
        <w:rPr>
          <w:rFonts w:ascii="Arial" w:cs="Arial" w:eastAsia="Arial" w:hAnsi="Arial"/>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204" w:lineRule="exact"/>
        <w:rPr>
          <w:sz w:val="20"/>
          <w:szCs w:val="20"/>
          <w:color w:val="auto"/>
        </w:rPr>
      </w:pPr>
    </w:p>
    <w:p>
      <w:pPr>
        <w:ind w:right="80" w:firstLine="441"/>
        <w:spacing w:after="0" w:line="329" w:lineRule="auto"/>
        <w:rPr>
          <w:sz w:val="20"/>
          <w:szCs w:val="20"/>
          <w:color w:val="auto"/>
        </w:rPr>
      </w:pPr>
      <w:r>
        <w:rPr>
          <w:rFonts w:ascii="Arial" w:cs="Arial" w:eastAsia="Arial" w:hAnsi="Arial"/>
          <w:sz w:val="16"/>
          <w:szCs w:val="16"/>
          <w:color w:val="auto"/>
        </w:rPr>
        <w:t>During the Six Months Ended June 30, 2021,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31" w:lineRule="exact"/>
        <w:rPr>
          <w:sz w:val="20"/>
          <w:szCs w:val="20"/>
          <w:color w:val="auto"/>
        </w:rPr>
      </w:pPr>
    </w:p>
    <w:p>
      <w:pPr>
        <w:ind w:right="240" w:firstLine="441"/>
        <w:spacing w:after="0" w:line="324" w:lineRule="auto"/>
        <w:rPr>
          <w:sz w:val="20"/>
          <w:szCs w:val="20"/>
          <w:color w:val="auto"/>
        </w:rPr>
      </w:pPr>
      <w:r>
        <w:rPr>
          <w:rFonts w:ascii="Arial" w:cs="Arial" w:eastAsia="Arial" w:hAnsi="Arial"/>
          <w:sz w:val="17"/>
          <w:szCs w:val="17"/>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47" w:lineRule="exact"/>
        <w:rPr>
          <w:sz w:val="20"/>
          <w:szCs w:val="20"/>
          <w:color w:val="auto"/>
        </w:rPr>
      </w:pPr>
    </w:p>
    <w:p>
      <w:pPr>
        <w:ind w:right="180" w:firstLine="441"/>
        <w:spacing w:after="0" w:line="329" w:lineRule="auto"/>
        <w:rPr>
          <w:sz w:val="20"/>
          <w:szCs w:val="20"/>
          <w:color w:val="auto"/>
        </w:rPr>
      </w:pPr>
      <w:r>
        <w:rPr>
          <w:rFonts w:ascii="Arial" w:cs="Arial" w:eastAsia="Arial" w:hAnsi="Arial"/>
          <w:sz w:val="16"/>
          <w:szCs w:val="16"/>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48" w:lineRule="exact"/>
        <w:rPr>
          <w:sz w:val="20"/>
          <w:szCs w:val="20"/>
          <w:color w:val="auto"/>
        </w:rPr>
      </w:pPr>
    </w:p>
    <w:p>
      <w:pPr>
        <w:ind w:right="80" w:firstLine="441"/>
        <w:spacing w:after="0" w:line="314"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Non-GAAP Measures</w:t>
      </w:r>
    </w:p>
    <w:p>
      <w:pPr>
        <w:spacing w:after="0" w:line="135" w:lineRule="exact"/>
        <w:rPr>
          <w:sz w:val="20"/>
          <w:szCs w:val="20"/>
          <w:color w:val="auto"/>
        </w:rPr>
      </w:pPr>
    </w:p>
    <w:p>
      <w:pPr>
        <w:ind w:right="40" w:firstLine="441"/>
        <w:spacing w:after="0" w:line="308" w:lineRule="auto"/>
        <w:rPr>
          <w:sz w:val="20"/>
          <w:szCs w:val="20"/>
          <w:color w:val="auto"/>
        </w:rPr>
      </w:pPr>
      <w:r>
        <w:rPr>
          <w:rFonts w:ascii="Arial" w:cs="Arial" w:eastAsia="Arial" w:hAnsi="Arial"/>
          <w:sz w:val="16"/>
          <w:szCs w:val="16"/>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6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23,274,791</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(11,763,937 )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34,729,759</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(15,527,497 )</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(295,690 )</w:t>
            </w: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(16,410 )</w:t>
            </w:r>
          </w:p>
        </w:tc>
        <w:tc>
          <w:tcPr>
            <w:tcW w:w="26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(345,580 )</w:t>
            </w: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(104,525 )</w:t>
            </w:r>
          </w:p>
        </w:tc>
        <w:tc>
          <w:tcPr>
            <w:tcW w:w="0" w:type="dxa"/>
            <w:vAlign w:val="bottom"/>
          </w:tcPr>
          <w:p>
            <w:pPr>
              <w:spacing w:after="0"/>
              <w:rPr>
                <w:sz w:val="1"/>
                <w:szCs w:val="1"/>
                <w:color w:val="auto"/>
              </w:rPr>
            </w:pPr>
          </w:p>
        </w:tc>
      </w:tr>
      <w:tr>
        <w:trPr>
          <w:trHeight w:val="26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4,679,795</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4,734,908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8,802,971</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9,776,350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30,026,732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15,378,715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60,882,910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28,527,715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(6,830,277 )</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5,717,427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(1,680,460 )</w:t>
            </w:r>
          </w:p>
        </w:tc>
        <w:tc>
          <w:tcPr>
            <w:tcW w:w="2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(1,068,683 )</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15,072,992</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14,239,915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30,066,413</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26,945,085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before interest, taxes, depreciation and</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65,928,343</w:t>
            </w:r>
          </w:p>
        </w:tc>
        <w:tc>
          <w:tcPr>
            <w:tcW w:w="240" w:type="dxa"/>
            <w:vAlign w:val="bottom"/>
            <w:shd w:val="clear" w:color="auto" w:fill="CFF0FC"/>
          </w:tcPr>
          <w:p>
            <w:pPr>
              <w:spacing w:after="0"/>
              <w:rPr>
                <w:sz w:val="20"/>
                <w:szCs w:val="20"/>
                <w:color w:val="auto"/>
              </w:rPr>
            </w:pPr>
          </w:p>
        </w:tc>
        <w:tc>
          <w:tcPr>
            <w:tcW w:w="220" w:type="dxa"/>
            <w:vAlign w:val="bottom"/>
            <w:vMerge w:val="restart"/>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28,290,618</w:t>
            </w:r>
          </w:p>
        </w:tc>
        <w:tc>
          <w:tcPr>
            <w:tcW w:w="220" w:type="dxa"/>
            <w:vAlign w:val="bottom"/>
            <w:shd w:val="clear" w:color="auto" w:fill="CFF0FC"/>
          </w:tcPr>
          <w:p>
            <w:pPr>
              <w:spacing w:after="0"/>
              <w:rPr>
                <w:sz w:val="20"/>
                <w:szCs w:val="20"/>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132,456,013</w:t>
            </w:r>
          </w:p>
        </w:tc>
        <w:tc>
          <w:tcPr>
            <w:tcW w:w="200" w:type="dxa"/>
            <w:vAlign w:val="bottom"/>
            <w:shd w:val="clear" w:color="auto" w:fill="CFF0FC"/>
          </w:tcPr>
          <w:p>
            <w:pPr>
              <w:spacing w:after="0"/>
              <w:rPr>
                <w:sz w:val="20"/>
                <w:szCs w:val="20"/>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48,548,445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amortization (EBITDA) (non-GAAP measure)</w:t>
            </w: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Stock-based compensation, non-cash</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5,672,683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5,700,144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9,703,338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10,773,886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2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7,683,389</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1,421,949</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8,480,345</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1,635,304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79,284,415</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35,412,711</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150,639,696</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60,957,635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-548005</wp:posOffset>
            </wp:positionV>
            <wp:extent cx="1460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-530860</wp:posOffset>
            </wp:positionV>
            <wp:extent cx="14605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-548005</wp:posOffset>
            </wp:positionV>
            <wp:extent cx="137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-530860</wp:posOffset>
            </wp:positionV>
            <wp:extent cx="137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-548005</wp:posOffset>
            </wp:positionV>
            <wp:extent cx="137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-530860</wp:posOffset>
            </wp:positionV>
            <wp:extent cx="137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-548005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-530860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-193675</wp:posOffset>
            </wp:positionV>
            <wp:extent cx="14605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-193675</wp:posOffset>
            </wp:positionV>
            <wp:extent cx="13716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-193675</wp:posOffset>
            </wp:positionV>
            <wp:extent cx="13716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-193675</wp:posOffset>
            </wp:positionV>
            <wp:extent cx="685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and December 31, 2020 the Company had total current liabilities of $105,361,464 and $119,288,435, respectively, and cash and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equivalents of $359,188,735 and $83,757,785, respectively to meet its current obligations. The Company had working capital of $376,258,084 as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June 30, 2021, an increase of $311,602,514 as compared to December 31, 2020. This increase in working capital was primarily driven by the $155,498,140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sale of registered Subordinate Voting Shares pursuant to the Company’s Registration Statement on Form S-1 as well as the Company's April 30,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216,734,258 issuance of private placement debt. Partially offset by the repayment of 105,466,429.</w:t>
      </w:r>
    </w:p>
    <w:p>
      <w:pPr>
        <w:spacing w:after="0" w:line="2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first six months of 2021, Green Thumb generated revenue from all 12 of its markets: California, Colorado, Connecticut, Florida, Illinois, Maryland, Massachusetts, Nevada, New Jersey, New York, Ohio and Pennsylvania. The Company’s Consumer Packaged Goods revenue grew approximately 13%, net of discounts, during the three months ended June 30, 2021 as compared to the three months ended March 31, 2021, primarily driven by organic growth across the Company’s Consumer Packaged Goods Business. The Company’s Retail revenue, net of discounts, increased 15% during the three months ended June 30, 2021 as compared to the three months ended March 31, 2021, primarily driven by the launch of Cookies brand and increased transaction activity across the Company’s 58 Retail store footprint.</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Company is an early-stage growth company, generating cash from revenues deploying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development and marketing, as well as customer, supplier and investor and industry relations.</w:t>
      </w:r>
    </w:p>
    <w:p>
      <w:pPr>
        <w:spacing w:after="0" w:line="21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While our revenue, gross profit and operating income were not materially impacted by COVID-19 and we maintained the consistency of our operations during the first six months of 2021, the uncertain nature of the spread of COVID-19 may impact our business operations for reasons including the potential quarantine of our employees or those of our supply chain partners. Our ability to continue to operate without any significant negative operational impact from the COVID-19 pandemic will in part depend on our ability to protect our employees, customers and supply chain and our continued designation as an “essential” business in states where we do business that currently or in the future impose restrictions on business operations. The Company takes a cautious approach in allocating its capital to maximize its returns while ensuring appropriate liquidity. Given the current uncertainty of the future economic</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7" w:name="page38"/>
    <w:bookmarkEnd w:id="37"/>
    <w:p>
      <w:pPr>
        <w:ind w:right="80"/>
        <w:spacing w:after="0" w:line="293" w:lineRule="auto"/>
        <w:rPr>
          <w:sz w:val="20"/>
          <w:szCs w:val="20"/>
          <w:color w:val="auto"/>
        </w:rPr>
      </w:pPr>
      <w:r>
        <w:rPr>
          <w:rFonts w:ascii="Arial" w:cs="Arial" w:eastAsia="Arial" w:hAnsi="Arial"/>
          <w:sz w:val="18"/>
          <w:szCs w:val="18"/>
          <w:color w:val="auto"/>
        </w:rPr>
        <w:t>environment, the Company has taken additional measures in monitoring and deploying its capital to minimize the negative impact on its current operations and expansion plans.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 Investing and 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six months ended June 30, 2021 and 2020, were as follows:</w:t>
      </w:r>
    </w:p>
    <w:p>
      <w:pPr>
        <w:spacing w:after="0" w:line="309"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48,296,862</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60,250,326</w:t>
            </w:r>
          </w:p>
        </w:tc>
        <w:tc>
          <w:tcPr>
            <w:tcW w:w="120" w:type="dxa"/>
            <w:vAlign w:val="bottom"/>
            <w:shd w:val="clear" w:color="auto" w:fill="CFF0FC"/>
          </w:tcPr>
          <w:p>
            <w:pPr>
              <w:spacing w:after="0"/>
              <w:rPr>
                <w:sz w:val="22"/>
                <w:szCs w:val="22"/>
                <w:color w:val="auto"/>
              </w:rPr>
            </w:pPr>
          </w:p>
        </w:tc>
      </w:tr>
      <w:tr>
        <w:trPr>
          <w:trHeight w:val="250"/>
        </w:trPr>
        <w:tc>
          <w:tcPr>
            <w:tcW w:w="4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(43,583,152 )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(22,234,932 )</w:t>
            </w:r>
          </w:p>
        </w:tc>
      </w:tr>
      <w:tr>
        <w:trPr>
          <w:trHeight w:val="26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270,717,240</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(1,740,056 )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As of June 30, 2021,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35" w:lineRule="exact"/>
        <w:rPr>
          <w:sz w:val="20"/>
          <w:szCs w:val="20"/>
          <w:color w:val="auto"/>
        </w:rPr>
      </w:pPr>
    </w:p>
    <w:p>
      <w:pPr>
        <w:ind w:right="780" w:firstLine="441"/>
        <w:spacing w:after="0" w:line="293" w:lineRule="auto"/>
        <w:rPr>
          <w:sz w:val="20"/>
          <w:szCs w:val="20"/>
          <w:color w:val="auto"/>
        </w:rPr>
      </w:pPr>
      <w:r>
        <w:rPr>
          <w:rFonts w:ascii="Arial" w:cs="Arial" w:eastAsia="Arial" w:hAnsi="Arial"/>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35"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There were no material changes to our critical accounting policies and estimates from the information provided in “Management’s Discussion and Analysis of Financial Condition and Results of Operations,” included in our 2020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Company is an “emerging growth company” as defined in the Section 2(a) of the Exchange Act, as modified by the Jumpstart Our Business Start-ups Act of 2012, or the JOBS Act provides that an emerging growth company can take advantage of the extended transition period provided in Section 13(a) of the Exchange Act for complying with new or revised accounting standards applicable to public companies. The Company has elected to take advantage of this extended transition period and as a result of this election, our financial statements may not be comparable to companies that comply with public company effective dates.</w:t>
      </w:r>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 disclosures as set forth in Part II Item 7A of our 2020 Form 10-K.</w:t>
      </w:r>
    </w:p>
    <w:p>
      <w:pPr>
        <w:spacing w:after="0" w:line="35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35"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3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Company evaluated the effectiveness of our disclosure controls and procedures as of June 30,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As required by Rule 13a-15(b) under the Exchange Act, our management, with the participation of our Chief Executive Officer and Chief Financial Officer, has evaluated the effectiveness of our disclosure controls and procedures as of June 30, 2021, the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line="324" w:lineRule="auto"/>
        <w:rPr>
          <w:sz w:val="20"/>
          <w:szCs w:val="20"/>
          <w:color w:val="auto"/>
        </w:rPr>
      </w:pPr>
      <w:r>
        <w:rPr>
          <w:rFonts w:ascii="Arial" w:cs="Arial" w:eastAsia="Arial" w:hAnsi="Arial"/>
          <w:sz w:val="17"/>
          <w:szCs w:val="17"/>
          <w:color w:val="auto"/>
        </w:rPr>
        <w:t>end of the period covered by this Quarterly Report on Form 10-Q. Based upon such evaluation, our Chief Executive Officer and Chief Financial Officer have concluded that our disclosure controls and procedures were effective at the reasonable assurance level as of such date.</w:t>
      </w: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476" w:right="639" w:bottom="1440" w:gutter="0" w:footer="0" w:header="0"/>
        </w:sectPr>
      </w:pPr>
    </w:p>
    <w:bookmarkStart w:id="39" w:name="page40"/>
    <w:bookmarkEnd w:id="39"/>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28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the 2020 Form 10-K.</w:t>
      </w:r>
    </w:p>
    <w:p>
      <w:pPr>
        <w:spacing w:after="0" w:line="1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Company's Current Report on Form 8-K filed with the SEC on July 2, 2021.</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4" w:right="5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1140" w:type="dxa"/>
            <w:vAlign w:val="bottom"/>
            <w:gridSpan w:val="5"/>
          </w:tcPr>
          <w:p>
            <w:pPr>
              <w:spacing w:after="0"/>
              <w:rPr>
                <w:sz w:val="20"/>
                <w:szCs w:val="20"/>
                <w:color w:val="auto"/>
              </w:rPr>
            </w:pPr>
            <w:r>
              <w:rPr>
                <w:rFonts w:ascii="Arial" w:cs="Arial" w:eastAsia="Arial" w:hAnsi="Arial"/>
                <w:sz w:val="18"/>
                <w:szCs w:val="18"/>
                <w:color w:val="auto"/>
              </w:rPr>
              <w:t>The following exhibits are filed with this report:</w:t>
            </w:r>
          </w:p>
        </w:tc>
      </w:tr>
      <w:tr>
        <w:trPr>
          <w:trHeight w:val="473"/>
        </w:trPr>
        <w:tc>
          <w:tcPr>
            <w:tcW w:w="860" w:type="dxa"/>
            <w:vAlign w:val="bottom"/>
          </w:tcPr>
          <w:p>
            <w:pPr>
              <w:ind w:left="12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0000FF"/>
              </w:rPr>
              <w:t>CERTIFICATE OF CHIEF EXECUTIVE OFFICER</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6100" w:type="dxa"/>
            <w:vAlign w:val="bottom"/>
            <w:tcBorders>
              <w:left w:val="single" w:sz="8" w:color="0000FF"/>
            </w:tcBorders>
          </w:tcPr>
          <w:p>
            <w:pPr>
              <w:spacing w:after="0" w:line="20" w:lineRule="exact"/>
              <w:rPr>
                <w:sz w:val="1"/>
                <w:szCs w:val="1"/>
                <w:color w:val="auto"/>
              </w:rPr>
            </w:pPr>
          </w:p>
        </w:tc>
      </w:tr>
      <w:tr>
        <w:trPr>
          <w:trHeight w:val="344"/>
        </w:trPr>
        <w:tc>
          <w:tcPr>
            <w:tcW w:w="860" w:type="dxa"/>
            <w:vAlign w:val="bottom"/>
          </w:tcPr>
          <w:p>
            <w:pPr>
              <w:ind w:left="12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0000FF"/>
              </w:rPr>
              <w:t>CERTIFICATE OF CHIEF FINANCIAL OFFICER</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345"/>
        </w:trPr>
        <w:tc>
          <w:tcPr>
            <w:tcW w:w="860" w:type="dxa"/>
            <w:vAlign w:val="bottom"/>
          </w:tcPr>
          <w:p>
            <w:pPr>
              <w:ind w:left="12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0000FF"/>
                <w:w w:val="94"/>
              </w:rPr>
              <w:t>CERTIFICATION PURSUANT TO 18 U.S.C. SECTION 1350, AS ADOPTED PURSUANT TO SECTION 906 OF THE SARBANES-</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2"/>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0000FF"/>
              </w:rPr>
              <w:t>OXLEY ACT OF 2002</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344"/>
        </w:trPr>
        <w:tc>
          <w:tcPr>
            <w:tcW w:w="860" w:type="dxa"/>
            <w:vAlign w:val="bottom"/>
          </w:tcPr>
          <w:p>
            <w:pPr>
              <w:ind w:left="12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0000FF"/>
                <w:w w:val="94"/>
              </w:rPr>
              <w:t>CERTIFICATION PURSUANT TO 18 U.S.C. SECTION 1350, AS ADOPTED PURSUANT TO SECTION 906 OF THE SARBANES-</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9860" w:type="dxa"/>
            <w:vAlign w:val="bottom"/>
            <w:gridSpan w:val="3"/>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0000FF"/>
              </w:rPr>
              <w:t>OXLEY ACT OF 2002</w:t>
            </w: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385"/>
        </w:trPr>
        <w:tc>
          <w:tcPr>
            <w:tcW w:w="860" w:type="dxa"/>
            <w:vAlign w:val="bottom"/>
          </w:tcPr>
          <w:p>
            <w:pPr>
              <w:ind w:left="20"/>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r>
      <w:tr>
        <w:trPr>
          <w:trHeight w:val="364"/>
        </w:trPr>
        <w:tc>
          <w:tcPr>
            <w:tcW w:w="860" w:type="dxa"/>
            <w:vAlign w:val="bottom"/>
          </w:tcPr>
          <w:p>
            <w:pPr>
              <w:ind w:left="20"/>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860" w:type="dxa"/>
            <w:vAlign w:val="bottom"/>
          </w:tcPr>
          <w:p>
            <w:pPr>
              <w:ind w:left="20"/>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4"/>
        </w:trPr>
        <w:tc>
          <w:tcPr>
            <w:tcW w:w="860" w:type="dxa"/>
            <w:vAlign w:val="bottom"/>
          </w:tcPr>
          <w:p>
            <w:pPr>
              <w:ind w:left="20"/>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4"/>
        </w:trPr>
        <w:tc>
          <w:tcPr>
            <w:tcW w:w="860" w:type="dxa"/>
            <w:vAlign w:val="bottom"/>
          </w:tcPr>
          <w:p>
            <w:pPr>
              <w:ind w:left="20"/>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860" w:type="dxa"/>
            <w:vAlign w:val="bottom"/>
          </w:tcPr>
          <w:p>
            <w:pPr>
              <w:ind w:left="20"/>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4" w:lineRule="exact"/>
        <w:rPr>
          <w:sz w:val="20"/>
          <w:szCs w:val="20"/>
          <w:color w:val="auto"/>
        </w:rPr>
      </w:pPr>
    </w:p>
    <w:p>
      <w:pPr>
        <w:ind w:left="1260" w:hanging="1239"/>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 Inline XBRL File)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41" w:name="page42"/>
    <w:bookmarkEnd w:id="41"/>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289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Benjamin Kovler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289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Anthony Georgiadis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Benjamin Kovler, certify that:</w:t>
      </w:r>
    </w:p>
    <w:p>
      <w:pPr>
        <w:spacing w:after="0" w:line="131" w:lineRule="exact"/>
        <w:rPr>
          <w:sz w:val="20"/>
          <w:szCs w:val="20"/>
          <w:color w:val="auto"/>
        </w:rPr>
      </w:pPr>
    </w:p>
    <w:p>
      <w:pPr>
        <w:ind w:left="1080" w:hanging="44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1080" w:right="160" w:hanging="443"/>
        <w:spacing w:after="0" w:line="27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80" w:right="460" w:hanging="443"/>
        <w:spacing w:after="0" w:line="359"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80" w:right="80" w:hanging="443"/>
        <w:spacing w:after="0" w:line="27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2240" w:right="60" w:hanging="450"/>
        <w:spacing w:after="0" w:line="329" w:lineRule="auto"/>
        <w:tabs>
          <w:tab w:leader="none" w:pos="22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2240" w:right="480" w:hanging="450"/>
        <w:spacing w:after="0" w:line="329" w:lineRule="auto"/>
        <w:tabs>
          <w:tab w:leader="none" w:pos="22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jc w:val="both"/>
        <w:ind w:left="2240" w:right="40" w:hanging="450"/>
        <w:spacing w:after="0" w:line="279" w:lineRule="auto"/>
        <w:tabs>
          <w:tab w:leader="none" w:pos="2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2240" w:right="60" w:hanging="450"/>
        <w:spacing w:after="0" w:line="303" w:lineRule="auto"/>
        <w:tabs>
          <w:tab w:leader="none" w:pos="22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rFonts w:ascii="Arial" w:cs="Arial" w:eastAsia="Arial" w:hAnsi="Arial"/>
          <w:sz w:val="17"/>
          <w:szCs w:val="17"/>
          <w:color w:val="auto"/>
        </w:rPr>
      </w:pPr>
    </w:p>
    <w:p>
      <w:pPr>
        <w:ind w:left="1080" w:right="40" w:hanging="443"/>
        <w:spacing w:after="0" w:line="359"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240" w:right="320" w:hanging="450"/>
        <w:spacing w:after="0" w:line="279" w:lineRule="auto"/>
        <w:tabs>
          <w:tab w:leader="none" w:pos="2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2240" w:right="700" w:hanging="450"/>
        <w:spacing w:after="0" w:line="293" w:lineRule="auto"/>
        <w:tabs>
          <w:tab w:leader="none" w:pos="2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/s/Benjamin Kovler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Benjamin Kovler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31" w:lineRule="exact"/>
        <w:rPr>
          <w:sz w:val="20"/>
          <w:szCs w:val="20"/>
          <w:color w:val="auto"/>
        </w:rPr>
      </w:pPr>
    </w:p>
    <w:p>
      <w:pPr>
        <w:ind w:left="1080" w:hanging="44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1080" w:right="160" w:hanging="443"/>
        <w:spacing w:after="0" w:line="27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80" w:right="460" w:hanging="443"/>
        <w:spacing w:after="0" w:line="359"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80" w:right="80" w:hanging="443"/>
        <w:spacing w:after="0" w:line="27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2240" w:right="60" w:hanging="450"/>
        <w:spacing w:after="0" w:line="329" w:lineRule="auto"/>
        <w:tabs>
          <w:tab w:leader="none" w:pos="22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2240" w:right="480" w:hanging="450"/>
        <w:spacing w:after="0" w:line="329" w:lineRule="auto"/>
        <w:tabs>
          <w:tab w:leader="none" w:pos="22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jc w:val="both"/>
        <w:ind w:left="2240" w:right="40" w:hanging="450"/>
        <w:spacing w:after="0" w:line="279" w:lineRule="auto"/>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2240" w:right="60" w:hanging="450"/>
        <w:spacing w:after="0" w:line="303" w:lineRule="auto"/>
        <w:tabs>
          <w:tab w:leader="none" w:pos="2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rFonts w:ascii="Arial" w:cs="Arial" w:eastAsia="Arial" w:hAnsi="Arial"/>
          <w:sz w:val="17"/>
          <w:szCs w:val="17"/>
          <w:color w:val="auto"/>
        </w:rPr>
      </w:pPr>
    </w:p>
    <w:p>
      <w:pPr>
        <w:ind w:left="1080" w:right="40" w:hanging="443"/>
        <w:spacing w:after="0" w:line="359"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240" w:right="320" w:hanging="450"/>
        <w:spacing w:after="0" w:line="279" w:lineRule="auto"/>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2240" w:right="700" w:hanging="450"/>
        <w:spacing w:after="0" w:line="293" w:lineRule="auto"/>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/s/Anthony Georgiadis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Anthony Georgiadis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In connection with the Quarterly Report of Green Thumb Industries Inc. (the “Company”) on Form 10-Q for the three and six months ended June 30, 2021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/s/Benjamin Kovler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Benjamin Kovler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80" w:firstLine="509"/>
        <w:spacing w:after="0" w:line="292" w:lineRule="auto"/>
        <w:rPr>
          <w:sz w:val="20"/>
          <w:szCs w:val="20"/>
          <w:color w:val="auto"/>
        </w:rPr>
      </w:pPr>
      <w:r>
        <w:rPr>
          <w:rFonts w:ascii="Arial" w:cs="Arial" w:eastAsia="Arial" w:hAnsi="Arial"/>
          <w:sz w:val="17"/>
          <w:szCs w:val="17"/>
          <w:color w:val="auto"/>
        </w:rPr>
        <w:t>In connection with the Quarterly Report of Green Thumb Industries Inc. (the “Company”) on Form 10-Q for the three and six months ended June 30, 2021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/s/Anthony Georgiadis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Anthony Georgiadis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2"/>
    </w:lvl>
  </w:abstractNum>
  <w:abstractNum w:abstractNumId="5">
    <w:nsid w:val="4353D0CD"/>
    <w:multiLevelType w:val="hybridMultilevel"/>
    <w:lvl w:ilvl="0">
      <w:lvlJc w:val="left"/>
      <w:lvlText w:val="(%1)"/>
      <w:numFmt w:val="lowerLetter"/>
      <w:start w:val="3"/>
    </w:lvl>
  </w:abstractNum>
  <w:abstractNum w:abstractNumId="6">
    <w:nsid w:val="B03E0C6"/>
    <w:multiLevelType w:val="hybridMultilevel"/>
    <w:lvl w:ilvl="0">
      <w:lvlJc w:val="left"/>
      <w:lvlText w:val="(%1)"/>
      <w:numFmt w:val="lowerLetter"/>
      <w:start w:val="4"/>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lowerLetter"/>
      <w:start w:val="5"/>
    </w:lvl>
    <w:lvl w:ilvl="1">
      <w:lvlJc w:val="left"/>
      <w:lvlText w:val="(%2)"/>
      <w:numFmt w:val="lowerRoman"/>
      <w:start w:val="1"/>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1)"/>
      <w:numFmt w:val="lowerLetter"/>
      <w:start w:val="1"/>
    </w:lvl>
    <w:lvl w:ilvl="1">
      <w:lvlJc w:val="left"/>
      <w:lvlText w:val="(%2)"/>
      <w:numFmt w:val="lowerLetter"/>
      <w:start w:val="9"/>
    </w:lvl>
  </w:abstractNum>
  <w:abstractNum w:abstractNumId="12">
    <w:nsid w:val="2901D82"/>
    <w:multiLevelType w:val="hybridMultilevel"/>
    <w:lvl w:ilvl="0">
      <w:lvlJc w:val="left"/>
      <w:lvlText w:val="%1."/>
      <w:numFmt w:val="decimal"/>
      <w:start w:val="5"/>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1."/>
      <w:numFmt w:val="decimal"/>
      <w:start w:val="7"/>
    </w:lvl>
    <w:lvl w:ilvl="1">
      <w:lvlJc w:val="left"/>
      <w:lvlText w:val="(%2)"/>
      <w:numFmt w:val="lowerLetter"/>
      <w:start w:val="1"/>
    </w:lvl>
  </w:abstractNum>
  <w:abstractNum w:abstractNumId="15">
    <w:nsid w:val="1E7FF521"/>
    <w:multiLevelType w:val="hybridMultilevel"/>
    <w:lvl w:ilvl="0">
      <w:lvlJc w:val="left"/>
      <w:lvlText w:val="(%1)"/>
      <w:numFmt w:val="lowerLetter"/>
      <w:start w:val="2"/>
    </w:lvl>
  </w:abstractNum>
  <w:abstractNum w:abstractNumId="16">
    <w:nsid w:val="7C3DBD3D"/>
    <w:multiLevelType w:val="hybridMultilevel"/>
    <w:lvl w:ilvl="0">
      <w:lvlJc w:val="left"/>
      <w:lvlText w:val="%1."/>
      <w:numFmt w:val="decimal"/>
      <w:start w:val="8"/>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decimal"/>
      <w:start w:val="9"/>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decimal"/>
      <w:start w:val="9"/>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decimal"/>
      <w:start w:val="10"/>
    </w:lvl>
  </w:abstractNum>
  <w:abstractNum w:abstractNumId="23">
    <w:nsid w:val="419AC241"/>
    <w:multiLevelType w:val="hybridMultilevel"/>
    <w:lvl w:ilvl="0">
      <w:lvlJc w:val="left"/>
      <w:lvlText w:val="(%1)"/>
      <w:numFmt w:val="lowerLetter"/>
      <w:start w:val="1"/>
    </w:lvl>
    <w:lvl w:ilvl="1">
      <w:lvlJc w:val="left"/>
      <w:lvlText w:val="(%2)"/>
      <w:numFmt w:val="lowerLetter"/>
      <w:start w:val="9"/>
    </w:lvl>
  </w:abstractNum>
  <w:abstractNum w:abstractNumId="24">
    <w:nsid w:val="5577F8E1"/>
    <w:multiLevelType w:val="hybridMultilevel"/>
    <w:lvl w:ilvl="0">
      <w:lvlJc w:val="left"/>
      <w:lvlText w:val="(%1)"/>
      <w:numFmt w:val="lowerRoman"/>
      <w:start w:val="2"/>
    </w:lvl>
  </w:abstractNum>
  <w:abstractNum w:abstractNumId="25">
    <w:nsid w:val="440BADFC"/>
    <w:multiLevelType w:val="hybridMultilevel"/>
    <w:lvl w:ilvl="0">
      <w:lvlJc w:val="left"/>
      <w:lvlText w:val="(%1)"/>
      <w:numFmt w:val="lowerRoman"/>
      <w:start w:val="3"/>
    </w:lvl>
  </w:abstractNum>
  <w:abstractNum w:abstractNumId="26">
    <w:nsid w:val="5072367"/>
    <w:multiLevelType w:val="hybridMultilevel"/>
    <w:lvl w:ilvl="0">
      <w:lvlJc w:val="left"/>
      <w:lvlText w:val="(%1)"/>
      <w:numFmt w:val="lowerLetter"/>
      <w:start w:val="2"/>
    </w:lvl>
  </w:abstractNum>
  <w:abstractNum w:abstractNumId="27">
    <w:nsid w:val="3804823E"/>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28">
    <w:nsid w:val="77465F01"/>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4"/>
    </w:lvl>
  </w:abstractNum>
  <w:abstractNum w:abstractNumId="29">
    <w:nsid w:val="7724C67E"/>
    <w:multiLevelType w:val="hybridMultilevel"/>
    <w:lvl w:ilvl="0">
      <w:lvlJc w:val="left"/>
      <w:lvlText w:val="%1."/>
      <w:numFmt w:val="decimal"/>
      <w:start w:val="10"/>
    </w:lvl>
  </w:abstractNum>
  <w:abstractNum w:abstractNumId="30">
    <w:nsid w:val="5C482A97"/>
    <w:multiLevelType w:val="hybridMultilevel"/>
    <w:lvl w:ilvl="0">
      <w:lvlJc w:val="left"/>
      <w:lvlText w:val="(%1)"/>
      <w:numFmt w:val="lowerLetter"/>
      <w:start w:val="3"/>
    </w:lvl>
  </w:abstractNum>
  <w:abstractNum w:abstractNumId="31">
    <w:nsid w:val="2463B9EA"/>
    <w:multiLevelType w:val="hybridMultilevel"/>
    <w:lvl w:ilvl="0">
      <w:lvlJc w:val="left"/>
      <w:lvlText w:val="%1."/>
      <w:numFmt w:val="decimal"/>
      <w:start w:val="10"/>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decimal"/>
      <w:start w:val="11"/>
    </w:lvl>
  </w:abstractNum>
  <w:abstractNum w:abstractNumId="34">
    <w:nsid w:val="2D517796"/>
    <w:multiLevelType w:val="hybridMultilevel"/>
    <w:lvl w:ilvl="0">
      <w:lvlJc w:val="left"/>
      <w:lvlText w:val="%1."/>
      <w:numFmt w:val="decimal"/>
      <w:start w:val="12"/>
    </w:lvl>
  </w:abstractNum>
  <w:abstractNum w:abstractNumId="35">
    <w:nsid w:val="580BD78F"/>
    <w:multiLevelType w:val="hybridMultilevel"/>
    <w:lvl w:ilvl="0">
      <w:lvlJc w:val="left"/>
      <w:lvlText w:val="%1."/>
      <w:numFmt w:val="decimal"/>
      <w:start w:val="13"/>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14"/>
    </w:lvl>
  </w:abstractNum>
  <w:abstractNum w:abstractNumId="38">
    <w:nsid w:val="70A64E2A"/>
    <w:multiLevelType w:val="hybridMultilevel"/>
    <w:lvl w:ilvl="0">
      <w:lvlJc w:val="left"/>
      <w:lvlText w:val="%1."/>
      <w:numFmt w:val="decimal"/>
      <w:start w:val="15"/>
    </w:lvl>
  </w:abstractNum>
  <w:abstractNum w:abstractNumId="39">
    <w:nsid w:val="6A2342EC"/>
    <w:multiLevelType w:val="hybridMultilevel"/>
    <w:lvl w:ilvl="0">
      <w:lvlJc w:val="left"/>
      <w:lvlText w:val="%1."/>
      <w:numFmt w:val="decimal"/>
      <w:start w:val="16"/>
    </w:lvl>
  </w:abstractNum>
  <w:abstractNum w:abstractNumId="40">
    <w:nsid w:val="2A487CB0"/>
    <w:multiLevelType w:val="hybridMultilevel"/>
    <w:lvl w:ilvl="0">
      <w:lvlJc w:val="left"/>
      <w:lvlText w:val="%1."/>
      <w:numFmt w:val="decimal"/>
      <w:start w:val="17"/>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104"/>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2021-08-12T06:42:44Z</dcterms:created>
  <dcterms:modified xsi:type="dcterms:W3CDTF">2021-08-12T06:42:44Z</dcterms:modified>
</cp:coreProperties>
</file>