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tbif-20251105.htm"/>
      <w:bookmarkStart w:id="1" w:name="ksgtbif202511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GREEN THUMB INDUSTRIES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British Columbia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000-56132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98-1437430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325 West Huron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471-6720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November 5, 2025, Green Thumb Industries Inc. issued a press release announcing its financial results for the quarter ended September 30, 2025, a copy of which is attached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tbif-ex99_1.htm">
              <w:r>
                <w:rPr>
                  <w:rStyle w:val="InternetLink"/>
                  <w:rFonts w:ascii="Times New Roman" w:hAnsi="Times New Roman"/>
                  <w:color w:val="0000FF"/>
                  <w:sz w:val="20"/>
                  <w:u w:val="single"/>
                </w:rPr>
                <w:t>Press release dated November 5, 2025</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XRBL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34" w:type="dxa"/>
        <w:jc w:val="left"/>
        <w:tblInd w:w="0" w:type="dxa"/>
        <w:tblLayout w:type="fixed"/>
        <w:tblCellMar>
          <w:top w:w="28" w:type="dxa"/>
          <w:left w:w="28" w:type="dxa"/>
          <w:bottom w:w="28" w:type="dxa"/>
          <w:right w:w="28" w:type="dxa"/>
        </w:tblCellMar>
      </w:tblPr>
      <w:tblGrid>
        <w:gridCol w:w="556"/>
        <w:gridCol w:w="1606"/>
        <w:gridCol w:w="451"/>
        <w:gridCol w:w="312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GREEN THUMB INDUSTRIES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5,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Mathew Faulkner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Mathew Faulkner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tbif-ex99_1.htm"/>
      <w:bookmarkStart w:id="3" w:name="ksgtbif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pPr>
      <w:r>
        <w:rPr/>
        <w:t> </w:t>
      </w:r>
    </w:p>
    <w:p>
      <w:pPr>
        <w:pStyle w:val="TextBody"/>
        <w:bidi w:val="0"/>
        <w:jc w:val="center"/>
        <w:rPr/>
      </w:pPr>
      <w:r>
        <w:rPr/>
        <w:drawing>
          <wp:inline distT="0" distB="0" distL="0" distR="0">
            <wp:extent cx="34766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4572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Reports Third Quarter 2025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CHICAGO and VANCOUVER, British Columbia, November 5, 2025 (GLOBE NEWSWIRE) – </w:t>
      </w:r>
      <w:r>
        <w:rPr>
          <w:rFonts w:ascii="Times New Roman" w:hAnsi="Times New Roman"/>
          <w:sz w:val="20"/>
        </w:rPr>
        <w:t>Green Thumb Industries Inc.</w:t>
      </w:r>
      <w:r>
        <w:rPr>
          <w:rFonts w:ascii="Times New Roman" w:hAnsi="Times New Roman"/>
          <w:color w:val="000000"/>
          <w:sz w:val="20"/>
        </w:rPr>
        <w:t xml:space="preserve"> (“Green Thumb” or the “Company”) (CSE: GTII) (OTCQX: GTBIF), a leading national cannabis consumer packaged goods company and owner of </w:t>
      </w:r>
      <w:r>
        <w:rPr>
          <w:rFonts w:ascii="Times New Roman" w:hAnsi="Times New Roman"/>
          <w:sz w:val="20"/>
        </w:rPr>
        <w:t>RISE Dispensaries</w:t>
      </w:r>
      <w:r>
        <w:rPr>
          <w:rFonts w:ascii="Times New Roman" w:hAnsi="Times New Roman"/>
          <w:color w:val="000000"/>
          <w:sz w:val="20"/>
        </w:rPr>
        <w:t>, today reported its financial results for the quarter ended September 30, 2025. Financial results are reported in accordance with U.S. generally accepted accounting principles (“GAAP”), and all currency is in U.S. dollars.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Highlights for the third quarter ended September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of $291.4 million, an increase of 1.6% over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at quarter end totaled $226.2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net income of $23.3 million or $0.10 per basic and diluted share, excluding the one-time gain on asset sales, GAAP net income would have been $9.7 million or $0.04 per basic and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of $80.2 million or 27.5%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from operations of $74.1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Authorized $50 million for the repurchase of Subordinate Voting Shares from September 23, 2025 to September 22,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Commenced adult-use cannabis sales at seven of eight RISE Dispensaries in Minnesota on September 17,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quarter end, the eighth Minnesota RISE Dispensary commenced adult-use on October 21,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See definitions and reconciliation of non-GAAP measures elsewhere in this release.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MANAGEMENT COMMENTARY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Green Thumb Founder, Chairman and Chief Executive Ben Kovler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Despite ongoing price compression in certain key markets, our team delivered another solid quarter of results. Third quarter revenue was $291 million, up approximately 2% year over year. Adjusted EBITDA was $80 million, or 28% of revenue, and cash flow from operations was $74 million. Our balance sheet is in comfortable shape with cash and cash equivalents of $226 million, and our senior credit facility does not mature for four years.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As we have said, maintaining a strong balance sheet and generating consistent cash flow gives us the flexibility to allocate capital effectively, and returning value to our shareholders is a key part of that approach. Since launching our first share repurchase program in late 2023, we have repurchased approximately $107 million of our subordinate voting shares at an average price of $7.95 per share, reducing total shares outstanding by 13.5 million. In September, our Board authorized another share repurchase program for $50 million that extends through September 2026.</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0"/>
        </w:rPr>
        <w:t>Our strong financial position also provides the headroom to stay forward-thinking amid persistent industry challenges. While federal reform remains uncertain and 280E taxation and limited access to capital continue to weigh on operators, cannabis demand continues to rise, making it one of the largest and fastest-growing consumer categories.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In August, we completed a transaction with RYTHM, Inc. that further enables expansion of THC products beyond dispensary walls and strengthens Green Thumb’s position in a rapidly evolving industry. As the THC market continues to expand, we are excited to lead this next phase of growth, supported by strong brands, loyal customers, industry-leading products and, of course, the best team in the business driving it all forward.”</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2</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Green Thumb President Anthony Georgiadis</w:t>
      </w:r>
    </w:p>
    <w:p>
      <w:pPr>
        <w:pStyle w:val="TextBody"/>
        <w:bidi w:val="0"/>
        <w:jc w:val="both"/>
        <w:rPr/>
      </w:pPr>
      <w:r>
        <w:rPr/>
        <w:t> </w:t>
      </w:r>
    </w:p>
    <w:p>
      <w:pPr>
        <w:pStyle w:val="TextBody"/>
        <w:bidi w:val="0"/>
        <w:jc w:val="left"/>
        <w:rPr>
          <w:color w:val="212121"/>
        </w:rPr>
      </w:pPr>
      <w:r>
        <w:rPr>
          <w:color w:val="212121"/>
        </w:rPr>
        <w:t>“</w:t>
      </w:r>
      <w:r>
        <w:rPr>
          <w:rFonts w:ascii="Times New Roman" w:hAnsi="Times New Roman"/>
          <w:color w:val="212121"/>
          <w:sz w:val="20"/>
        </w:rPr>
        <w:t>We are extremely proud of our Green Thumb team and the consistent performance we continue to deliver. Even amid ongoing price compression and heightened competition in several of our core markets, we have continued to optimize our business model and generate substantial profitability and cash flow. Our focus on driving brand-led market share expansion is also delivering results, with meaningful third-quarter gains in key markets including Illinois, Pennsylvania, New Jersey and Maryland.</w:t>
      </w:r>
    </w:p>
    <w:p>
      <w:pPr>
        <w:pStyle w:val="TextBody"/>
        <w:bidi w:val="0"/>
        <w:jc w:val="left"/>
        <w:rPr/>
      </w:pPr>
      <w:r>
        <w:rPr/>
        <w:t> </w:t>
      </w:r>
    </w:p>
    <w:p>
      <w:pPr>
        <w:pStyle w:val="TextBody"/>
        <w:bidi w:val="0"/>
        <w:jc w:val="left"/>
        <w:rPr>
          <w:color w:val="212121"/>
        </w:rPr>
      </w:pPr>
      <w:r>
        <w:rPr>
          <w:color w:val="212121"/>
        </w:rPr>
        <w:t>“</w:t>
      </w:r>
      <w:r>
        <w:rPr>
          <w:rFonts w:ascii="Times New Roman" w:hAnsi="Times New Roman"/>
          <w:color w:val="212121"/>
          <w:sz w:val="20"/>
        </w:rPr>
        <w:t>As of today, we have launched adult-use sales at all eight of our RISE Dispensaries across Minnesota, allowing us to bring well-being through cannabis and the RISE experience to more adults throughout the North Star State. While the current regulatory structure in Minnesota artificially limits supply and negatively impacts consumers, we are encouraged by the strong demand we have seen since adult-use began in mid-September. We remain optimistic that the framework will evolve so that we can more fully meet customer demand with our branded products.</w:t>
      </w:r>
    </w:p>
    <w:p>
      <w:pPr>
        <w:pStyle w:val="TextBody"/>
        <w:bidi w:val="0"/>
        <w:jc w:val="left"/>
        <w:rPr/>
      </w:pPr>
      <w:r>
        <w:rPr/>
        <w:t> </w:t>
      </w:r>
    </w:p>
    <w:p>
      <w:pPr>
        <w:pStyle w:val="TextBody"/>
        <w:bidi w:val="0"/>
        <w:jc w:val="left"/>
        <w:rPr/>
      </w:pPr>
      <w:r>
        <w:rPr>
          <w:color w:val="212121"/>
        </w:rPr>
        <w:t>“</w:t>
      </w:r>
      <w:r>
        <w:rPr>
          <w:rFonts w:ascii="Times New Roman" w:hAnsi="Times New Roman"/>
          <w:color w:val="212121"/>
          <w:sz w:val="20"/>
        </w:rPr>
        <w:t xml:space="preserve">As we look ahead to 2026, we remain confident that despite a challenging </w:t>
      </w:r>
      <w:r>
        <w:rPr>
          <w:rFonts w:ascii="Times New Roman" w:hAnsi="Times New Roman"/>
          <w:color w:val="000000"/>
          <w:sz w:val="20"/>
        </w:rPr>
        <w:t>environment</w:t>
      </w:r>
      <w:r>
        <w:rPr>
          <w:rFonts w:ascii="Times New Roman" w:hAnsi="Times New Roman"/>
          <w:color w:val="212121"/>
          <w:sz w:val="20"/>
        </w:rPr>
        <w:t>, we can continue to expand our market share and deliver industry-leading financial and operating performance. L</w:t>
      </w:r>
      <w:r>
        <w:rPr>
          <w:rFonts w:ascii="Times New Roman" w:hAnsi="Times New Roman"/>
          <w:color w:val="000000"/>
          <w:sz w:val="20"/>
        </w:rPr>
        <w:t xml:space="preserve">ast night’s election results in Virginia are an encouraging step toward establishing an adult-use market and give us </w:t>
      </w:r>
      <w:r>
        <w:rPr>
          <w:rFonts w:ascii="Times New Roman" w:hAnsi="Times New Roman"/>
          <w:color w:val="212121"/>
          <w:sz w:val="20"/>
        </w:rPr>
        <w:t>greater confidence that we can work with policymakers to make that happen at some point next year.”</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Third Quarter 2025 Financial 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revenue for the third quarter 2025 was $291.4 million, up 1.6% from the prior year period. Consumer Packaged Goods revenue, net of intersegment eliminations, increased by 8% due to continued expansion in the adult-use markets in New York and Ohio. Retail revenue declined by 1% as compared to same period in the prior year, primarily due to price compression in existing markets, including Illinois, Pennsylvania and New Jersey, partially offset by the launch of adult-use sales in Minnesota. Third quarter 2025 comparable sales (stores open at least 12 months) decreased 7.1% versus the prior year on a base of 93 stores.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for the third quarter 2025 was $144.0 million or 49.4% of revenue, a reduction from $147.6 million or 51.4% of revenue over the prior year period. The decline in gross margin percentage was primarily driven by price compression.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selling, general and administrative expenses for the third quarter 2025 were $107.3 million or 36.8% of revenue, compared to $105.0 million or 36.6% of revenue for the third quarter 2024. The increase in selling, general and administrative expenses was primarily attributable to increased costs associated with the opening and operation of new retail stores since the third quarter of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(expense) for the third quarter was $36.2 million versus ($2.9) million for the comparable period in the prior year, due to a gain on the sale of intellectual property rights to RYTHM, Inc.</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income attributable to the Company for the third quarter was $23.3 million or $0.10 per basic and diluted share, compared to net income of $8.6 million, or $0.04 per basic and diluted share in the prior year period. Excluding the one-time gain on a sale during the last three months, GAAP net income would have been $9.7 million or $0.04 per basic and diluted share. Net Income for the nine months ended September 30, 2025 was $30.9 million or $0.13 per basic and diluted share. Excluding the gain on asset sales over the last nine months, GAAP net income would have been $23.6 million or $0.10 per basic and diluted share.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third quarter 2025, EBITDA was $66.8 million or 22.9% of revenue, versus $71.1 million or 24.8% of revenue for the comparable prior year period. Adjusted EBITDA, which excluded non-cash stock-based compensation of $11.7 million and other non-operating adjustments of $1.7 million, was $80.2 million or 27.5% of revenue, down from $89.2 million or 31.1% of revenue for the third quarter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expects fourth quarter 2025 revenues to be sequentially flat to up single digits.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additional information on the non-GAAP financial measures discussed above, see under “Non-GAAP Financial Information” below.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Balance Sheet and 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current assets were $477.5 million, including cash and cash equivalents of $226.2 million. Total debt outstanding was $247.4 million, which includes $144.4 million of senior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basic and diluted weighted average shares outstanding for the three months ended September 30, 2025, were 231.7 million shares and 233.5 million shares, respectively.</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3</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Allocation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Company’s Board of Directors authorized up to $50 million to be used to repurchase up to 10,364,640 of the Company's Subordinate Voting Shares from September 23, 2025 through September 22,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Company’s share repurchase programs that began on September 5, 2023, it repurchased approximately 13.5 million shares for $107 million through September 30,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Non-GAAP Financial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Definitions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EBITDA: </w:t>
      </w:r>
      <w:r>
        <w:rPr>
          <w:rFonts w:ascii="Times New Roman" w:hAnsi="Times New Roman"/>
          <w:color w:val="000000"/>
          <w:sz w:val="20"/>
        </w:rPr>
        <w:t>Earnings before interest, taxes, other income or expense and depreciation and amortization.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Adjusted EBITDA: </w:t>
      </w:r>
      <w:r>
        <w:rPr>
          <w:rFonts w:ascii="Times New Roman" w:hAnsi="Times New Roman"/>
          <w:color w:val="000000"/>
          <w:sz w:val="20"/>
        </w:rPr>
        <w:t>Earnings before interest, taxes, depreciation, and amortization, adjusted for other income, non-cash stock-based compensation, one-time transaction related expenses, or other non-operating costs.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About Green Thumb Industries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Green Thumb Industries Inc. (“Green Thumb”) is a leading national cannabis consumer packaged goods company and retailer headquartered in Chicago, Illinois. The company manufactures and distributes a portfolio of branded cannabis products, some of which are licensed, including RYTHM, Dogwalkers, incredibles, Beboe, &amp;Shine, Doctor Solomon’s and Good Green. Green Thumb also owns and operates RISE Dispensaries, a rapidly growing national retail chain. Green Thumb serves millions of patients and customers each year with a mission to promote well-being through the power of cannabis while giving back to the communities it serves. Established in 2014, Green Thumb has 20 manufacturing facilities and 108 retail stores across 14 U.S. markets, employing approximately 4,800 people. More information is available at </w:t>
      </w:r>
      <w:r>
        <w:rPr>
          <w:rFonts w:ascii="Times New Roman" w:hAnsi="Times New Roman"/>
          <w:sz w:val="20"/>
        </w:rPr>
        <w:t>www.gtigrows.com.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have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it conducts business; the Company faces intense competition; the Company faces competition from the illicit market as well as hemp products that are actually or purportedly compliant with the Agricultural Improvement Act of 2018 (the Farm Bill); the Company is dependent upon the popularity and consumer acceptance of its brand portfolio; the Company has limited trademark protections; as a cannabis business, the Company is subject to unfavorable tax treatment and may incur significant tax liability; as a cannabis business, the Company may be subject to civil asset forfeiture; the Company is subject to proceeds of crime statutes; the Company faces exposure to fraudulent or illegal activity; the Company faces risks due to industry immaturity or limited comparable,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4</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competitive or established industry best practices; the Company faces risks related to its products; the Company’s business is subject to the risks inherent in agricultural operations; the Company faces an inherent risk of product liability and similar claims; the Company’s products may be subject to product recalls; the Company may face unfavorable publicity or consumer perception; the Company may be adversely impacted by rising or volatile energy costs and availability;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relies on the expertise of its management team and other employees experienced in the cannabis industry, and the loss of key personnel could negatively affect its business; the Company’s voting control is concentrated; the Company’s capital structure and voting control may cause unpredictability; and sales of substantial amounts Subordinate Voting Shares by the Company’s shareholders in the public market may have an adverse effect on the market price of the Company’s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on the SEC’s website or at </w:t>
      </w:r>
      <w:r>
        <w:rPr>
          <w:rFonts w:ascii="Times New Roman" w:hAnsi="Times New Roman"/>
          <w:sz w:val="20"/>
        </w:rPr>
        <w:t>https://investors.gtigrows.com</w:t>
      </w:r>
      <w:r>
        <w:rPr>
          <w:rFonts w:ascii="Times New Roman" w:hAnsi="Times New Roman"/>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Canadian Securities Exchange does not accept responsibility for the adequacy or accuracy of this release.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Mathew Faulkner</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sz w:val="20"/>
        </w:rPr>
      </w:pPr>
      <w:r>
        <w:rPr>
          <w:rFonts w:ascii="Times New Roman" w:hAnsi="Times New Roman"/>
          <w:sz w:val="20"/>
        </w:rPr>
        <w:t>InvestorRelations@gtigrows.com</w:t>
      </w:r>
    </w:p>
    <w:p>
      <w:pPr>
        <w:pStyle w:val="TextBody"/>
        <w:bidi w:val="0"/>
        <w:jc w:val="left"/>
        <w:rPr>
          <w:rFonts w:ascii="Times New Roman" w:hAnsi="Times New Roman"/>
          <w:color w:val="000000"/>
          <w:sz w:val="20"/>
        </w:rPr>
      </w:pPr>
      <w:r>
        <w:rPr>
          <w:rFonts w:ascii="Times New Roman" w:hAnsi="Times New Roman"/>
          <w:color w:val="000000"/>
          <w:sz w:val="20"/>
        </w:rPr>
        <w:t>310-622-8257</w:t>
      </w:r>
    </w:p>
    <w:p>
      <w:pPr>
        <w:pStyle w:val="TextBody"/>
        <w:bidi w:val="0"/>
        <w:jc w:val="left"/>
        <w:rPr>
          <w:rFonts w:ascii="Times New Roman" w:hAnsi="Times New Roman"/>
          <w:sz w:val="20"/>
        </w:rPr>
      </w:pPr>
      <w:r>
        <w:rPr>
          <w:rFonts w:ascii="Times New Roman" w:hAnsi="Times New Roman"/>
          <w:color w:val="000000"/>
          <w:sz w:val="20"/>
        </w:rPr>
        <w:br/>
        <w:t>Andy Grossman</w:t>
        <w:br/>
        <w:t>EVP, Capital Markets &amp; Investor Relations</w:t>
        <w:br/>
      </w:r>
      <w:r>
        <w:rPr>
          <w:rFonts w:ascii="Times New Roman" w:hAnsi="Times New Roman"/>
          <w:sz w:val="20"/>
        </w:rPr>
        <w:t>InvestorRelations@gtigrows.com</w:t>
      </w:r>
      <w:r>
        <w:rPr>
          <w:rFonts w:ascii="Times New Roman" w:hAnsi="Times New Roman"/>
          <w:color w:val="000000"/>
          <w:sz w:val="20"/>
        </w:rPr>
        <w:t xml:space="preserve"> </w:t>
        <w:br/>
        <w:t>310-622-8257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Media Contact:</w:t>
      </w:r>
      <w:r>
        <w:rPr>
          <w:rFonts w:ascii="Times New Roman" w:hAnsi="Times New Roman"/>
          <w:color w:val="000000"/>
          <w:sz w:val="20"/>
        </w:rPr>
        <w:br/>
        <w:t>GTI Communications</w:t>
        <w:br/>
      </w:r>
      <w:r>
        <w:rPr>
          <w:rFonts w:ascii="Times New Roman" w:hAnsi="Times New Roman"/>
          <w:sz w:val="20"/>
        </w:rPr>
        <w:t>media@gtigrows.com</w:t>
      </w:r>
      <w:r>
        <w:rPr>
          <w:rFonts w:ascii="Times New Roman" w:hAnsi="Times New Roman"/>
          <w:color w:val="000000"/>
          <w:sz w:val="20"/>
        </w:rPr>
        <w:t> </w:t>
      </w:r>
    </w:p>
    <w:p>
      <w:pPr>
        <w:pStyle w:val="TextBody"/>
        <w:bidi w:val="0"/>
        <w:jc w:val="left"/>
        <w:rPr>
          <w:rFonts w:ascii="Times New Roman" w:hAnsi="Times New Roman"/>
          <w:b/>
          <w:color w:val="000000"/>
          <w:sz w:val="20"/>
        </w:rPr>
      </w:pPr>
      <w:r>
        <w:rPr>
          <w:rFonts w:ascii="Times New Roman" w:hAnsi="Times New Roman"/>
          <w:b/>
          <w:color w:val="000000"/>
          <w:sz w:val="20"/>
        </w:rPr>
        <w:t>Source: Green Thumb Industries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5</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Highlights from Unaudited Interim Condensed Consolidated Statements of Operations</w:t>
      </w:r>
    </w:p>
    <w:p>
      <w:pPr>
        <w:pStyle w:val="TextBody"/>
        <w:bidi w:val="0"/>
        <w:jc w:val="left"/>
        <w:rPr>
          <w:rFonts w:ascii="Times New Roman" w:hAnsi="Times New Roman"/>
          <w:b/>
          <w:color w:val="000000"/>
          <w:sz w:val="20"/>
        </w:rPr>
      </w:pPr>
      <w:r>
        <w:rPr>
          <w:rFonts w:ascii="Times New Roman" w:hAnsi="Times New Roman"/>
          <w:b/>
          <w:color w:val="000000"/>
          <w:sz w:val="20"/>
        </w:rPr>
        <w:t>For the Three Months Ended September 30, 2025, June 30, 2025 and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3"/>
        <w:gridCol w:w="166"/>
        <w:gridCol w:w="1605"/>
        <w:gridCol w:w="146"/>
        <w:gridCol w:w="1240"/>
        <w:gridCol w:w="146"/>
        <w:gridCol w:w="1605"/>
        <w:gridCol w:w="394"/>
      </w:tblGrid>
      <w:tr>
        <w:trPr/>
        <w:tc>
          <w:tcPr>
            <w:tcW w:w="4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$286,865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147,591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Income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Green Thumb Industries Inc.</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Diluted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231,652,595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236,303,348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233,535,805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238,295,887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6</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left"/>
        <w:rPr>
          <w:rFonts w:ascii="Times New Roman" w:hAnsi="Times New Roman"/>
          <w:b/>
          <w:color w:val="000000"/>
          <w:sz w:val="20"/>
        </w:rPr>
      </w:pPr>
      <w:r>
        <w:rPr>
          <w:rFonts w:ascii="Times New Roman" w:hAnsi="Times New Roman"/>
          <w:b/>
          <w:color w:val="000000"/>
          <w:sz w:val="20"/>
        </w:rPr>
        <w:t>Highlights from the Unaudited Interim Condensed Consolidated Balance Sheet</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Thousands of United States Dollars)</w:t>
      </w:r>
    </w:p>
    <w:p>
      <w:pPr>
        <w:pStyle w:val="TextBody"/>
        <w:bidi w:val="0"/>
        <w:jc w:val="left"/>
        <w:rPr/>
      </w:pPr>
      <w:r>
        <w:rPr/>
        <w:t> </w:t>
      </w:r>
    </w:p>
    <w:tbl>
      <w:tblPr>
        <w:tblW w:w="6515" w:type="dxa"/>
        <w:jc w:val="left"/>
        <w:tblInd w:w="0" w:type="dxa"/>
        <w:tblLayout w:type="fixed"/>
        <w:tblCellMar>
          <w:top w:w="28" w:type="dxa"/>
          <w:left w:w="28" w:type="dxa"/>
          <w:bottom w:w="28" w:type="dxa"/>
          <w:right w:w="28" w:type="dxa"/>
        </w:tblCellMar>
      </w:tblPr>
      <w:tblGrid>
        <w:gridCol w:w="4726"/>
        <w:gridCol w:w="146"/>
        <w:gridCol w:w="146"/>
        <w:gridCol w:w="146"/>
        <w:gridCol w:w="135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$226,211</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251,251</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720,911</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237,602</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442,734</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594,439</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166,037</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$2,639,185</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$241,553</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Net of Current Portion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230,185</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253,916</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78,621</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1,834,910</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$2,639,185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7</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Supplemental Information (Unaudited) Regarding Non-GAAP Financial Measures</w:t>
      </w:r>
    </w:p>
    <w:p>
      <w:pPr>
        <w:pStyle w:val="TextBody"/>
        <w:bidi w:val="0"/>
        <w:jc w:val="left"/>
        <w:rPr>
          <w:rFonts w:ascii="Times New Roman" w:hAnsi="Times New Roman"/>
          <w:b/>
          <w:color w:val="000000"/>
          <w:sz w:val="20"/>
        </w:rPr>
      </w:pPr>
      <w:r>
        <w:rPr>
          <w:rFonts w:ascii="Times New Roman" w:hAnsi="Times New Roman"/>
          <w:b/>
          <w:color w:val="000000"/>
          <w:sz w:val="20"/>
        </w:rPr>
        <w:t>For the For the Three Months Ended September 30, 2025, June 30, 2025 and September 30, 2024</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Thousands of United States Dollars)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42804"/>
          <w:sz w:val="20"/>
        </w:rPr>
        <w:t>EBITDA, and Adjusted EBITDA are non-GAAP measures and do not have standardized definitions under GAAP. We define each term as follows:</w:t>
      </w:r>
      <w:r>
        <w:rPr>
          <w:rFonts w:ascii="Times New Roman" w:hAnsi="Times New Roman"/>
          <w:color w:val="000000"/>
          <w:sz w:val="20"/>
        </w:rPr>
        <w:br/>
        <w:br/>
      </w:r>
      <w:r>
        <w:rPr>
          <w:rFonts w:ascii="Times New Roman" w:hAnsi="Times New Roman"/>
          <w:color w:val="042804"/>
          <w:sz w:val="20"/>
        </w:rPr>
        <w:t>(1) EBITDA is defined as earnings before interest, taxes, other income or expense and depreciation and amortization.</w:t>
      </w:r>
      <w:r>
        <w:rPr>
          <w:rFonts w:ascii="Times New Roman" w:hAnsi="Times New Roman"/>
          <w:color w:val="000000"/>
          <w:sz w:val="20"/>
        </w:rPr>
        <w:br/>
      </w:r>
      <w:r>
        <w:rPr>
          <w:rFonts w:ascii="Times New Roman" w:hAnsi="Times New Roman"/>
          <w:color w:val="042804"/>
          <w:sz w:val="20"/>
        </w:rPr>
        <w:t>(2) Adjusted EBITDA is defined as earnings before interest, taxes, depreciation, and amortization, adjusted for other income, non-cash share-based compensation, one-time transaction related expenses, or other non-operating (income) or costs.</w:t>
      </w:r>
      <w:r>
        <w:rPr>
          <w:rFonts w:ascii="Times New Roman" w:hAnsi="Times New Roman"/>
          <w:color w:val="000000"/>
          <w:sz w:val="20"/>
        </w:rPr>
        <w:br/>
        <w:br/>
      </w:r>
      <w:r>
        <w:rPr>
          <w:rFonts w:ascii="Times New Roman" w:hAnsi="Times New Roman"/>
          <w:color w:val="042804"/>
          <w:sz w:val="20"/>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81"/>
        <w:gridCol w:w="146"/>
        <w:gridCol w:w="1459"/>
        <w:gridCol w:w="146"/>
        <w:gridCol w:w="1174"/>
        <w:gridCol w:w="146"/>
        <w:gridCol w:w="1459"/>
        <w:gridCol w:w="294"/>
      </w:tblGrid>
      <w:tr>
        <w:trPr/>
        <w:tc>
          <w:tcPr>
            <w:tcW w:w="5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30,922</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28,492</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Before Interest, Taxes, Depreciation and Amortization (EBITDA) (non-GAAP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$71,116</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Non-Cash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Transaction, and Other Non-Operating (Income)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 measure)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$89,192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3549</Words>
  <Characters>20415</Characters>
  <CharactersWithSpaces>24112</CharactersWithSpaces>
  <Paragraphs>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