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62191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621919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77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Kravitz Bret</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(Last)</w:t>
            </w:r>
          </w:p>
        </w:tc>
        <w:tc>
          <w:tcPr>
            <w:tcW w:w="1140" w:type="dxa"/>
            <w:vAlign w:val="bottom"/>
          </w:tcPr>
          <w:p>
            <w:pPr>
              <w:ind w:left="220"/>
              <w:spacing w:after="0"/>
              <w:rPr>
                <w:sz w:val="20"/>
                <w:szCs w:val="20"/>
                <w:color w:val="auto"/>
              </w:rPr>
            </w:pPr>
            <w:r>
              <w:rPr>
                <w:rFonts w:ascii="Arial" w:cs="Arial" w:eastAsia="Arial" w:hAnsi="Arial"/>
                <w:sz w:val="13"/>
                <w:szCs w:val="13"/>
                <w:color w:val="auto"/>
              </w:rPr>
              <w:t>(First)</w:t>
            </w:r>
          </w:p>
        </w:tc>
        <w:tc>
          <w:tcPr>
            <w:tcW w:w="1500" w:type="dxa"/>
            <w:vAlign w:val="bottom"/>
          </w:tcPr>
          <w:p>
            <w:pPr>
              <w:ind w:left="3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1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325 W. HURON STREET</w:t>
            </w:r>
          </w:p>
        </w:tc>
        <w:tc>
          <w:tcPr>
            <w:tcW w:w="150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SUITE 700</w:t>
            </w:r>
          </w:p>
        </w:tc>
        <w:tc>
          <w:tcPr>
            <w:tcW w:w="114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r>
      <w:tr>
        <w:trPr>
          <w:trHeight w:val="2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1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5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220"/>
              <w:spacing w:after="0"/>
              <w:rPr>
                <w:sz w:val="20"/>
                <w:szCs w:val="20"/>
                <w:color w:val="auto"/>
              </w:rPr>
            </w:pPr>
            <w:r>
              <w:rPr>
                <w:rFonts w:ascii="Arial" w:cs="Arial" w:eastAsia="Arial" w:hAnsi="Arial"/>
                <w:sz w:val="13"/>
                <w:szCs w:val="13"/>
                <w:color w:val="auto"/>
              </w:rPr>
              <w:t>(State)</w:t>
            </w:r>
          </w:p>
        </w:tc>
        <w:tc>
          <w:tcPr>
            <w:tcW w:w="1500" w:type="dxa"/>
            <w:vAlign w:val="bottom"/>
          </w:tcPr>
          <w:p>
            <w:pPr>
              <w:ind w:left="3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Green Thumb Industries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GTII/GTBIF</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2160" w:type="dxa"/>
            <w:vAlign w:val="bottom"/>
          </w:tcPr>
          <w:p>
            <w:pPr>
              <w:ind w:left="80"/>
              <w:spacing w:after="0"/>
              <w:rPr>
                <w:sz w:val="20"/>
                <w:szCs w:val="20"/>
                <w:color w:val="auto"/>
              </w:rPr>
            </w:pPr>
            <w:r>
              <w:rPr>
                <w:rFonts w:ascii="Arial" w:cs="Arial" w:eastAsia="Arial" w:hAnsi="Arial"/>
                <w:sz w:val="13"/>
                <w:szCs w:val="13"/>
                <w:color w:val="auto"/>
              </w:rPr>
              <w:t>(Check all applicable)</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340" w:type="dxa"/>
            <w:vAlign w:val="bottom"/>
            <w:tcBorders>
              <w:top w:val="single" w:sz="8" w:color="0000EE"/>
            </w:tcBorders>
          </w:tcPr>
          <w:p>
            <w:pPr>
              <w:spacing w:after="0"/>
              <w:rPr>
                <w:sz w:val="12"/>
                <w:szCs w:val="12"/>
                <w:color w:val="auto"/>
              </w:rPr>
            </w:pPr>
          </w:p>
        </w:tc>
        <w:tc>
          <w:tcPr>
            <w:tcW w:w="1280" w:type="dxa"/>
            <w:vAlign w:val="bottom"/>
          </w:tcPr>
          <w:p>
            <w:pPr>
              <w:spacing w:after="0"/>
              <w:rPr>
                <w:sz w:val="12"/>
                <w:szCs w:val="12"/>
                <w:color w:val="auto"/>
              </w:rPr>
            </w:pPr>
          </w:p>
        </w:tc>
        <w:tc>
          <w:tcPr>
            <w:tcW w:w="2160" w:type="dxa"/>
            <w:vAlign w:val="bottom"/>
          </w:tcPr>
          <w:p>
            <w:pPr>
              <w:ind w:left="600"/>
              <w:spacing w:after="0" w:line="148" w:lineRule="exact"/>
              <w:rPr>
                <w:sz w:val="20"/>
                <w:szCs w:val="20"/>
                <w:color w:val="auto"/>
              </w:rPr>
            </w:pPr>
            <w:r>
              <w:rPr>
                <w:rFonts w:ascii="Arial" w:cs="Arial" w:eastAsia="Arial" w:hAnsi="Arial"/>
                <w:sz w:val="13"/>
                <w:szCs w:val="13"/>
                <w:color w:val="auto"/>
              </w:rPr>
              <w:t>Director</w:t>
            </w:r>
          </w:p>
        </w:tc>
        <w:tc>
          <w:tcPr>
            <w:tcW w:w="1140" w:type="dxa"/>
            <w:vAlign w:val="bottom"/>
          </w:tcPr>
          <w:p>
            <w:pPr>
              <w:spacing w:after="0" w:line="14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9"/>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160" w:type="dxa"/>
            <w:vAlign w:val="bottom"/>
          </w:tcPr>
          <w:p>
            <w:pPr>
              <w:ind w:left="6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6"/>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34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21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16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330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GENERAL COUNSEL AND</w:t>
            </w:r>
          </w:p>
        </w:tc>
        <w:tc>
          <w:tcPr>
            <w:tcW w:w="0" w:type="dxa"/>
            <w:vAlign w:val="bottom"/>
          </w:tcPr>
          <w:p>
            <w:pPr>
              <w:spacing w:after="0"/>
              <w:rPr>
                <w:sz w:val="1"/>
                <w:szCs w:val="1"/>
                <w:color w:val="auto"/>
              </w:rPr>
            </w:pPr>
          </w:p>
        </w:tc>
      </w:tr>
      <w:tr>
        <w:trPr>
          <w:trHeight w:val="120"/>
        </w:trPr>
        <w:tc>
          <w:tcPr>
            <w:tcW w:w="254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04/01/2026</w:t>
            </w:r>
          </w:p>
        </w:tc>
        <w:tc>
          <w:tcPr>
            <w:tcW w:w="1280" w:type="dxa"/>
            <w:vAlign w:val="bottom"/>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2540" w:type="dxa"/>
            <w:vAlign w:val="bottom"/>
            <w:gridSpan w:val="3"/>
            <w:vMerge w:val="continue"/>
          </w:tcPr>
          <w:p>
            <w:pPr>
              <w:spacing w:after="0"/>
              <w:rPr>
                <w:sz w:val="9"/>
                <w:szCs w:val="9"/>
                <w:color w:val="auto"/>
              </w:rPr>
            </w:pPr>
          </w:p>
        </w:tc>
        <w:tc>
          <w:tcPr>
            <w:tcW w:w="1280" w:type="dxa"/>
            <w:vAlign w:val="bottom"/>
          </w:tcPr>
          <w:p>
            <w:pPr>
              <w:spacing w:after="0"/>
              <w:rPr>
                <w:sz w:val="9"/>
                <w:szCs w:val="9"/>
                <w:color w:val="auto"/>
              </w:rPr>
            </w:pPr>
          </w:p>
        </w:tc>
        <w:tc>
          <w:tcPr>
            <w:tcW w:w="2160" w:type="dxa"/>
            <w:vAlign w:val="bottom"/>
            <w:vMerge w:val="restart"/>
          </w:tcPr>
          <w:p>
            <w:pPr>
              <w:ind w:left="1160"/>
              <w:spacing w:after="0"/>
              <w:rPr>
                <w:sz w:val="20"/>
                <w:szCs w:val="20"/>
                <w:color w:val="auto"/>
              </w:rPr>
            </w:pPr>
            <w:r>
              <w:rPr>
                <w:rFonts w:ascii="Times New Roman" w:cs="Times New Roman" w:eastAsia="Times New Roman" w:hAnsi="Times New Roman"/>
                <w:sz w:val="17"/>
                <w:szCs w:val="17"/>
                <w:color w:val="0000FF"/>
                <w:w w:val="98"/>
              </w:rPr>
              <w:t>SECRETARY</w:t>
            </w: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16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1"/>
        </w:trPr>
        <w:tc>
          <w:tcPr>
            <w:tcW w:w="8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2340" w:type="dxa"/>
            <w:vAlign w:val="bottom"/>
            <w:tcBorders>
              <w:bottom w:val="single" w:sz="8" w:color="2C2C2C"/>
            </w:tcBorders>
          </w:tcPr>
          <w:p>
            <w:pPr>
              <w:spacing w:after="0"/>
              <w:rPr>
                <w:sz w:val="22"/>
                <w:szCs w:val="22"/>
                <w:color w:val="auto"/>
              </w:rPr>
            </w:pPr>
          </w:p>
        </w:tc>
        <w:tc>
          <w:tcPr>
            <w:tcW w:w="1280" w:type="dxa"/>
            <w:vAlign w:val="bottom"/>
            <w:tcBorders>
              <w:bottom w:val="single" w:sz="8" w:color="2C2C2C"/>
            </w:tcBorders>
          </w:tcPr>
          <w:p>
            <w:pPr>
              <w:spacing w:after="0"/>
              <w:rPr>
                <w:sz w:val="22"/>
                <w:szCs w:val="22"/>
                <w:color w:val="auto"/>
              </w:rPr>
            </w:pPr>
          </w:p>
        </w:tc>
        <w:tc>
          <w:tcPr>
            <w:tcW w:w="3300" w:type="dxa"/>
            <w:vAlign w:val="bottom"/>
            <w:tcBorders>
              <w:bottom w:val="single" w:sz="8" w:color="2C2C2C"/>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03" w:lineRule="exact"/>
        <w:rPr>
          <w:sz w:val="24"/>
          <w:szCs w:val="24"/>
          <w:color w:val="auto"/>
        </w:rPr>
      </w:pPr>
    </w:p>
    <w:p>
      <w:pPr>
        <w:sectPr>
          <w:pgSz w:w="11900" w:h="16838" w:orient="portrait"/>
          <w:cols w:equalWidth="0" w:num="2">
            <w:col w:w="3760" w:space="80"/>
            <w:col w:w="7160"/>
          </w:cols>
          <w:pgMar w:left="460" w:top="219" w:right="439" w:bottom="779"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5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520" w:type="dxa"/>
            <w:vAlign w:val="bottom"/>
          </w:tcPr>
          <w:p>
            <w:pPr>
              <w:spacing w:after="0"/>
              <w:rPr>
                <w:sz w:val="11"/>
                <w:szCs w:val="11"/>
                <w:color w:val="auto"/>
              </w:rPr>
            </w:pPr>
          </w:p>
        </w:tc>
        <w:tc>
          <w:tcPr>
            <w:tcW w:w="168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520" w:type="dxa"/>
            <w:vAlign w:val="bottom"/>
          </w:tcPr>
          <w:p>
            <w:pPr>
              <w:spacing w:after="0"/>
              <w:rPr>
                <w:sz w:val="11"/>
                <w:szCs w:val="11"/>
                <w:color w:val="auto"/>
              </w:rPr>
            </w:pPr>
          </w:p>
        </w:tc>
        <w:tc>
          <w:tcPr>
            <w:tcW w:w="168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5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52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5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5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5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52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5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5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Subordinate Voting Shares</w:t>
            </w:r>
          </w:p>
        </w:tc>
        <w:tc>
          <w:tcPr>
            <w:tcW w:w="168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04/01/2026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right"/>
              <w:ind w:right="31"/>
              <w:spacing w:after="0"/>
              <w:rPr>
                <w:sz w:val="20"/>
                <w:szCs w:val="20"/>
                <w:color w:val="auto"/>
              </w:rPr>
            </w:pPr>
            <w:r>
              <w:rPr>
                <w:rFonts w:ascii="Times New Roman" w:cs="Times New Roman" w:eastAsia="Times New Roman" w:hAnsi="Times New Roman"/>
                <w:sz w:val="17"/>
                <w:szCs w:val="17"/>
                <w:color w:val="0000FF"/>
              </w:rPr>
              <w:t>57,339</w:t>
            </w:r>
          </w:p>
        </w:tc>
        <w:tc>
          <w:tcPr>
            <w:tcW w:w="52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w w:val="97"/>
              </w:rPr>
              <w:t>A</w:t>
            </w:r>
          </w:p>
        </w:tc>
        <w:tc>
          <w:tcPr>
            <w:tcW w:w="640" w:type="dxa"/>
            <w:vAlign w:val="bottom"/>
            <w:tcBorders>
              <w:bottom w:val="single" w:sz="8" w:color="2C2C2C"/>
            </w:tcBorders>
          </w:tcPr>
          <w:p>
            <w:pPr>
              <w:jc w:val="center"/>
              <w:ind w:right="12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341,957</w:t>
            </w:r>
          </w:p>
        </w:tc>
        <w:tc>
          <w:tcPr>
            <w:tcW w:w="92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8"/>
                <w:vertAlign w:val="subscript"/>
              </w:rPr>
              <w:t>D</w:t>
            </w:r>
            <w:r>
              <w:rPr>
                <w:rFonts w:ascii="Times New Roman" w:cs="Times New Roman" w:eastAsia="Times New Roman" w:hAnsi="Times New Roman"/>
                <w:sz w:val="11"/>
                <w:szCs w:val="11"/>
                <w:color w:val="008000"/>
                <w:w w:val="88"/>
              </w:rPr>
              <w:t>(1)</w:t>
            </w:r>
          </w:p>
        </w:tc>
        <w:tc>
          <w:tcPr>
            <w:tcW w:w="8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5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Subordinate Voting Shares</w:t>
            </w:r>
          </w:p>
        </w:tc>
        <w:tc>
          <w:tcPr>
            <w:tcW w:w="168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04/01/2026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right"/>
              <w:ind w:right="71"/>
              <w:spacing w:after="0"/>
              <w:rPr>
                <w:sz w:val="20"/>
                <w:szCs w:val="20"/>
                <w:color w:val="auto"/>
              </w:rPr>
            </w:pPr>
            <w:r>
              <w:rPr>
                <w:rFonts w:ascii="Times New Roman" w:cs="Times New Roman" w:eastAsia="Times New Roman" w:hAnsi="Times New Roman"/>
                <w:sz w:val="17"/>
                <w:szCs w:val="17"/>
                <w:color w:val="0000FF"/>
              </w:rPr>
              <w:t>4,282</w:t>
            </w:r>
          </w:p>
        </w:tc>
        <w:tc>
          <w:tcPr>
            <w:tcW w:w="52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w w:val="97"/>
              </w:rPr>
              <w:t>D</w:t>
            </w:r>
          </w:p>
        </w:tc>
        <w:tc>
          <w:tcPr>
            <w:tcW w:w="640" w:type="dxa"/>
            <w:vAlign w:val="bottom"/>
            <w:tcBorders>
              <w:bottom w:val="single" w:sz="8" w:color="2C2C2C"/>
            </w:tcBorders>
          </w:tcPr>
          <w:p>
            <w:pPr>
              <w:jc w:val="center"/>
              <w:ind w:right="2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6.38</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337,675</w:t>
            </w:r>
          </w:p>
        </w:tc>
        <w:tc>
          <w:tcPr>
            <w:tcW w:w="92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8"/>
                <w:vertAlign w:val="subscript"/>
              </w:rPr>
              <w:t>D</w:t>
            </w:r>
            <w:r>
              <w:rPr>
                <w:rFonts w:ascii="Times New Roman" w:cs="Times New Roman" w:eastAsia="Times New Roman" w:hAnsi="Times New Roman"/>
                <w:sz w:val="11"/>
                <w:szCs w:val="11"/>
                <w:color w:val="008000"/>
                <w:w w:val="88"/>
              </w:rPr>
              <w:t>(1)</w:t>
            </w:r>
          </w:p>
        </w:tc>
        <w:tc>
          <w:tcPr>
            <w:tcW w:w="8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5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Bret D.</w:t>
            </w:r>
          </w:p>
        </w:tc>
        <w:tc>
          <w:tcPr>
            <w:tcW w:w="0" w:type="dxa"/>
            <w:vAlign w:val="bottom"/>
          </w:tcPr>
          <w:p>
            <w:pPr>
              <w:spacing w:after="0"/>
              <w:rPr>
                <w:sz w:val="1"/>
                <w:szCs w:val="1"/>
                <w:color w:val="auto"/>
              </w:rPr>
            </w:pPr>
          </w:p>
        </w:tc>
      </w:tr>
      <w:tr>
        <w:trPr>
          <w:trHeight w:val="213"/>
        </w:trPr>
        <w:tc>
          <w:tcPr>
            <w:tcW w:w="25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Subordinate Voting Shares</w:t>
            </w:r>
          </w:p>
        </w:tc>
        <w:tc>
          <w:tcPr>
            <w:tcW w:w="1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159,136</w:t>
            </w:r>
          </w:p>
        </w:tc>
        <w:tc>
          <w:tcPr>
            <w:tcW w:w="920" w:type="dxa"/>
            <w:vAlign w:val="bottom"/>
            <w:vMerge w:val="restart"/>
          </w:tcPr>
          <w:p>
            <w:pPr>
              <w:jc w:val="center"/>
              <w:spacing w:after="0" w:line="387" w:lineRule="exact"/>
              <w:rPr>
                <w:sz w:val="20"/>
                <w:szCs w:val="20"/>
                <w:color w:val="auto"/>
              </w:rPr>
            </w:pPr>
            <w:r>
              <w:rPr>
                <w:rFonts w:ascii="Times New Roman" w:cs="Times New Roman" w:eastAsia="Times New Roman" w:hAnsi="Times New Roman"/>
                <w:sz w:val="34"/>
                <w:szCs w:val="34"/>
                <w:color w:val="0000FF"/>
                <w:w w:val="88"/>
                <w:vertAlign w:val="subscript"/>
              </w:rPr>
              <w:t>I</w:t>
            </w:r>
            <w:r>
              <w:rPr>
                <w:rFonts w:ascii="Times New Roman" w:cs="Times New Roman" w:eastAsia="Times New Roman" w:hAnsi="Times New Roman"/>
                <w:sz w:val="11"/>
                <w:szCs w:val="11"/>
                <w:color w:val="008000"/>
                <w:w w:val="88"/>
              </w:rPr>
              <w:t>(1)</w:t>
            </w: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Kravitz</w:t>
            </w:r>
          </w:p>
        </w:tc>
        <w:tc>
          <w:tcPr>
            <w:tcW w:w="0" w:type="dxa"/>
            <w:vAlign w:val="bottom"/>
          </w:tcPr>
          <w:p>
            <w:pPr>
              <w:spacing w:after="0"/>
              <w:rPr>
                <w:sz w:val="1"/>
                <w:szCs w:val="1"/>
                <w:color w:val="auto"/>
              </w:rPr>
            </w:pPr>
          </w:p>
        </w:tc>
      </w:tr>
      <w:tr>
        <w:trPr>
          <w:trHeight w:val="174"/>
        </w:trPr>
        <w:tc>
          <w:tcPr>
            <w:tcW w:w="2520" w:type="dxa"/>
            <w:vAlign w:val="bottom"/>
            <w:vMerge w:val="continue"/>
          </w:tcPr>
          <w:p>
            <w:pPr>
              <w:spacing w:after="0"/>
              <w:rPr>
                <w:sz w:val="15"/>
                <w:szCs w:val="15"/>
                <w:color w:val="auto"/>
              </w:rPr>
            </w:pPr>
          </w:p>
        </w:tc>
        <w:tc>
          <w:tcPr>
            <w:tcW w:w="16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39"/>
        </w:trPr>
        <w:tc>
          <w:tcPr>
            <w:tcW w:w="25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5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52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5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Bret D.</w:t>
            </w:r>
          </w:p>
        </w:tc>
        <w:tc>
          <w:tcPr>
            <w:tcW w:w="0" w:type="dxa"/>
            <w:vAlign w:val="bottom"/>
          </w:tcPr>
          <w:p>
            <w:pPr>
              <w:spacing w:after="0"/>
              <w:rPr>
                <w:sz w:val="1"/>
                <w:szCs w:val="1"/>
                <w:color w:val="auto"/>
              </w:rPr>
            </w:pPr>
          </w:p>
        </w:tc>
      </w:tr>
      <w:tr>
        <w:trPr>
          <w:trHeight w:val="213"/>
        </w:trPr>
        <w:tc>
          <w:tcPr>
            <w:tcW w:w="25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Multiple Voting Shares</w:t>
            </w:r>
          </w:p>
        </w:tc>
        <w:tc>
          <w:tcPr>
            <w:tcW w:w="1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302</w:t>
            </w:r>
          </w:p>
        </w:tc>
        <w:tc>
          <w:tcPr>
            <w:tcW w:w="920" w:type="dxa"/>
            <w:vAlign w:val="bottom"/>
            <w:vMerge w:val="restart"/>
          </w:tcPr>
          <w:p>
            <w:pPr>
              <w:jc w:val="center"/>
              <w:spacing w:after="0" w:line="387" w:lineRule="exact"/>
              <w:rPr>
                <w:sz w:val="20"/>
                <w:szCs w:val="20"/>
                <w:color w:val="auto"/>
              </w:rPr>
            </w:pPr>
            <w:r>
              <w:rPr>
                <w:rFonts w:ascii="Times New Roman" w:cs="Times New Roman" w:eastAsia="Times New Roman" w:hAnsi="Times New Roman"/>
                <w:sz w:val="34"/>
                <w:szCs w:val="34"/>
                <w:color w:val="0000FF"/>
                <w:w w:val="88"/>
                <w:vertAlign w:val="subscript"/>
              </w:rPr>
              <w:t>I</w:t>
            </w:r>
            <w:r>
              <w:rPr>
                <w:rFonts w:ascii="Times New Roman" w:cs="Times New Roman" w:eastAsia="Times New Roman" w:hAnsi="Times New Roman"/>
                <w:sz w:val="11"/>
                <w:szCs w:val="11"/>
                <w:color w:val="008000"/>
                <w:w w:val="88"/>
              </w:rPr>
              <w:t>(2)</w:t>
            </w: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Kravitz</w:t>
            </w:r>
          </w:p>
        </w:tc>
        <w:tc>
          <w:tcPr>
            <w:tcW w:w="0" w:type="dxa"/>
            <w:vAlign w:val="bottom"/>
          </w:tcPr>
          <w:p>
            <w:pPr>
              <w:spacing w:after="0"/>
              <w:rPr>
                <w:sz w:val="1"/>
                <w:szCs w:val="1"/>
                <w:color w:val="auto"/>
              </w:rPr>
            </w:pPr>
          </w:p>
        </w:tc>
      </w:tr>
      <w:tr>
        <w:trPr>
          <w:trHeight w:val="174"/>
        </w:trPr>
        <w:tc>
          <w:tcPr>
            <w:tcW w:w="2520" w:type="dxa"/>
            <w:vAlign w:val="bottom"/>
            <w:vMerge w:val="continue"/>
          </w:tcPr>
          <w:p>
            <w:pPr>
              <w:spacing w:after="0"/>
              <w:rPr>
                <w:sz w:val="15"/>
                <w:szCs w:val="15"/>
                <w:color w:val="auto"/>
              </w:rPr>
            </w:pPr>
          </w:p>
        </w:tc>
        <w:tc>
          <w:tcPr>
            <w:tcW w:w="16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52"/>
        </w:trPr>
        <w:tc>
          <w:tcPr>
            <w:tcW w:w="252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ind w:left="10160"/>
        <w:spacing w:after="0"/>
        <w:rPr>
          <w:sz w:val="20"/>
          <w:szCs w:val="20"/>
          <w:color w:val="auto"/>
        </w:rPr>
      </w:pPr>
      <w:r>
        <w:rPr>
          <w:rFonts w:ascii="Times New Roman" w:cs="Times New Roman" w:eastAsia="Times New Roman" w:hAnsi="Times New Roman"/>
          <w:sz w:val="17"/>
          <w:szCs w:val="17"/>
          <w:color w:val="0000FF"/>
        </w:rPr>
        <w:t>Trust</w:t>
      </w:r>
    </w:p>
    <w:p>
      <w:pPr>
        <w:spacing w:after="0" w:line="164"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transferred 159,136 Subordinate Voting Shares to the Bret D. Kravitz Revocable Trust. The reporting person serves as trustee and sole beneficiary of the trust and retains beneficial ownership of the shares. This transaction did not involve any change in the reporting person's pecuniary interest in the securities.</w:t>
      </w:r>
    </w:p>
    <w:p>
      <w:pPr>
        <w:spacing w:after="0" w:line="7" w:lineRule="exact"/>
        <w:rPr>
          <w:rFonts w:ascii="Times New Roman" w:cs="Times New Roman" w:eastAsia="Times New Roman" w:hAnsi="Times New Roman"/>
          <w:sz w:val="13"/>
          <w:szCs w:val="13"/>
          <w:color w:val="008000"/>
        </w:rPr>
      </w:pPr>
    </w:p>
    <w:p>
      <w:pPr>
        <w:ind w:left="40" w:right="5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transferred 302 Multiple Voting Shares to the Bret D. Kravitz Revocable Trust. The reporting person serves as trustee and sole beneficiary of the trust and retains beneficial ownership of the shares. This transaction did not involve any change in the reporting person's pecuniary interest in the securities.</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Kathryn A. Lloyd,</w:t>
            </w:r>
          </w:p>
        </w:tc>
        <w:tc>
          <w:tcPr>
            <w:tcW w:w="58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04/03/2026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77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59618" TargetMode="External"/><Relationship Id="rId14" Type="http://schemas.openxmlformats.org/officeDocument/2006/relationships/hyperlink" Target="http://www.sec.gov/cgi-bin/browse-edgar?action=getcompany&amp;CIK=00017951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2026-04-03T15:32:08Z</dcterms:created>
  <dcterms:modified xsi:type="dcterms:W3CDTF">2026-04-03T15:32:08Z</dcterms:modified>
</cp:coreProperties>
</file>