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Burk Beth Elaine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520"/>
        <w:spacing w:after="0" w:line="357" w:lineRule="auto"/>
        <w:rPr>
          <w:sz w:val="20"/>
          <w:szCs w:val="20"/>
          <w:color w:val="auto"/>
        </w:rPr>
      </w:pPr>
      <w:r>
        <w:rPr>
          <w:rFonts w:ascii="Arial" w:cs="Arial" w:eastAsia="Arial" w:hAnsi="Arial"/>
          <w:sz w:val="17"/>
          <w:szCs w:val="17"/>
          <w:color w:val="0000FF"/>
        </w:rPr>
        <w:t>325 WEST HURON STREET SUITE 412</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Green Thumb Industries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GTII/GTBIF</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GENERAL COUNSEL</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05/06/2020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Subordinate Voting Shares</w:t>
            </w:r>
          </w:p>
        </w:tc>
        <w:tc>
          <w:tcPr>
            <w:tcW w:w="1580" w:type="dxa"/>
            <w:vAlign w:val="bottom"/>
            <w:gridSpan w:val="2"/>
          </w:tcPr>
          <w:p>
            <w:pPr>
              <w:ind w:left="640"/>
              <w:spacing w:after="0"/>
              <w:rPr>
                <w:sz w:val="20"/>
                <w:szCs w:val="20"/>
                <w:color w:val="auto"/>
              </w:rPr>
            </w:pPr>
            <w:r>
              <w:rPr>
                <w:rFonts w:ascii="Arial" w:cs="Arial" w:eastAsia="Arial" w:hAnsi="Arial"/>
                <w:sz w:val="17"/>
                <w:szCs w:val="17"/>
                <w:color w:val="0000FF"/>
              </w:rPr>
              <w:t>05/06/2020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jc w:val="right"/>
              <w:spacing w:after="0"/>
              <w:rPr>
                <w:sz w:val="20"/>
                <w:szCs w:val="20"/>
                <w:color w:val="auto"/>
              </w:rPr>
            </w:pPr>
            <w:r>
              <w:rPr>
                <w:rFonts w:ascii="Arial" w:cs="Arial" w:eastAsia="Arial" w:hAnsi="Arial"/>
                <w:sz w:val="17"/>
                <w:szCs w:val="17"/>
                <w:color w:val="0000FF"/>
              </w:rPr>
              <w:t>10,000</w:t>
            </w:r>
          </w:p>
        </w:tc>
        <w:tc>
          <w:tcPr>
            <w:tcW w:w="440" w:type="dxa"/>
            <w:vAlign w:val="bottom"/>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3"/>
                <w:szCs w:val="23"/>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Pr>
          <w:p>
            <w:pPr>
              <w:spacing w:after="0"/>
              <w:rPr>
                <w:sz w:val="23"/>
                <w:szCs w:val="23"/>
                <w:color w:val="auto"/>
              </w:rPr>
            </w:pPr>
          </w:p>
        </w:tc>
        <w:tc>
          <w:tcPr>
            <w:tcW w:w="1200" w:type="dxa"/>
            <w:vAlign w:val="bottom"/>
            <w:gridSpan w:val="2"/>
          </w:tcPr>
          <w:p>
            <w:pPr>
              <w:ind w:left="320"/>
              <w:spacing w:after="0"/>
              <w:rPr>
                <w:sz w:val="20"/>
                <w:szCs w:val="20"/>
                <w:color w:val="auto"/>
              </w:rPr>
            </w:pPr>
            <w:r>
              <w:rPr>
                <w:rFonts w:ascii="Arial" w:cs="Arial" w:eastAsia="Arial" w:hAnsi="Arial"/>
                <w:sz w:val="17"/>
                <w:szCs w:val="17"/>
                <w:color w:val="0000FF"/>
              </w:rPr>
              <w:t>50,000</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Subordinate Voting Shares</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05/08/2020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0000FF"/>
              </w:rPr>
              <w:t>3,511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7.05</w:t>
            </w:r>
            <w:r>
              <w:rPr>
                <w:rFonts w:ascii="Arial" w:cs="Arial" w:eastAsia="Arial" w:hAnsi="Arial"/>
                <w:sz w:val="22"/>
                <w:szCs w:val="22"/>
                <w:color w:val="008000"/>
                <w:w w:val="8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46,489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conducted in Canadian dollars at a price of C$9.814923 per share. The price reported is in U.S. Dollars based on the currency exchange rate of 0.7181 as reported in the Wall Street Journal as of the close of trading on the Canadian Stock Exchange on May 8, 2020.</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Kathryn A. Lloyd,</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05/08/2020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2676"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2020-05-08T18:03:56Z</dcterms:created>
  <dcterms:modified xsi:type="dcterms:W3CDTF">2020-05-08T18:03:56Z</dcterms:modified>
</cp:coreProperties>
</file>